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sz w:val="27"/>
          <w:szCs w:val="27"/>
          <w:shd w:val="clear" w:color="auto" w:fill="FFFF00"/>
        </w:rPr>
      </w:pPr>
      <w:r>
        <w:rPr>
          <w:rFonts w:ascii="方正小标宋_GBK" w:hAnsi="方正小标宋_GBK" w:eastAsia="方正小标宋_GBK" w:cs="方正小标宋_GBK"/>
          <w:sz w:val="44"/>
          <w:szCs w:val="44"/>
        </w:rPr>
        <w:t>垫江县旅游营销招商中心</w:t>
      </w: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bookmarkStart w:id="0" w:name="_GoBack"/>
      <w:bookmarkEnd w:id="0"/>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1.研究拟定全县旅游市场开发规划、措施及营销战略并组织实施，加强对外旅游交流与合作的组织实施；</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2.培育和完善全县旅游市场，组织实施国内外重点旅游市场促销活动；</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3.组织、策划和实施全县重大旅游节庆活动，开发全县会展旅游经济；</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4.研究制定全县旅游整体形象宣传计划并组织实施，指导并协调全县旅游行业对外宣传推广工作；</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5.旅游宣传资料的策划、编辑、印制；</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6.规划建设智慧旅游体系；</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7.研究制定全县旅游项目招商引资计划并组织实施；</w:t>
      </w:r>
    </w:p>
    <w:p>
      <w:pPr>
        <w:spacing w:line="600" w:lineRule="atLeast"/>
        <w:ind w:firstLine="640" w:firstLineChars="200"/>
        <w:rPr>
          <w:rFonts w:hint="default" w:ascii="方正仿宋_GBK" w:hAnsi="方正仿宋_GBK" w:eastAsia="方正仿宋_GBK" w:cs="方正仿宋_GBK"/>
          <w:sz w:val="32"/>
          <w:szCs w:val="32"/>
        </w:rPr>
      </w:pPr>
      <w:r>
        <w:rPr>
          <w:rFonts w:ascii="方正仿宋_GBK" w:eastAsia="方正仿宋_GBK"/>
          <w:sz w:val="32"/>
          <w:szCs w:val="32"/>
        </w:rPr>
        <w:t>8.负责策划包装、宣传推介重大旅游招商项目，引导旅游业的社会投资和利用外资工作。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600" w:lineRule="atLeast"/>
        <w:ind w:firstLine="640" w:firstLineChars="200"/>
        <w:jc w:val="both"/>
        <w:rPr>
          <w:rFonts w:hint="default" w:ascii="方正仿宋_GBK" w:eastAsia="方正仿宋_GBK"/>
          <w:sz w:val="32"/>
          <w:szCs w:val="32"/>
        </w:rPr>
      </w:pPr>
      <w:r>
        <w:rPr>
          <w:rFonts w:ascii="方正仿宋_GBK" w:eastAsia="方正仿宋_GBK"/>
          <w:sz w:val="32"/>
          <w:szCs w:val="32"/>
        </w:rPr>
        <w:t>重庆市垫江县旅游营销中心，隶属于重庆市垫江县文化和旅游发展委员会，是公益一类事业单位，经费渠道为财政全额拨款。</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二、决算收支情况说明</w:t>
      </w:r>
    </w:p>
    <w:p>
      <w:pPr>
        <w:pStyle w:val="6"/>
        <w:shd w:val="clear" w:color="auto" w:fill="FFFFFF"/>
        <w:ind w:firstLine="482" w:firstLineChars="15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2024年度收入总计290.43万元，支出总计</w:t>
      </w:r>
      <w:r>
        <w:rPr>
          <w:rFonts w:ascii="方正仿宋_GBK" w:hAnsi="方正仿宋_GBK" w:eastAsia="方正仿宋_GBK" w:cs="方正仿宋_GBK"/>
          <w:sz w:val="32"/>
          <w:szCs w:val="32"/>
        </w:rPr>
        <w:t>290.43</w:t>
      </w:r>
      <w:r>
        <w:rPr>
          <w:rFonts w:ascii="方正仿宋_GBK" w:hAnsi="方正仿宋_GBK" w:eastAsia="方正仿宋_GBK" w:cs="方正仿宋_GBK"/>
          <w:sz w:val="32"/>
          <w:szCs w:val="32"/>
          <w:shd w:val="clear" w:color="auto" w:fill="FFFFFF"/>
        </w:rPr>
        <w:t>万元。收、支与2023年度相比，增加20.58万元，增长7.63%，主要原因是</w:t>
      </w:r>
      <w:r>
        <w:rPr>
          <w:rFonts w:ascii="方正仿宋_GBK" w:hAnsi="方正仿宋_GBK" w:eastAsia="方正仿宋_GBK" w:cs="方正仿宋_GBK"/>
          <w:sz w:val="32"/>
          <w:szCs w:val="32"/>
        </w:rPr>
        <w:t>在职职工工资绩效增加；医保养老年金缴费增加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2024年度收入合计290.43万元，与2023年度相比，增加20.58万元，增长7.63%，主要原因是在职职工工资绩效增加；医保养老年金缴费增加。其中：财政拨款收入</w:t>
      </w:r>
      <w:r>
        <w:rPr>
          <w:rFonts w:ascii="方正仿宋_GBK" w:hAnsi="方正仿宋_GBK" w:eastAsia="方正仿宋_GBK" w:cs="方正仿宋_GBK"/>
          <w:sz w:val="32"/>
          <w:szCs w:val="32"/>
        </w:rPr>
        <w:t>290.43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290.43</w:t>
      </w:r>
      <w:r>
        <w:rPr>
          <w:rFonts w:ascii="方正仿宋_GBK" w:hAnsi="方正仿宋_GBK" w:eastAsia="方正仿宋_GBK" w:cs="方正仿宋_GBK"/>
          <w:sz w:val="32"/>
          <w:szCs w:val="32"/>
          <w:shd w:val="clear" w:color="auto" w:fill="FFFFFF"/>
        </w:rPr>
        <w:t>万元，与2023年度相比，增加20.58万元，增长7.63%，主要原因是在职职工工资绩效增加；医保养老年金缴费增加。其中：基本支出</w:t>
      </w:r>
      <w:r>
        <w:rPr>
          <w:rFonts w:ascii="方正仿宋_GBK" w:hAnsi="方正仿宋_GBK" w:eastAsia="方正仿宋_GBK" w:cs="方正仿宋_GBK"/>
          <w:sz w:val="32"/>
          <w:szCs w:val="32"/>
        </w:rPr>
        <w:t>290.43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color w:val="000000" w:themeColor="text1"/>
          <w:sz w:val="32"/>
          <w:szCs w:val="32"/>
          <w:shd w:val="clear" w:color="auto" w:fill="FFFFFF"/>
        </w:rPr>
        <w:t>严格</w:t>
      </w:r>
      <w:r>
        <w:rPr>
          <w:rFonts w:hint="default" w:ascii="方正仿宋_GBK" w:hAnsi="方正仿宋_GBK" w:eastAsia="方正仿宋_GBK" w:cs="方正仿宋_GBK"/>
          <w:color w:val="000000" w:themeColor="text1"/>
          <w:sz w:val="32"/>
          <w:szCs w:val="32"/>
          <w:shd w:val="clear" w:color="auto" w:fill="FFFFFF"/>
        </w:rPr>
        <w:t>遵守预算</w:t>
      </w:r>
      <w:r>
        <w:rPr>
          <w:rFonts w:ascii="方正仿宋_GBK" w:hAnsi="方正仿宋_GBK" w:eastAsia="方正仿宋_GBK" w:cs="方正仿宋_GBK"/>
          <w:color w:val="000000" w:themeColor="text1"/>
          <w:sz w:val="32"/>
          <w:szCs w:val="32"/>
          <w:shd w:val="clear" w:color="auto" w:fill="FFFFFF"/>
        </w:rPr>
        <w:t>规定，</w:t>
      </w:r>
      <w:r>
        <w:rPr>
          <w:rFonts w:hint="default" w:ascii="方正仿宋_GBK" w:hAnsi="方正仿宋_GBK" w:eastAsia="方正仿宋_GBK" w:cs="方正仿宋_GBK"/>
          <w:color w:val="000000" w:themeColor="text1"/>
          <w:sz w:val="32"/>
          <w:szCs w:val="32"/>
          <w:shd w:val="clear" w:color="auto" w:fill="FFFFFF"/>
        </w:rPr>
        <w:t>合理使用资金，</w:t>
      </w:r>
      <w:r>
        <w:rPr>
          <w:rFonts w:ascii="方正仿宋_GBK" w:hAnsi="方正仿宋_GBK" w:eastAsia="方正仿宋_GBK" w:cs="方正仿宋_GBK"/>
          <w:color w:val="000000" w:themeColor="text1"/>
          <w:sz w:val="32"/>
          <w:szCs w:val="32"/>
          <w:shd w:val="clear" w:color="auto" w:fill="FFFFFF"/>
        </w:rPr>
        <w:t>实现收支平衡，无结转结余资金。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2024年度财政拨款收、支总计290.43万元。与2022年相比，财政拨款收、支总计各增加20.58万元，增长7.63%。主要原因是在职职工工资绩效增加；医保养老年金缴费增加。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290.43</w:t>
      </w:r>
      <w:r>
        <w:rPr>
          <w:rFonts w:ascii="方正仿宋_GBK" w:hAnsi="方正仿宋_GBK" w:eastAsia="方正仿宋_GBK" w:cs="方正仿宋_GBK"/>
          <w:sz w:val="32"/>
          <w:szCs w:val="32"/>
          <w:shd w:val="clear" w:color="auto" w:fill="FFFFFF"/>
        </w:rPr>
        <w:t>万元，与2023年度相比，增加20.58万元，增长7.63%。主要原因是在职职工工资绩效增加；医保养老年金缴费增加。较年初预算数增加34.80万元，增长13.61%。主要原因是</w:t>
      </w:r>
      <w:r>
        <w:rPr>
          <w:rFonts w:ascii="方正仿宋_GBK" w:hAnsi="方正仿宋_GBK" w:eastAsia="方正仿宋_GBK" w:cs="方正仿宋_GBK"/>
          <w:color w:val="000000" w:themeColor="text1"/>
          <w:sz w:val="32"/>
          <w:szCs w:val="32"/>
          <w:shd w:val="clear" w:color="auto" w:fill="FFFFFF"/>
        </w:rPr>
        <w:t>年终人员经费清算追加。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290.43</w:t>
      </w:r>
      <w:r>
        <w:rPr>
          <w:rFonts w:ascii="方正仿宋_GBK" w:hAnsi="方正仿宋_GBK" w:eastAsia="方正仿宋_GBK" w:cs="方正仿宋_GBK"/>
          <w:sz w:val="32"/>
          <w:szCs w:val="32"/>
          <w:shd w:val="clear" w:color="auto" w:fill="FFFFFF"/>
        </w:rPr>
        <w:t>万元，与2023年度相比，增加20.58万元，增长7.63%。主要原因是在职职工工资绩效增加；医保养老年金缴费增加。较年初预算数增加34.80万元，增长13.61%。主要原因是</w:t>
      </w:r>
      <w:r>
        <w:rPr>
          <w:rFonts w:ascii="方正仿宋_GBK" w:hAnsi="方正仿宋_GBK" w:eastAsia="方正仿宋_GBK" w:cs="方正仿宋_GBK"/>
          <w:color w:val="000000" w:themeColor="text1"/>
          <w:sz w:val="32"/>
          <w:szCs w:val="32"/>
          <w:shd w:val="clear" w:color="auto" w:fill="FFFFFF"/>
        </w:rPr>
        <w:t>年终人员经费清算追加。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color w:val="000000" w:themeColor="text1"/>
          <w:sz w:val="32"/>
          <w:szCs w:val="32"/>
          <w:shd w:val="clear" w:color="auto" w:fill="FFFFFF"/>
        </w:rPr>
        <w:t>严格</w:t>
      </w:r>
      <w:r>
        <w:rPr>
          <w:rFonts w:hint="default" w:ascii="方正仿宋_GBK" w:hAnsi="方正仿宋_GBK" w:eastAsia="方正仿宋_GBK" w:cs="方正仿宋_GBK"/>
          <w:color w:val="000000" w:themeColor="text1"/>
          <w:sz w:val="32"/>
          <w:szCs w:val="32"/>
          <w:shd w:val="clear" w:color="auto" w:fill="FFFFFF"/>
        </w:rPr>
        <w:t>遵守预算</w:t>
      </w:r>
      <w:r>
        <w:rPr>
          <w:rFonts w:ascii="方正仿宋_GBK" w:hAnsi="方正仿宋_GBK" w:eastAsia="方正仿宋_GBK" w:cs="方正仿宋_GBK"/>
          <w:color w:val="000000" w:themeColor="text1"/>
          <w:sz w:val="32"/>
          <w:szCs w:val="32"/>
          <w:shd w:val="clear" w:color="auto" w:fill="FFFFFF"/>
        </w:rPr>
        <w:t>规定，</w:t>
      </w:r>
      <w:r>
        <w:rPr>
          <w:rFonts w:hint="default" w:ascii="方正仿宋_GBK" w:hAnsi="方正仿宋_GBK" w:eastAsia="方正仿宋_GBK" w:cs="方正仿宋_GBK"/>
          <w:color w:val="000000" w:themeColor="text1"/>
          <w:sz w:val="32"/>
          <w:szCs w:val="32"/>
          <w:shd w:val="clear" w:color="auto" w:fill="FFFFFF"/>
        </w:rPr>
        <w:t>合理使用资金，</w:t>
      </w:r>
      <w:r>
        <w:rPr>
          <w:rFonts w:ascii="方正仿宋_GBK" w:hAnsi="方正仿宋_GBK" w:eastAsia="方正仿宋_GBK" w:cs="方正仿宋_GBK"/>
          <w:color w:val="000000" w:themeColor="text1"/>
          <w:sz w:val="32"/>
          <w:szCs w:val="32"/>
          <w:shd w:val="clear" w:color="auto" w:fill="FFFFFF"/>
        </w:rPr>
        <w:t>实现收支平衡，无结转结余资金。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（1）文化旅游体育与传媒支出</w:t>
      </w:r>
      <w:r>
        <w:rPr>
          <w:rFonts w:ascii="方正仿宋_GBK" w:hAnsi="方正仿宋_GBK" w:eastAsia="方正仿宋_GBK" w:cs="方正仿宋_GBK"/>
          <w:sz w:val="32"/>
          <w:szCs w:val="32"/>
        </w:rPr>
        <w:t>218.83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75.35</w:t>
      </w:r>
      <w:r>
        <w:rPr>
          <w:rFonts w:ascii="方正仿宋_GBK" w:hAnsi="方正仿宋_GBK" w:eastAsia="方正仿宋_GBK" w:cs="方正仿宋_GBK"/>
          <w:sz w:val="32"/>
          <w:szCs w:val="32"/>
          <w:shd w:val="clear" w:color="auto" w:fill="FFFFFF"/>
        </w:rPr>
        <w:t>%，较年初预算数增加11.01万元，增长5.30%，主要原因是在职职工工资绩效增加；医保养老年金缴费增加。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49.11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16.91</w:t>
      </w:r>
      <w:r>
        <w:rPr>
          <w:rFonts w:ascii="方正仿宋_GBK" w:hAnsi="方正仿宋_GBK" w:eastAsia="方正仿宋_GBK" w:cs="方正仿宋_GBK"/>
          <w:sz w:val="32"/>
          <w:szCs w:val="32"/>
          <w:shd w:val="clear" w:color="auto" w:fill="FFFFFF"/>
        </w:rPr>
        <w:t>%，较年初预算数增加24.58万元，增长100.20%，主要原因是</w:t>
      </w:r>
      <w:r>
        <w:rPr>
          <w:rFonts w:ascii="方正仿宋_GBK" w:hAnsi="方正仿宋_GBK" w:eastAsia="方正仿宋_GBK" w:cs="方正仿宋_GBK"/>
          <w:color w:val="000000" w:themeColor="text1"/>
          <w:sz w:val="32"/>
          <w:szCs w:val="32"/>
          <w:shd w:val="clear" w:color="auto" w:fill="FFFFFF"/>
        </w:rPr>
        <w:t>人员缴费</w:t>
      </w:r>
      <w:r>
        <w:rPr>
          <w:rFonts w:hint="default" w:ascii="方正仿宋_GBK" w:hAnsi="方正仿宋_GBK" w:eastAsia="方正仿宋_GBK" w:cs="方正仿宋_GBK"/>
          <w:color w:val="000000" w:themeColor="text1"/>
          <w:sz w:val="32"/>
          <w:szCs w:val="32"/>
          <w:shd w:val="clear" w:color="auto" w:fill="FFFFFF"/>
        </w:rPr>
        <w:t>基数变更</w:t>
      </w:r>
      <w:r>
        <w:rPr>
          <w:rFonts w:ascii="方正仿宋_GBK" w:hAnsi="方正仿宋_GBK" w:eastAsia="方正仿宋_GBK" w:cs="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10.22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3.52</w:t>
      </w:r>
      <w:r>
        <w:rPr>
          <w:rFonts w:ascii="方正仿宋_GBK" w:hAnsi="方正仿宋_GBK" w:eastAsia="方正仿宋_GBK" w:cs="方正仿宋_GBK"/>
          <w:sz w:val="32"/>
          <w:szCs w:val="32"/>
          <w:shd w:val="clear" w:color="auto" w:fill="FFFFFF"/>
        </w:rPr>
        <w:t>%，较年初预算数无增减，主要原因是</w:t>
      </w:r>
      <w:r>
        <w:rPr>
          <w:rFonts w:ascii="方正仿宋_GBK" w:hAnsi="方正仿宋_GBK" w:eastAsia="方正仿宋_GBK" w:cs="方正仿宋_GBK"/>
          <w:color w:val="000000" w:themeColor="text1"/>
          <w:sz w:val="32"/>
          <w:szCs w:val="32"/>
          <w:shd w:val="clear" w:color="auto" w:fill="FFFFFF"/>
        </w:rPr>
        <w:t>社保缴费增加。</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住房保障支出12.26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4.22</w:t>
      </w:r>
      <w:r>
        <w:rPr>
          <w:rFonts w:ascii="方正仿宋_GBK" w:hAnsi="方正仿宋_GBK" w:eastAsia="方正仿宋_GBK" w:cs="方正仿宋_GBK"/>
          <w:sz w:val="32"/>
          <w:szCs w:val="32"/>
          <w:shd w:val="clear" w:color="auto" w:fill="FFFFFF"/>
        </w:rPr>
        <w:t>%，较年初预算数无增减，主要原因是</w:t>
      </w:r>
      <w:r>
        <w:rPr>
          <w:rFonts w:ascii="方正仿宋_GBK" w:hAnsi="方正仿宋_GBK" w:eastAsia="方正仿宋_GBK" w:cs="方正仿宋_GBK"/>
          <w:color w:val="000000" w:themeColor="text1"/>
          <w:sz w:val="32"/>
          <w:szCs w:val="32"/>
          <w:shd w:val="clear" w:color="auto" w:fill="FFFFFF"/>
        </w:rPr>
        <w:t>职工住房公积金无调整。</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290.43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261.83</w:t>
      </w:r>
      <w:r>
        <w:rPr>
          <w:rFonts w:ascii="方正仿宋_GBK" w:hAnsi="方正仿宋_GBK" w:eastAsia="方正仿宋_GBK" w:cs="方正仿宋_GBK"/>
          <w:sz w:val="32"/>
          <w:szCs w:val="32"/>
          <w:shd w:val="clear" w:color="auto" w:fill="FFFFFF"/>
        </w:rPr>
        <w:t>万元，与2023年度相比，增加21.16万元，增长8.79%，主要原因是在职职工工资绩效增加；医保养老年金缴费增加。人员经费用途主要包括</w:t>
      </w:r>
      <w:r>
        <w:rPr>
          <w:rFonts w:ascii="方正仿宋_GBK" w:eastAsia="方正仿宋_GBK"/>
          <w:sz w:val="32"/>
          <w:szCs w:val="32"/>
        </w:rPr>
        <w:t>基本工资、津贴补贴、绩效工资、生活补助、社会保障缴费等。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28.60</w:t>
      </w:r>
      <w:r>
        <w:rPr>
          <w:rFonts w:ascii="方正仿宋_GBK" w:hAnsi="方正仿宋_GBK" w:eastAsia="方正仿宋_GBK" w:cs="方正仿宋_GBK"/>
          <w:sz w:val="32"/>
          <w:szCs w:val="32"/>
          <w:shd w:val="clear" w:color="auto" w:fill="FFFFFF"/>
        </w:rPr>
        <w:t>万元，与2023年度相比，减少0.58万元，下降1.99%，主要原因是坚持厉行节约，严控“三公”经费、会议费和培训费等公用经费开支</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sz w:val="32"/>
          <w:szCs w:val="32"/>
        </w:rPr>
        <w:t>办公费、印刷费、水费、电费、差旅费、邮电费、维护费、培训费、公务接待费、劳务费、工会经费和福利费等。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hint="eastAsia" w:ascii="方正仿宋_GBK" w:hAnsi="方正仿宋_GBK" w:eastAsia="方正仿宋_GBK" w:cs="方正仿宋_GBK"/>
          <w:sz w:val="32"/>
          <w:szCs w:val="32"/>
          <w:shd w:val="clear" w:color="auto" w:fill="FFFFFF"/>
          <w:lang w:eastAsia="zh-CN"/>
        </w:rPr>
        <w:t>是</w:t>
      </w:r>
      <w:r>
        <w:rPr>
          <w:rFonts w:ascii="Times New Roman" w:hAnsi="Times New Roman" w:eastAsia="方正仿宋_GBK"/>
          <w:color w:val="000000" w:themeColor="text1"/>
          <w:sz w:val="32"/>
          <w:szCs w:val="32"/>
          <w:shd w:val="clear" w:color="auto" w:fill="FFFFFF"/>
        </w:rPr>
        <w:t>本年度无政府性基金预算财政拨款支出。本部门2024年度无政府性基金预算财政拨款收支。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0.74</w:t>
      </w:r>
      <w:r>
        <w:rPr>
          <w:rFonts w:ascii="方正仿宋_GBK" w:hAnsi="方正仿宋_GBK" w:eastAsia="方正仿宋_GBK" w:cs="方正仿宋_GBK"/>
          <w:sz w:val="32"/>
          <w:szCs w:val="32"/>
          <w:shd w:val="clear" w:color="auto" w:fill="FFFFFF"/>
        </w:rPr>
        <w:t>万元，较年初预算数减少4.26万元，下降85.20%，主要原因是厉行节约，严控“三公”经费开支。较上年支出数减少0.16万元，下降17.78%，主要原因是厉行节约，严控“三公”经费开支。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0.74</w:t>
      </w:r>
      <w:r>
        <w:rPr>
          <w:rFonts w:ascii="方正仿宋_GBK" w:hAnsi="方正仿宋_GBK" w:eastAsia="方正仿宋_GBK" w:cs="方正仿宋_GBK"/>
          <w:sz w:val="32"/>
          <w:szCs w:val="32"/>
          <w:shd w:val="clear" w:color="auto" w:fill="FFFFFF"/>
        </w:rPr>
        <w:t>万元，主要用于接待</w:t>
      </w:r>
      <w:r>
        <w:rPr>
          <w:rFonts w:ascii="方正仿宋_GBK" w:eastAsia="方正仿宋_GBK"/>
          <w:sz w:val="32"/>
          <w:szCs w:val="32"/>
        </w:rPr>
        <w:t>有关单位调研和招商引资等产生的接待支</w:t>
      </w:r>
      <w:r>
        <w:rPr>
          <w:rFonts w:ascii="方正仿宋_GBK" w:eastAsia="方正仿宋_GBK"/>
          <w:color w:val="000000" w:themeColor="text1"/>
          <w:sz w:val="32"/>
          <w:szCs w:val="32"/>
        </w:rPr>
        <w:t>出。</w:t>
      </w:r>
      <w:r>
        <w:rPr>
          <w:rFonts w:ascii="方正仿宋_GBK" w:hAnsi="方正仿宋_GBK" w:eastAsia="方正仿宋_GBK" w:cs="方正仿宋_GBK"/>
          <w:sz w:val="32"/>
          <w:szCs w:val="32"/>
          <w:shd w:val="clear" w:color="auto" w:fill="FFFFFF"/>
        </w:rPr>
        <w:t>费用支出较年初预算数减少4.26万元，下降85.20%，主要原因是</w:t>
      </w:r>
      <w:r>
        <w:rPr>
          <w:rFonts w:ascii="方正仿宋_GBK" w:eastAsia="方正仿宋_GBK"/>
          <w:sz w:val="32"/>
          <w:szCs w:val="32"/>
        </w:rPr>
        <w:t>严格遵守公务接待开支范围和开支标准，严格控制陪餐人数</w:t>
      </w:r>
      <w:r>
        <w:rPr>
          <w:rFonts w:eastAsia="方正仿宋_GBK"/>
          <w:sz w:val="32"/>
        </w:rPr>
        <w:t>。</w:t>
      </w:r>
      <w:r>
        <w:rPr>
          <w:rFonts w:ascii="方正仿宋_GBK" w:hAnsi="方正仿宋_GBK" w:eastAsia="方正仿宋_GBK" w:cs="方正仿宋_GBK"/>
          <w:sz w:val="32"/>
          <w:szCs w:val="32"/>
          <w:shd w:val="clear" w:color="auto" w:fill="FFFFFF"/>
        </w:rPr>
        <w:t>较上年支出数减少0.16万元，下降17.78%，主要原因是</w:t>
      </w:r>
      <w:r>
        <w:rPr>
          <w:rFonts w:ascii="方正仿宋_GBK" w:eastAsia="方正仿宋_GBK"/>
          <w:sz w:val="32"/>
          <w:szCs w:val="32"/>
        </w:rPr>
        <w:t>严格遵守公务接待开支范围和开支标准，严格控制陪餐人数</w:t>
      </w:r>
      <w:r>
        <w:rPr>
          <w:rFonts w:eastAsia="方正仿宋_GBK"/>
          <w:sz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68.78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万元，与2023年度相比，减少0.50万元，下降100.00%，主要原因是业务活动减少</w:t>
      </w:r>
      <w:r>
        <w:rPr>
          <w:rFonts w:hint="default" w:ascii="方正仿宋_GBK" w:hAnsi="方正仿宋_GBK" w:eastAsia="方正仿宋_GBK" w:cs="方正仿宋_GBK"/>
          <w:sz w:val="32"/>
          <w:szCs w:val="32"/>
          <w:shd w:val="clear" w:color="auto" w:fill="FFFFFF"/>
        </w:rPr>
        <w:t>，会议场次</w:t>
      </w:r>
      <w:r>
        <w:rPr>
          <w:rFonts w:ascii="方正仿宋_GBK" w:hAnsi="方正仿宋_GBK" w:eastAsia="方正仿宋_GBK" w:cs="方正仿宋_GBK"/>
          <w:sz w:val="32"/>
          <w:szCs w:val="32"/>
          <w:shd w:val="clear" w:color="auto" w:fill="FFFFFF"/>
        </w:rPr>
        <w:t>减少</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万元，与2023年度相比，减少0.65万元，下降89.04%，主要原因是专业和</w:t>
      </w:r>
      <w:r>
        <w:rPr>
          <w:rFonts w:hint="default" w:ascii="方正仿宋_GBK" w:hAnsi="方正仿宋_GBK" w:eastAsia="方正仿宋_GBK" w:cs="方正仿宋_GBK"/>
          <w:sz w:val="32"/>
          <w:szCs w:val="32"/>
          <w:shd w:val="clear" w:color="auto" w:fill="FFFFFF"/>
        </w:rPr>
        <w:t>技能方面的培训活动</w:t>
      </w:r>
      <w:r>
        <w:rPr>
          <w:rFonts w:ascii="方正仿宋_GBK" w:hAnsi="方正仿宋_GBK" w:eastAsia="方正仿宋_GBK" w:cs="方正仿宋_GBK"/>
          <w:sz w:val="32"/>
          <w:szCs w:val="32"/>
          <w:shd w:val="clear" w:color="auto" w:fill="FFFFFF"/>
        </w:rPr>
        <w:t>减少，导致培训费用有所减少</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w:t>
      </w:r>
      <w:r>
        <w:rPr>
          <w:rFonts w:ascii="方正仿宋_GBK" w:eastAsia="方正仿宋_GBK"/>
          <w:bCs/>
          <w:sz w:val="32"/>
          <w:szCs w:val="32"/>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1"/>
        <w:autoSpaceDE w:val="0"/>
        <w:ind w:firstLine="640"/>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rPr>
        <w:t>202</w:t>
      </w:r>
      <w:r>
        <w:rPr>
          <w:rFonts w:hint="eastAsia" w:ascii="方正仿宋_GBK" w:hAnsi="方正仿宋_GBK" w:eastAsia="方正仿宋_GBK" w:cs="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年度我单位未发生政府采购事项，无相关经费支出。</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1"/>
        <w:autoSpaceDE w:val="0"/>
        <w:ind w:firstLine="643"/>
        <w:rPr>
          <w:rFonts w:ascii="方正仿宋_GBK" w:hAnsi="方正仿宋_GBK" w:eastAsia="方正仿宋_GBK" w:cs="方正仿宋_GBK"/>
          <w:color w:val="000000" w:themeColor="text1"/>
          <w:sz w:val="32"/>
          <w:szCs w:val="32"/>
          <w:shd w:val="clear" w:color="auto" w:fill="FFFFFF"/>
        </w:rPr>
      </w:pPr>
      <w:r>
        <w:rPr>
          <w:rStyle w:val="10"/>
          <w:rFonts w:ascii="方正仿宋_GBK" w:eastAsia="方正仿宋_GBK"/>
          <w:sz w:val="32"/>
          <w:szCs w:val="32"/>
        </w:rPr>
        <w:t xml:space="preserve"> </w:t>
      </w:r>
      <w:r>
        <w:rPr>
          <w:rStyle w:val="10"/>
          <w:rFonts w:ascii="方正仿宋_GBK" w:eastAsia="方正仿宋_GBK"/>
          <w:b w:val="0"/>
          <w:sz w:val="32"/>
          <w:szCs w:val="32"/>
        </w:rPr>
        <w:t xml:space="preserve"> </w:t>
      </w:r>
      <w:r>
        <w:rPr>
          <w:rFonts w:hint="eastAsia" w:ascii="方正仿宋_GBK" w:hAnsi="方正仿宋_GBK" w:eastAsia="方正仿宋_GBK" w:cs="方正仿宋_GBK"/>
          <w:color w:val="000000" w:themeColor="text1"/>
          <w:sz w:val="32"/>
          <w:szCs w:val="32"/>
          <w:shd w:val="clear" w:color="auto" w:fill="FFFFFF"/>
        </w:rPr>
        <w:t>本</w:t>
      </w:r>
      <w:r>
        <w:rPr>
          <w:rFonts w:hint="eastAsia" w:ascii="方正仿宋_GBK" w:hAnsi="方正仿宋_GBK" w:eastAsia="方正仿宋_GBK" w:cs="方正仿宋_GBK"/>
          <w:sz w:val="32"/>
          <w:szCs w:val="32"/>
          <w:shd w:val="clear" w:color="auto" w:fill="FFFFFF"/>
        </w:rPr>
        <w:t>单位无项目资金，故无绩效自评。</w:t>
      </w:r>
      <w:r>
        <w:rPr>
          <w:rFonts w:hAnsi="方正仿宋_GBK" w:cs="方正仿宋_GBK"/>
          <w:b/>
          <w:color w:val="000000" w:themeColor="text1"/>
          <w:shd w:val="clear" w:color="auto" w:fill="FFFFFF"/>
        </w:rPr>
        <w:t xml:space="preserve"> </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 xml:space="preserve">   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 xml:space="preserve">   县财政局未委托第三方对我单位开展绩效评价。</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00"/>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000000" w:themeColor="text1"/>
          <w:sz w:val="32"/>
          <w:szCs w:val="32"/>
          <w:shd w:val="clear" w:color="auto" w:fill="FFFFFF"/>
        </w:rPr>
        <w:t>刘老师    023-74522459</w:t>
      </w:r>
    </w:p>
    <w:p>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垫江县旅游营销招商中心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290.43</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49.11</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290.43</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290.43</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290.43</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垫江县旅游营销招商中心</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290.43</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290.43</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218.83</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218.83</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218.83</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218.83</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218.83</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218.83</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垫江县旅游营销招商中心</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290.43</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290.43</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垫江县旅游营销招商中心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垫江县旅游营销招商中心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290.43</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290.43</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218.83</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218.83</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218.83</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218.83</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218.83</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218.83</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49.11</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49.11</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49.11</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49.11</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16.49</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16.49</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垫江县旅游营销招商中心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261.83</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32.62</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261.83</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垫江县旅游营销招商中心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垫江县旅游营销招商中心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垫江县旅游营销招商中心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0.74</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0.74</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4MWM2YmFhNjI2ZjBiMzdmZDQ5YWQxZGNmMDQ4ZWEifQ=="/>
  </w:docVars>
  <w:rsids>
    <w:rsidRoot w:val="00B03CCD"/>
    <w:rsid w:val="000239C6"/>
    <w:rsid w:val="001A125A"/>
    <w:rsid w:val="001D3BB7"/>
    <w:rsid w:val="002B254B"/>
    <w:rsid w:val="00374F84"/>
    <w:rsid w:val="00466C9B"/>
    <w:rsid w:val="0048440E"/>
    <w:rsid w:val="00550ABE"/>
    <w:rsid w:val="005B2F3A"/>
    <w:rsid w:val="00703279"/>
    <w:rsid w:val="00770383"/>
    <w:rsid w:val="007819D4"/>
    <w:rsid w:val="00787136"/>
    <w:rsid w:val="007B419D"/>
    <w:rsid w:val="007B7C4B"/>
    <w:rsid w:val="007D3D39"/>
    <w:rsid w:val="007E34CB"/>
    <w:rsid w:val="00994AF7"/>
    <w:rsid w:val="009B67B8"/>
    <w:rsid w:val="009D2B67"/>
    <w:rsid w:val="00A566F9"/>
    <w:rsid w:val="00AF2751"/>
    <w:rsid w:val="00B03CCD"/>
    <w:rsid w:val="00BC794E"/>
    <w:rsid w:val="00BE2B89"/>
    <w:rsid w:val="00C10E9E"/>
    <w:rsid w:val="00C20C3E"/>
    <w:rsid w:val="00CF2ACF"/>
    <w:rsid w:val="00F73F90"/>
    <w:rsid w:val="00F83B0C"/>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7DD187B"/>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1D14D73"/>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autoRedefine/>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autoRedefine/>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autoRedefine/>
    <w:qFormat/>
    <w:uiPriority w:val="0"/>
    <w:rPr>
      <w:rFonts w:hint="default" w:ascii="Wingdings" w:hAnsi="Wingdings" w:cs="Wingdings"/>
      <w:b/>
      <w:bCs/>
    </w:rPr>
  </w:style>
  <w:style w:type="paragraph" w:customStyle="1" w:styleId="14">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autoRedefine/>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1919</Words>
  <Characters>10943</Characters>
  <Lines>91</Lines>
  <Paragraphs>25</Paragraphs>
  <TotalTime>87</TotalTime>
  <ScaleCrop>false</ScaleCrop>
  <LinksUpToDate>false</LinksUpToDate>
  <CharactersWithSpaces>12837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2025-08-13T06:25:00Z</dcterms:created>
  <dc:creator>Administrator</dc:creator>
  <cp:lastModifiedBy>WPS_1664260647</cp:lastModifiedBy>
  <dcterms:modified xsi:type="dcterms:W3CDTF">2025-09-24T09:06:05Z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