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pStyle w:val="16"/>
        <w:spacing w:line="254" w:lineRule="auto"/>
      </w:pPr>
      <w:r>
        <w:rPr>
          <w:spacing w:val="-2"/>
        </w:rPr>
        <w:t>重庆市垫江县信访办公室 2020</w:t>
      </w:r>
      <w:r>
        <w:rPr>
          <w:spacing w:val="-14"/>
        </w:rPr>
        <w:t xml:space="preserve"> 年度部门决算情况说明</w:t>
      </w:r>
    </w:p>
    <w:p>
      <w:pPr>
        <w:pStyle w:val="15"/>
        <w:spacing w:before="144"/>
        <w:ind w:left="0"/>
        <w:rPr>
          <w:sz w:val="44"/>
        </w:r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48"/>
        <w:textAlignment w:val="auto"/>
      </w:pPr>
      <w:r>
        <w:rPr>
          <w:spacing w:val="-5"/>
        </w:rPr>
        <w:t>一、部门基本情况</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（一）</w:t>
      </w:r>
      <w:r>
        <w:rPr>
          <w:spacing w:val="-6"/>
        </w:rPr>
        <w:t>职能职责</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4" w:firstLine="640"/>
        <w:jc w:val="both"/>
        <w:textAlignment w:val="auto"/>
        <w:sectPr>
          <w:type w:val="continuous"/>
          <w:pgSz w:w="11910" w:h="16840"/>
          <w:pgMar w:top="1460" w:right="1460" w:bottom="280" w:left="1680" w:header="720" w:footer="720" w:gutter="0"/>
          <w:cols w:num="1" w:space="720"/>
          <w:docGrid w:linePitch="312" w:charSpace="0"/>
        </w:sectPr>
      </w:pPr>
      <w:r>
        <w:rPr>
          <w:spacing w:val="-2"/>
        </w:rPr>
        <w:t>垫江县信访办公室，为县政府工作部门。其主要职责： 1.负责处理县内外群众、法人及其他组织通过信访渠道给县</w:t>
      </w:r>
      <w:r>
        <w:rPr>
          <w:spacing w:val="11"/>
        </w:rPr>
        <w:t>委、县政府和县委、县政府领导同志的来信来电，接待来访；负责向县委、县政府和县委、县政府领导同志反映来信来电来访中提出的重要建议、意见和问题，综合研判信</w:t>
      </w:r>
      <w:r>
        <w:rPr>
          <w:spacing w:val="-2"/>
        </w:rPr>
        <w:t>访信息，开展调查研究，提出工作意见，供领导决策参考。 2.承担督促检查领导同志有关指示件落实情况的责任，拟订</w:t>
      </w:r>
      <w:r>
        <w:rPr>
          <w:spacing w:val="11"/>
        </w:rPr>
        <w:t>信访督查制度并组织实施，承办县领导同志交办信访事项的落实，向乡镇和部门转办、交办信访事项，督促检查重</w:t>
      </w:r>
      <w:r>
        <w:rPr>
          <w:spacing w:val="-2"/>
        </w:rPr>
        <w:t>要信访事项的处理和落实。3.承担协调处理群众到京、到市</w:t>
      </w:r>
      <w:r>
        <w:rPr>
          <w:spacing w:val="11"/>
        </w:rPr>
        <w:t>委、市政府、到县委、县政府上访、集体上访和非正常上</w:t>
      </w:r>
      <w:r>
        <w:rPr>
          <w:spacing w:val="-2"/>
        </w:rPr>
        <w:t>访的责任；综合协调处理跨乡镇、跨部门的重要信访问题。 4.综合协调指导全县信访工作，拟订有关信访工作的地方性</w:t>
      </w:r>
      <w:r>
        <w:rPr>
          <w:spacing w:val="11"/>
        </w:rPr>
        <w:t>政策文件；总结推广各乡镇、各部门信访工作经验，提出改进和加强信访工作的意见和建议；检查、指导乡镇和部</w:t>
      </w:r>
      <w:r>
        <w:rPr>
          <w:spacing w:val="-2"/>
        </w:rPr>
        <w:t>门的信访工作。5.负责人民群众建议的征集、收集、评比、奖励工作，并督促有关部门采纳人民建议。6.受县人民政府</w:t>
      </w:r>
      <w:r>
        <w:rPr>
          <w:spacing w:val="9"/>
        </w:rPr>
        <w:t>的委托，负责信访事项复查复核日常工作；负责信访复查</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8" w:firstLine="0"/>
        <w:jc w:val="both"/>
        <w:textAlignment w:val="auto"/>
      </w:pPr>
      <w:r>
        <w:rPr>
          <w:spacing w:val="-2"/>
        </w:rPr>
        <w:t>事项的处理，监督复查复核决定的执行。7.拟订信访问题排</w:t>
      </w:r>
      <w:r>
        <w:rPr>
          <w:spacing w:val="9"/>
        </w:rPr>
        <w:t>查化解制度并组织实施，建立和完善信访信息汇集分析机</w:t>
      </w:r>
      <w:r>
        <w:rPr>
          <w:spacing w:val="-2"/>
        </w:rPr>
        <w:t>制，指导信访办公自动化建设。8.了解并掌握全县信访工作队伍建设情况，组织信访干部培训。9.承办县委、县政府交办的其他事项。</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（二）</w:t>
      </w:r>
      <w:r>
        <w:rPr>
          <w:spacing w:val="-6"/>
        </w:rPr>
        <w:t>机构设置</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39"/>
        <w:textAlignment w:val="auto"/>
      </w:pPr>
      <w:r>
        <w:rPr>
          <w:spacing w:val="-2"/>
        </w:rPr>
        <w:t xml:space="preserve">我办内设机构 </w:t>
      </w:r>
      <w:r>
        <w:t>4 个：综合科、接访科、督办科、信访</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4696"/>
        <w:jc w:val="center"/>
        <w:textAlignment w:val="auto"/>
      </w:pPr>
      <w:r>
        <w:rPr>
          <w:spacing w:val="-16"/>
        </w:rPr>
        <w:t xml:space="preserve">稳定协调科 </w:t>
      </w:r>
      <w:r>
        <w:rPr>
          <w:spacing w:val="-4"/>
        </w:rPr>
        <w:t>4</w:t>
      </w:r>
      <w:r>
        <w:rPr>
          <w:spacing w:val="-17"/>
        </w:rPr>
        <w:t xml:space="preserve"> 个职能科室。</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23" w:right="4696"/>
        <w:jc w:val="center"/>
        <w:textAlignment w:val="auto"/>
      </w:pPr>
      <w:r>
        <w:rPr>
          <w:spacing w:val="-4"/>
        </w:rPr>
        <w:t>（三）</w:t>
      </w:r>
      <w:r>
        <w:rPr>
          <w:spacing w:val="-6"/>
        </w:rPr>
        <w:t>单位构成</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119" w:right="338" w:firstLine="640"/>
        <w:jc w:val="both"/>
        <w:textAlignment w:val="auto"/>
      </w:pPr>
      <w:r>
        <w:t>从预算单位构成看，纳入</w:t>
      </w:r>
      <w:r>
        <w:rPr>
          <w:rFonts w:hint="eastAsia"/>
          <w:lang w:eastAsia="zh-CN"/>
        </w:rPr>
        <w:t>本</w:t>
      </w:r>
      <w:r>
        <w:rPr>
          <w:spacing w:val="-8"/>
        </w:rPr>
        <w:t xml:space="preserve">部门 </w:t>
      </w:r>
      <w:r>
        <w:t>2020</w:t>
      </w:r>
      <w:r>
        <w:rPr>
          <w:spacing w:val="-5"/>
        </w:rPr>
        <w:t xml:space="preserve"> 年度决算编制的</w:t>
      </w:r>
      <w:r>
        <w:rPr>
          <w:spacing w:val="9"/>
        </w:rPr>
        <w:t>二级预算单位主要包括垫江县信访投</w:t>
      </w:r>
      <w:r>
        <w:rPr>
          <w:rFonts w:hint="eastAsia"/>
          <w:spacing w:val="9"/>
          <w:lang w:eastAsia="zh-CN"/>
        </w:rPr>
        <w:t>诉</w:t>
      </w:r>
      <w:r>
        <w:rPr>
          <w:spacing w:val="9"/>
        </w:rPr>
        <w:t>受理中心。垫江县</w:t>
      </w:r>
      <w:r>
        <w:rPr>
          <w:spacing w:val="22"/>
        </w:rPr>
        <w:t>信访办下属全额拨款事业单位垫江县信访投诉受理中心</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5"/>
        <w:jc w:val="both"/>
        <w:textAlignment w:val="auto"/>
      </w:pPr>
      <w:r>
        <w:rPr>
          <w:spacing w:val="-2"/>
        </w:rPr>
        <w:t>（二级单位）。其主要职责：1.负责收集、掌握、分析、研</w:t>
      </w:r>
      <w:r>
        <w:t>判信访稳定信息，为领导准确决策提供参考依据 2.通过网</w:t>
      </w:r>
      <w:r>
        <w:rPr>
          <w:spacing w:val="9"/>
        </w:rPr>
        <w:t>上与信访人进行政策解释和思想沟通，对信访人网上信访</w:t>
      </w:r>
      <w:r>
        <w:rPr>
          <w:spacing w:val="-2"/>
        </w:rPr>
        <w:t>诉求进行办理并书面答复。3.协助县信访办接待群众信访。</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5"/>
        </w:rPr>
        <w:t>二、部门决算情况说明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jc w:val="both"/>
        <w:textAlignment w:val="auto"/>
      </w:pPr>
      <w:r>
        <w:rPr>
          <w:spacing w:val="-4"/>
        </w:rPr>
        <w:t>（一）</w:t>
      </w:r>
      <w:r>
        <w:rPr>
          <w:spacing w:val="-5"/>
        </w:rPr>
        <w:t>收入支出决算总体情况说明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1" w:firstLine="640"/>
        <w:jc w:val="both"/>
        <w:textAlignment w:val="auto"/>
      </w:pPr>
      <w:r>
        <w:rPr>
          <w:rFonts w:ascii="Microsoft JhengHei" w:eastAsia="Microsoft JhengHei" w:hAnsi="Microsoft JhengHei"/>
          <w:b/>
        </w:rPr>
        <w:t>1.总体情况</w:t>
      </w:r>
      <w:r>
        <w:t>。2020</w:t>
      </w:r>
      <w:r>
        <w:rPr>
          <w:spacing w:val="-14"/>
        </w:rPr>
        <w:t xml:space="preserve"> 年度收入总计 </w:t>
      </w:r>
      <w:r>
        <w:t>712.16</w:t>
      </w:r>
      <w:r>
        <w:rPr>
          <w:spacing w:val="-9"/>
        </w:rPr>
        <w:t xml:space="preserve"> 万元，支出总</w:t>
      </w:r>
      <w:r>
        <w:rPr>
          <w:spacing w:val="-25"/>
        </w:rPr>
        <w:t xml:space="preserve">计 </w:t>
      </w:r>
      <w:r>
        <w:t>712.16</w:t>
      </w:r>
      <w:r>
        <w:rPr>
          <w:spacing w:val="-13"/>
        </w:rPr>
        <w:t xml:space="preserve"> 万元。收支较上年决算数增加 </w:t>
      </w:r>
      <w:r>
        <w:t>3.74</w:t>
      </w:r>
      <w:r>
        <w:rPr>
          <w:spacing w:val="-11"/>
        </w:rPr>
        <w:t xml:space="preserve"> 万元，增长</w:t>
      </w:r>
      <w:r>
        <w:rPr>
          <w:spacing w:val="-2"/>
        </w:rPr>
        <w:t>0.5</w:t>
      </w:r>
      <w:r>
        <w:rPr>
          <w:spacing w:val="-3"/>
        </w:rPr>
        <w:t>%，主要原因是信访工作量大任务重，公用经费增加。</w:t>
      </w:r>
    </w:p>
    <w:p>
      <w:pPr>
        <w:pStyle w:val="17"/>
        <w:keepNext w:val="0"/>
        <w:keepLines w:val="0"/>
        <w:pageBreakBefore w:val="0"/>
        <w:widowControl w:val="0"/>
        <w:numPr>
          <w:ilvl w:val="0"/>
          <w:numId w:val="1"/>
        </w:numPr>
        <w:tabs>
          <w:tab w:val="left" w:pos="1010"/>
        </w:tabs>
        <w:kinsoku/>
        <w:wordWrap/>
        <w:overflowPunct/>
        <w:topLinePunct w:val="0"/>
        <w:autoSpaceDE w:val="0"/>
        <w:autoSpaceDN w:val="0"/>
        <w:bidi w:val="0"/>
        <w:adjustRightInd/>
        <w:snapToGrid/>
        <w:spacing w:before="0" w:after="0" w:line="594" w:lineRule="exact"/>
        <w:ind w:left="120" w:right="331" w:firstLine="640"/>
        <w:jc w:val="left"/>
        <w:textAlignment w:val="auto"/>
        <w:rPr>
          <w:sz w:val="32"/>
        </w:rPr>
      </w:pPr>
      <w:r>
        <w:rPr>
          <w:rFonts w:ascii="Microsoft JhengHei" w:eastAsia="Microsoft JhengHei" w:hAnsi="Microsoft JhengHei"/>
          <w:b/>
          <w:sz w:val="32"/>
        </w:rPr>
        <w:t>收入情况。</w:t>
      </w:r>
      <w:r>
        <w:rPr>
          <w:sz w:val="32"/>
        </w:rPr>
        <w:t>2020</w:t>
      </w:r>
      <w:r>
        <w:rPr>
          <w:spacing w:val="-13"/>
          <w:sz w:val="32"/>
        </w:rPr>
        <w:t xml:space="preserve"> 年度收入合计 </w:t>
      </w:r>
      <w:r>
        <w:rPr>
          <w:sz w:val="32"/>
        </w:rPr>
        <w:t>646.73</w:t>
      </w:r>
      <w:r>
        <w:rPr>
          <w:spacing w:val="-8"/>
          <w:sz w:val="32"/>
        </w:rPr>
        <w:t xml:space="preserve"> 万元，较上年</w:t>
      </w:r>
      <w:r>
        <w:rPr>
          <w:spacing w:val="-5"/>
          <w:sz w:val="32"/>
        </w:rPr>
        <w:t xml:space="preserve">决算数减少 </w:t>
      </w:r>
      <w:r>
        <w:rPr>
          <w:sz w:val="32"/>
        </w:rPr>
        <w:t>61.64</w:t>
      </w:r>
      <w:r>
        <w:rPr>
          <w:spacing w:val="-14"/>
          <w:sz w:val="32"/>
        </w:rPr>
        <w:t xml:space="preserve"> 万元，下降 </w:t>
      </w:r>
      <w:r>
        <w:rPr>
          <w:sz w:val="32"/>
        </w:rPr>
        <w:t>8.7</w:t>
      </w:r>
      <w:r>
        <w:rPr>
          <w:spacing w:val="5"/>
          <w:sz w:val="32"/>
        </w:rPr>
        <w:t>%，主要原因是年末结转</w:t>
      </w:r>
    </w:p>
    <w:p>
      <w:pPr>
        <w:keepNext w:val="0"/>
        <w:keepLines w:val="0"/>
        <w:pageBreakBefore w:val="0"/>
        <w:widowControl w:val="0"/>
        <w:kinsoku/>
        <w:wordWrap/>
        <w:overflowPunct/>
        <w:topLinePunct w:val="0"/>
        <w:autoSpaceDE w:val="0"/>
        <w:autoSpaceDN w:val="0"/>
        <w:bidi w:val="0"/>
        <w:adjustRightInd/>
        <w:snapToGrid/>
        <w:spacing w:before="0" w:after="0" w:line="594" w:lineRule="exact"/>
        <w:jc w:val="left"/>
        <w:textAlignment w:val="auto"/>
        <w:rPr>
          <w:sz w:val="32"/>
        </w:rPr>
        <w:sectPr>
          <w:pgSz w:w="11910" w:h="16840"/>
          <w:pgMar w:top="152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5"/>
        <w:jc w:val="both"/>
        <w:textAlignment w:val="auto"/>
      </w:pPr>
      <w:r>
        <w:rPr>
          <w:spacing w:val="-11"/>
        </w:rPr>
        <w:t xml:space="preserve">存量资金 </w:t>
      </w:r>
      <w:r>
        <w:rPr>
          <w:spacing w:val="-4"/>
        </w:rPr>
        <w:t>65.56</w:t>
      </w:r>
      <w:r>
        <w:rPr>
          <w:spacing w:val="-10"/>
        </w:rPr>
        <w:t xml:space="preserve"> 万元，存量资金未纳入年初预算数，预算资</w:t>
      </w:r>
      <w:r>
        <w:rPr>
          <w:spacing w:val="14"/>
        </w:rPr>
        <w:t xml:space="preserve">金较上年减少。其中： 财政拨款收入 </w:t>
      </w:r>
      <w:r>
        <w:t>646.73</w:t>
      </w:r>
      <w:r>
        <w:rPr>
          <w:spacing w:val="-5"/>
        </w:rPr>
        <w:t xml:space="preserve"> 万元， 占</w:t>
      </w:r>
      <w:r>
        <w:t xml:space="preserve"> 100.0</w:t>
      </w:r>
      <w:r>
        <w:rPr>
          <w:spacing w:val="-4"/>
        </w:rPr>
        <w:t xml:space="preserve">%；年初结转和结余 </w:t>
      </w:r>
      <w:r>
        <w:t>0.01</w:t>
      </w:r>
      <w:r>
        <w:rPr>
          <w:spacing w:val="-10"/>
        </w:rPr>
        <w:t xml:space="preserve"> 万元。</w:t>
      </w:r>
    </w:p>
    <w:p>
      <w:pPr>
        <w:pStyle w:val="17"/>
        <w:keepNext w:val="0"/>
        <w:keepLines w:val="0"/>
        <w:pageBreakBefore w:val="0"/>
        <w:widowControl w:val="0"/>
        <w:numPr>
          <w:ilvl w:val="0"/>
          <w:numId w:val="1"/>
        </w:numPr>
        <w:tabs>
          <w:tab w:val="left" w:pos="1010"/>
        </w:tabs>
        <w:kinsoku/>
        <w:wordWrap/>
        <w:overflowPunct/>
        <w:topLinePunct w:val="0"/>
        <w:autoSpaceDE w:val="0"/>
        <w:autoSpaceDN w:val="0"/>
        <w:bidi w:val="0"/>
        <w:adjustRightInd/>
        <w:snapToGrid/>
        <w:spacing w:before="0" w:after="0" w:line="594" w:lineRule="exact"/>
        <w:ind w:left="1010" w:right="0" w:hanging="250"/>
        <w:jc w:val="both"/>
        <w:textAlignment w:val="auto"/>
        <w:rPr>
          <w:sz w:val="32"/>
        </w:rPr>
      </w:pPr>
      <w:r>
        <w:rPr>
          <w:rFonts w:ascii="Microsoft JhengHei" w:eastAsia="Microsoft JhengHei" w:hAnsi="Microsoft JhengHei"/>
          <w:b/>
          <w:sz w:val="32"/>
        </w:rPr>
        <w:t>支出情况。</w:t>
      </w:r>
      <w:r>
        <w:rPr>
          <w:sz w:val="32"/>
        </w:rPr>
        <w:t>2020</w:t>
      </w:r>
      <w:r>
        <w:rPr>
          <w:spacing w:val="-15"/>
          <w:sz w:val="32"/>
        </w:rPr>
        <w:t xml:space="preserve"> 年度支出合计 </w:t>
      </w:r>
      <w:r>
        <w:rPr>
          <w:sz w:val="32"/>
        </w:rPr>
        <w:t>712.15</w:t>
      </w:r>
      <w:r>
        <w:rPr>
          <w:spacing w:val="-10"/>
          <w:sz w:val="32"/>
        </w:rPr>
        <w:t xml:space="preserve"> 万元，较上年</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4"/>
        <w:jc w:val="both"/>
        <w:textAlignment w:val="auto"/>
      </w:pPr>
      <w:r>
        <w:rPr>
          <w:spacing w:val="-9"/>
        </w:rPr>
        <w:t xml:space="preserve">决算数增加 </w:t>
      </w:r>
      <w:r>
        <w:rPr>
          <w:spacing w:val="-4"/>
        </w:rPr>
        <w:t>3.74</w:t>
      </w:r>
      <w:r>
        <w:rPr>
          <w:spacing w:val="-13"/>
        </w:rPr>
        <w:t xml:space="preserve"> 万元，增长 </w:t>
      </w:r>
      <w:r>
        <w:rPr>
          <w:spacing w:val="-4"/>
        </w:rPr>
        <w:t>0.5%，主要原因是信访工作量</w:t>
      </w:r>
      <w:r>
        <w:t>大任务重，公用经费增加。其中：基</w:t>
      </w:r>
      <w:r>
        <w:rPr>
          <w:rFonts w:hint="eastAsia"/>
          <w:lang w:eastAsia="zh-CN"/>
        </w:rPr>
        <w:t>本</w:t>
      </w:r>
      <w:r>
        <w:rPr>
          <w:spacing w:val="-7"/>
        </w:rPr>
        <w:t xml:space="preserve">支出 </w:t>
      </w:r>
      <w:r>
        <w:t>412.15</w:t>
      </w:r>
      <w:r>
        <w:rPr>
          <w:spacing w:val="-7"/>
        </w:rPr>
        <w:t xml:space="preserve"> 万元，</w:t>
      </w:r>
      <w:r>
        <w:rPr>
          <w:spacing w:val="-27"/>
        </w:rPr>
        <w:t xml:space="preserve">占 </w:t>
      </w:r>
      <w:r>
        <w:t>57.9</w:t>
      </w:r>
      <w:r>
        <w:rPr>
          <w:spacing w:val="-8"/>
        </w:rPr>
        <w:t xml:space="preserve">%；项目支出 </w:t>
      </w:r>
      <w:r>
        <w:t>300.00</w:t>
      </w:r>
      <w:r>
        <w:rPr>
          <w:spacing w:val="-19"/>
        </w:rPr>
        <w:t xml:space="preserve"> 万元，占 </w:t>
      </w:r>
      <w:r>
        <w:t>42.1%；</w:t>
      </w:r>
    </w:p>
    <w:p>
      <w:pPr>
        <w:pStyle w:val="17"/>
        <w:keepNext w:val="0"/>
        <w:keepLines w:val="0"/>
        <w:pageBreakBefore w:val="0"/>
        <w:widowControl w:val="0"/>
        <w:numPr>
          <w:ilvl w:val="0"/>
          <w:numId w:val="1"/>
        </w:numPr>
        <w:tabs>
          <w:tab w:val="left" w:pos="1078"/>
        </w:tabs>
        <w:kinsoku/>
        <w:wordWrap/>
        <w:overflowPunct/>
        <w:topLinePunct w:val="0"/>
        <w:autoSpaceDE w:val="0"/>
        <w:autoSpaceDN w:val="0"/>
        <w:bidi w:val="0"/>
        <w:adjustRightInd/>
        <w:snapToGrid/>
        <w:spacing w:before="0" w:after="0" w:line="594" w:lineRule="exact"/>
        <w:ind w:left="1078" w:right="0" w:hanging="238"/>
        <w:jc w:val="both"/>
        <w:textAlignment w:val="auto"/>
        <w:rPr>
          <w:sz w:val="32"/>
        </w:rPr>
      </w:pPr>
      <w:r>
        <w:rPr>
          <w:rFonts w:ascii="Microsoft JhengHei" w:eastAsia="Microsoft JhengHei" w:hAnsi="Microsoft JhengHei"/>
          <w:b/>
          <w:spacing w:val="-6"/>
          <w:sz w:val="32"/>
        </w:rPr>
        <w:t>结转结余情况。</w:t>
      </w:r>
      <w:r>
        <w:rPr>
          <w:spacing w:val="-6"/>
          <w:sz w:val="32"/>
        </w:rPr>
        <w:t>2020</w:t>
      </w:r>
      <w:r>
        <w:rPr>
          <w:spacing w:val="-21"/>
          <w:sz w:val="32"/>
        </w:rPr>
        <w:t xml:space="preserve"> 年度年末结转和结余 </w:t>
      </w:r>
      <w:r>
        <w:rPr>
          <w:spacing w:val="-6"/>
          <w:sz w:val="32"/>
        </w:rPr>
        <w:t>0.01</w:t>
      </w:r>
      <w:r>
        <w:rPr>
          <w:spacing w:val="-25"/>
          <w:sz w:val="32"/>
        </w:rPr>
        <w:t xml:space="preserve"> 万元，</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4"/>
        <w:jc w:val="both"/>
        <w:textAlignment w:val="auto"/>
      </w:pPr>
      <w:r>
        <w:rPr>
          <w:spacing w:val="-7"/>
        </w:rPr>
        <w:t xml:space="preserve">较上年决算数增加 </w:t>
      </w:r>
      <w:r>
        <w:rPr>
          <w:spacing w:val="-4"/>
        </w:rPr>
        <w:t>0.00</w:t>
      </w:r>
      <w:r>
        <w:rPr>
          <w:spacing w:val="-12"/>
        </w:rPr>
        <w:t xml:space="preserve"> 万元，增长 </w:t>
      </w:r>
      <w:r>
        <w:rPr>
          <w:spacing w:val="-4"/>
        </w:rPr>
        <w:t>0.0%，主要原因是年末</w:t>
      </w:r>
      <w:r>
        <w:rPr>
          <w:spacing w:val="-2"/>
        </w:rPr>
        <w:t>结转结余与上年相同。</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（二）</w:t>
      </w:r>
      <w:r>
        <w:rPr>
          <w:spacing w:val="-5"/>
        </w:rPr>
        <w:t>财政拨款收入支出决算总体情况说明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9" w:firstLine="640"/>
        <w:jc w:val="both"/>
        <w:textAlignment w:val="auto"/>
      </w:pPr>
      <w:r>
        <w:rPr>
          <w:spacing w:val="-12"/>
        </w:rPr>
        <w:t>2020</w:t>
      </w:r>
      <w:r>
        <w:rPr>
          <w:spacing w:val="-17"/>
        </w:rPr>
        <w:t xml:space="preserve"> 年度财政拨款收、支总计 </w:t>
      </w:r>
      <w:r>
        <w:rPr>
          <w:spacing w:val="-12"/>
        </w:rPr>
        <w:t>712.16</w:t>
      </w:r>
      <w:r>
        <w:rPr>
          <w:spacing w:val="-18"/>
        </w:rPr>
        <w:t xml:space="preserve"> 万元。与 </w:t>
      </w:r>
      <w:r>
        <w:rPr>
          <w:spacing w:val="-12"/>
        </w:rPr>
        <w:t>2019</w:t>
      </w:r>
      <w:r>
        <w:rPr>
          <w:spacing w:val="-20"/>
        </w:rPr>
        <w:t xml:space="preserve"> 年</w:t>
      </w:r>
      <w:r>
        <w:rPr>
          <w:spacing w:val="-5"/>
        </w:rPr>
        <w:t xml:space="preserve">相比，财政拨款收、支总计各增加 </w:t>
      </w:r>
      <w:r>
        <w:rPr>
          <w:spacing w:val="-2"/>
        </w:rPr>
        <w:t>3.74</w:t>
      </w:r>
      <w:r>
        <w:rPr>
          <w:spacing w:val="-14"/>
        </w:rPr>
        <w:t xml:space="preserve"> 万元，增长 </w:t>
      </w:r>
      <w:r>
        <w:rPr>
          <w:spacing w:val="-2"/>
        </w:rPr>
        <w:t>0.5%。主要原因是信访工作量大任务重，公用经费增加。</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（三）</w:t>
      </w:r>
      <w:r>
        <w:rPr>
          <w:spacing w:val="-5"/>
        </w:rPr>
        <w:t>一般公共预算财政拨款收入支出决算情况说明</w:t>
      </w:r>
    </w:p>
    <w:p>
      <w:pPr>
        <w:pStyle w:val="17"/>
        <w:keepNext w:val="0"/>
        <w:keepLines w:val="0"/>
        <w:pageBreakBefore w:val="0"/>
        <w:widowControl w:val="0"/>
        <w:numPr>
          <w:ilvl w:val="0"/>
          <w:numId w:val="2"/>
        </w:numPr>
        <w:tabs>
          <w:tab w:val="left" w:pos="1029"/>
        </w:tabs>
        <w:kinsoku/>
        <w:wordWrap/>
        <w:overflowPunct/>
        <w:topLinePunct w:val="0"/>
        <w:autoSpaceDE w:val="0"/>
        <w:autoSpaceDN w:val="0"/>
        <w:bidi w:val="0"/>
        <w:adjustRightInd/>
        <w:snapToGrid/>
        <w:spacing w:before="0" w:after="0" w:line="594" w:lineRule="exact"/>
        <w:ind w:left="1029" w:right="0" w:hanging="269"/>
        <w:jc w:val="left"/>
        <w:textAlignment w:val="auto"/>
        <w:rPr>
          <w:sz w:val="32"/>
        </w:rPr>
      </w:pPr>
      <w:r>
        <w:rPr>
          <w:rFonts w:ascii="Microsoft JhengHei" w:eastAsia="Microsoft JhengHei" w:hAnsi="Microsoft JhengHei"/>
          <w:b/>
          <w:spacing w:val="28"/>
          <w:sz w:val="32"/>
        </w:rPr>
        <w:t>收入情况。</w:t>
      </w:r>
      <w:r>
        <w:rPr>
          <w:sz w:val="32"/>
        </w:rPr>
        <w:t>2020</w:t>
      </w:r>
      <w:r>
        <w:rPr>
          <w:spacing w:val="17"/>
          <w:sz w:val="32"/>
        </w:rPr>
        <w:t xml:space="preserve"> 年度一般公共预算财政拨款收入</w:t>
      </w:r>
    </w:p>
    <w:p>
      <w:pPr>
        <w:pStyle w:val="15"/>
        <w:keepNext w:val="0"/>
        <w:keepLines w:val="0"/>
        <w:pageBreakBefore w:val="0"/>
        <w:widowControl w:val="0"/>
        <w:kinsoku/>
        <w:wordWrap/>
        <w:overflowPunct/>
        <w:topLinePunct w:val="0"/>
        <w:autoSpaceDE w:val="0"/>
        <w:autoSpaceDN w:val="0"/>
        <w:adjustRightInd/>
        <w:snapToGrid/>
        <w:spacing w:before="0" w:line="594" w:lineRule="exact"/>
        <w:jc w:val="both"/>
      </w:pPr>
      <w:r>
        <w:t>646.73</w:t>
      </w:r>
      <w:r>
        <w:rPr>
          <w:spacing w:val="-12"/>
        </w:rPr>
        <w:t xml:space="preserve"> 万元，较上年决算数减少 </w:t>
      </w:r>
      <w:r>
        <w:t>61.64</w:t>
      </w:r>
      <w:r>
        <w:rPr>
          <w:spacing w:val="-17"/>
        </w:rPr>
        <w:t xml:space="preserve"> 万元，下降 </w:t>
      </w:r>
      <w:r>
        <w:t>8.7</w:t>
      </w:r>
      <w:r>
        <w:rPr>
          <w:spacing w:val="-5"/>
        </w:rPr>
        <w:t>%。</w:t>
      </w:r>
      <w:r>
        <w:rPr>
          <w:spacing w:val="6"/>
        </w:rPr>
        <w:t xml:space="preserve">主要原因是年末结转存量资金 </w:t>
      </w:r>
      <w:r>
        <w:t>65.43</w:t>
      </w:r>
      <w:r>
        <w:rPr>
          <w:spacing w:val="2"/>
        </w:rPr>
        <w:t xml:space="preserve"> 万元。较年初预算数</w:t>
      </w:r>
      <w:r>
        <w:rPr>
          <w:spacing w:val="-4"/>
        </w:rPr>
        <w:t xml:space="preserve">增加 </w:t>
      </w:r>
      <w:r>
        <w:t>11.07</w:t>
      </w:r>
      <w:r>
        <w:rPr>
          <w:spacing w:val="-6"/>
        </w:rPr>
        <w:t xml:space="preserve"> 万元，增长 </w:t>
      </w:r>
      <w:r>
        <w:t>1.7%。主要原因是信访工作量大任</w:t>
      </w:r>
      <w:r>
        <w:rPr>
          <w:spacing w:val="2"/>
        </w:rPr>
        <w:t>务重， 公用经费增加。此外， 年初财政拨款结转和结余</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jc w:val="both"/>
        <w:textAlignment w:val="auto"/>
      </w:pPr>
      <w:r>
        <w:rPr>
          <w:w w:val="90"/>
        </w:rPr>
        <w:t>65.43</w:t>
      </w:r>
      <w:r>
        <w:rPr>
          <w:spacing w:val="-8"/>
          <w:w w:val="90"/>
        </w:rPr>
        <w:t xml:space="preserve"> 万元。</w:t>
      </w:r>
    </w:p>
    <w:p>
      <w:pPr>
        <w:pStyle w:val="17"/>
        <w:keepNext w:val="0"/>
        <w:keepLines w:val="0"/>
        <w:pageBreakBefore w:val="0"/>
        <w:widowControl w:val="0"/>
        <w:tabs>
          <w:tab w:val="left" w:pos="269"/>
        </w:tabs>
        <w:kinsoku/>
        <w:wordWrap/>
        <w:overflowPunct/>
        <w:topLinePunct w:val="0"/>
        <w:autoSpaceDE w:val="0"/>
        <w:autoSpaceDN w:val="0"/>
        <w:bidi w:val="0"/>
        <w:adjustRightInd/>
        <w:snapToGrid/>
        <w:spacing w:before="0" w:after="0" w:line="594" w:lineRule="exact"/>
        <w:ind w:left="0" w:right="335" w:firstLineChars="200" w:firstLine="752"/>
        <w:jc w:val="both"/>
        <w:textAlignment w:val="auto"/>
        <w:rPr>
          <w:sz w:val="32"/>
        </w:rPr>
      </w:pPr>
      <w:r>
        <w:rPr>
          <w:rFonts w:ascii="Microsoft JhengHei" w:eastAsia="宋体" w:hAnsi="Microsoft JhengHei" w:hint="eastAsia"/>
          <w:b/>
          <w:spacing w:val="28"/>
          <w:sz w:val="32"/>
          <w:lang w:val="en-US" w:eastAsia="zh-CN"/>
        </w:rPr>
        <w:t>2.</w:t>
      </w:r>
      <w:r>
        <w:rPr>
          <w:rFonts w:ascii="Microsoft JhengHei" w:eastAsia="Microsoft JhengHei" w:hAnsi="Microsoft JhengHei"/>
          <w:b/>
          <w:spacing w:val="28"/>
          <w:sz w:val="32"/>
        </w:rPr>
        <w:t>支出情况。</w:t>
      </w:r>
      <w:r>
        <w:rPr>
          <w:sz w:val="32"/>
        </w:rPr>
        <w:t>2020</w:t>
      </w:r>
      <w:r>
        <w:rPr>
          <w:spacing w:val="17"/>
          <w:sz w:val="32"/>
        </w:rPr>
        <w:t xml:space="preserve"> 年度一般公共预算财政拨款支出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1"/>
        <w:jc w:val="both"/>
        <w:textAlignment w:val="auto"/>
        <w:rPr>
          <w:rFonts w:eastAsia="宋体" w:hint="eastAsia"/>
          <w:lang w:eastAsia="zh-CN"/>
        </w:rPr>
        <w:sectPr>
          <w:pgSz w:w="11910" w:h="16840"/>
          <w:pgMar w:top="1560" w:right="1460" w:bottom="280" w:left="1680" w:header="720" w:footer="720" w:gutter="0"/>
          <w:cols w:num="1" w:space="720"/>
          <w:docGrid w:linePitch="312" w:charSpace="0"/>
        </w:sectPr>
      </w:pPr>
      <w:r>
        <w:rPr>
          <w:spacing w:val="-4"/>
        </w:rPr>
        <w:t>712.15</w:t>
      </w:r>
      <w:r>
        <w:rPr>
          <w:spacing w:val="-17"/>
        </w:rPr>
        <w:t xml:space="preserve"> 万元，较上年决算数增加 </w:t>
      </w:r>
      <w:r>
        <w:rPr>
          <w:spacing w:val="-4"/>
        </w:rPr>
        <w:t>3.74</w:t>
      </w:r>
      <w:r>
        <w:rPr>
          <w:spacing w:val="-23"/>
        </w:rPr>
        <w:t xml:space="preserve"> 万元，增长 </w:t>
      </w:r>
      <w:r>
        <w:rPr>
          <w:spacing w:val="-4"/>
        </w:rPr>
        <w:t>0.5</w:t>
      </w:r>
      <w:r>
        <w:rPr>
          <w:spacing w:val="-6"/>
        </w:rPr>
        <w:t>%。</w:t>
      </w:r>
      <w:r>
        <w:rPr>
          <w:rFonts w:hint="eastAsia"/>
          <w:lang w:eastAsia="zh-CN"/>
        </w:rPr>
        <w:t>主</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1" w:firstLine="0"/>
        <w:jc w:val="both"/>
        <w:textAlignment w:val="auto"/>
      </w:pPr>
      <w:r>
        <w:rPr>
          <w:spacing w:val="9"/>
        </w:rPr>
        <w:t>要原因是信访工作量大任务重，公用经费增加。较年初预</w:t>
      </w:r>
      <w:r>
        <w:rPr>
          <w:spacing w:val="-17"/>
        </w:rPr>
        <w:t xml:space="preserve">算数 增加 </w:t>
      </w:r>
      <w:r>
        <w:rPr>
          <w:spacing w:val="-8"/>
        </w:rPr>
        <w:t>76.49</w:t>
      </w:r>
      <w:r>
        <w:rPr>
          <w:spacing w:val="-16"/>
        </w:rPr>
        <w:t xml:space="preserve"> 万元，增长 </w:t>
      </w:r>
      <w:r>
        <w:rPr>
          <w:spacing w:val="-8"/>
        </w:rPr>
        <w:t>12.0%。主要原因是信访工作量</w:t>
      </w:r>
      <w:r>
        <w:rPr>
          <w:spacing w:val="-2"/>
        </w:rPr>
        <w:t>大任务重，公用经费增加。</w:t>
      </w:r>
    </w:p>
    <w:p>
      <w:pPr>
        <w:pStyle w:val="17"/>
        <w:keepNext w:val="0"/>
        <w:keepLines w:val="0"/>
        <w:pageBreakBefore w:val="0"/>
        <w:widowControl w:val="0"/>
        <w:numPr>
          <w:ilvl w:val="0"/>
          <w:numId w:val="2"/>
        </w:numPr>
        <w:tabs>
          <w:tab w:val="left" w:pos="1010"/>
        </w:tabs>
        <w:kinsoku/>
        <w:wordWrap/>
        <w:overflowPunct/>
        <w:topLinePunct w:val="0"/>
        <w:autoSpaceDE w:val="0"/>
        <w:autoSpaceDN w:val="0"/>
        <w:bidi w:val="0"/>
        <w:adjustRightInd/>
        <w:snapToGrid/>
        <w:spacing w:before="0" w:after="0" w:line="594" w:lineRule="exact"/>
        <w:ind w:left="1010" w:right="0" w:hanging="250"/>
        <w:jc w:val="left"/>
        <w:textAlignment w:val="auto"/>
        <w:rPr>
          <w:sz w:val="32"/>
        </w:rPr>
      </w:pPr>
      <w:r>
        <w:rPr>
          <w:rFonts w:ascii="Microsoft JhengHei" w:eastAsia="Microsoft JhengHei" w:hAnsi="Microsoft JhengHei"/>
          <w:b/>
          <w:spacing w:val="11"/>
          <w:sz w:val="32"/>
        </w:rPr>
        <w:t>结转结余情况。</w:t>
      </w:r>
      <w:r>
        <w:rPr>
          <w:sz w:val="32"/>
        </w:rPr>
        <w:t>2020</w:t>
      </w:r>
      <w:r>
        <w:rPr>
          <w:spacing w:val="2"/>
          <w:sz w:val="32"/>
        </w:rPr>
        <w:t xml:space="preserve"> 年度年末一般公共预算财政拨</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4"/>
        <w:textAlignment w:val="auto"/>
      </w:pPr>
      <w:r>
        <w:rPr>
          <w:spacing w:val="-12"/>
        </w:rPr>
        <w:t xml:space="preserve">款结转和结余 </w:t>
      </w:r>
      <w:r>
        <w:rPr>
          <w:spacing w:val="-2"/>
        </w:rPr>
        <w:t>0.01</w:t>
      </w:r>
      <w:r>
        <w:rPr>
          <w:spacing w:val="-16"/>
        </w:rPr>
        <w:t xml:space="preserve"> 万元，较上年决算数增加 </w:t>
      </w:r>
      <w:r>
        <w:rPr>
          <w:spacing w:val="-2"/>
        </w:rPr>
        <w:t>0.00</w:t>
      </w:r>
      <w:r>
        <w:rPr>
          <w:spacing w:val="-17"/>
        </w:rPr>
        <w:t xml:space="preserve"> 万元，增</w:t>
      </w:r>
      <w:r>
        <w:rPr>
          <w:spacing w:val="-20"/>
        </w:rPr>
        <w:t xml:space="preserve">长 </w:t>
      </w:r>
      <w:r>
        <w:t>0.0%，主要原因是与上年相等</w:t>
      </w:r>
      <w:r>
        <w:rPr>
          <w:w w:val="90"/>
        </w:rPr>
        <w:t>.</w:t>
      </w:r>
    </w:p>
    <w:p>
      <w:pPr>
        <w:pStyle w:val="17"/>
        <w:keepNext w:val="0"/>
        <w:keepLines w:val="0"/>
        <w:pageBreakBefore w:val="0"/>
        <w:widowControl w:val="0"/>
        <w:numPr>
          <w:ilvl w:val="0"/>
          <w:numId w:val="2"/>
        </w:numPr>
        <w:tabs>
          <w:tab w:val="left" w:pos="1008"/>
        </w:tabs>
        <w:kinsoku/>
        <w:wordWrap/>
        <w:overflowPunct/>
        <w:topLinePunct w:val="0"/>
        <w:autoSpaceDE w:val="0"/>
        <w:autoSpaceDN w:val="0"/>
        <w:bidi w:val="0"/>
        <w:adjustRightInd/>
        <w:snapToGrid/>
        <w:spacing w:before="0" w:after="0" w:line="594" w:lineRule="exact"/>
        <w:ind w:left="1008" w:right="0" w:hanging="248"/>
        <w:jc w:val="left"/>
        <w:textAlignment w:val="auto"/>
        <w:rPr>
          <w:sz w:val="32"/>
        </w:rPr>
      </w:pPr>
      <w:r>
        <w:rPr>
          <w:rFonts w:ascii="Microsoft JhengHei" w:eastAsia="Microsoft JhengHei" w:hAnsi="Microsoft JhengHei"/>
          <w:b/>
          <w:sz w:val="32"/>
        </w:rPr>
        <w:t>比较情况</w:t>
      </w:r>
      <w:r>
        <w:rPr>
          <w:sz w:val="32"/>
        </w:rPr>
        <w:t>。</w:t>
      </w:r>
      <w:r>
        <w:rPr>
          <w:rFonts w:hint="eastAsia"/>
          <w:sz w:val="32"/>
          <w:lang w:eastAsia="zh-CN"/>
        </w:rPr>
        <w:t>本</w:t>
      </w:r>
      <w:r>
        <w:rPr>
          <w:sz w:val="32"/>
        </w:rPr>
        <w:t>部门 2020</w:t>
      </w:r>
      <w:r>
        <w:rPr>
          <w:spacing w:val="-1"/>
          <w:sz w:val="32"/>
        </w:rPr>
        <w:t xml:space="preserve"> 年度一般公共预算财政拨款</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5"/>
        </w:rPr>
        <w:t>支出主要用于以下几个方面：</w:t>
      </w:r>
    </w:p>
    <w:p>
      <w:pPr>
        <w:pStyle w:val="17"/>
        <w:keepNext w:val="0"/>
        <w:keepLines w:val="0"/>
        <w:pageBreakBefore w:val="0"/>
        <w:widowControl w:val="0"/>
        <w:numPr>
          <w:ilvl w:val="0"/>
          <w:numId w:val="3"/>
        </w:numPr>
        <w:tabs>
          <w:tab w:val="left" w:pos="1577"/>
        </w:tabs>
        <w:kinsoku/>
        <w:wordWrap/>
        <w:overflowPunct/>
        <w:topLinePunct w:val="0"/>
        <w:autoSpaceDE w:val="0"/>
        <w:autoSpaceDN w:val="0"/>
        <w:bidi w:val="0"/>
        <w:adjustRightInd/>
        <w:snapToGrid/>
        <w:spacing w:before="0" w:after="0" w:line="594" w:lineRule="exact"/>
        <w:ind w:left="120" w:right="331" w:firstLine="640"/>
        <w:jc w:val="both"/>
        <w:textAlignment w:val="auto"/>
        <w:rPr>
          <w:sz w:val="32"/>
        </w:rPr>
      </w:pPr>
      <w:r>
        <w:rPr>
          <w:spacing w:val="-8"/>
          <w:sz w:val="32"/>
        </w:rPr>
        <w:t xml:space="preserve">一般公共服务支出 </w:t>
      </w:r>
      <w:r>
        <w:rPr>
          <w:spacing w:val="-4"/>
          <w:sz w:val="32"/>
        </w:rPr>
        <w:t>625.48</w:t>
      </w:r>
      <w:r>
        <w:rPr>
          <w:spacing w:val="-16"/>
          <w:sz w:val="32"/>
        </w:rPr>
        <w:t xml:space="preserve"> 万元，占 </w:t>
      </w:r>
      <w:r>
        <w:rPr>
          <w:spacing w:val="-4"/>
          <w:sz w:val="32"/>
        </w:rPr>
        <w:t>87.8%，较年</w:t>
      </w:r>
      <w:r>
        <w:rPr>
          <w:spacing w:val="-8"/>
          <w:sz w:val="32"/>
        </w:rPr>
        <w:t xml:space="preserve">初预算数增加 </w:t>
      </w:r>
      <w:r>
        <w:rPr>
          <w:spacing w:val="-2"/>
          <w:sz w:val="32"/>
        </w:rPr>
        <w:t>67.44</w:t>
      </w:r>
      <w:r>
        <w:rPr>
          <w:spacing w:val="-14"/>
          <w:sz w:val="32"/>
        </w:rPr>
        <w:t xml:space="preserve"> 万元，增长 </w:t>
      </w:r>
      <w:r>
        <w:rPr>
          <w:spacing w:val="-2"/>
          <w:sz w:val="32"/>
        </w:rPr>
        <w:t>12.1%，主要原因是为了维护社会稳定团结，信访工作量加大，公用经费增加。</w:t>
      </w:r>
    </w:p>
    <w:p>
      <w:pPr>
        <w:pStyle w:val="17"/>
        <w:keepNext w:val="0"/>
        <w:keepLines w:val="0"/>
        <w:pageBreakBefore w:val="0"/>
        <w:widowControl w:val="0"/>
        <w:numPr>
          <w:ilvl w:val="0"/>
          <w:numId w:val="3"/>
        </w:numPr>
        <w:tabs>
          <w:tab w:val="left" w:pos="1601"/>
        </w:tabs>
        <w:kinsoku/>
        <w:wordWrap/>
        <w:overflowPunct/>
        <w:topLinePunct w:val="0"/>
        <w:autoSpaceDE w:val="0"/>
        <w:autoSpaceDN w:val="0"/>
        <w:bidi w:val="0"/>
        <w:adjustRightInd/>
        <w:snapToGrid/>
        <w:spacing w:before="0" w:after="0" w:line="594" w:lineRule="exact"/>
        <w:ind w:left="120" w:right="331" w:firstLine="640"/>
        <w:jc w:val="both"/>
        <w:textAlignment w:val="auto"/>
        <w:rPr>
          <w:sz w:val="32"/>
        </w:rPr>
      </w:pPr>
      <w:r>
        <w:rPr>
          <w:spacing w:val="-6"/>
          <w:sz w:val="32"/>
        </w:rPr>
        <w:t xml:space="preserve">教育支出 </w:t>
      </w:r>
      <w:r>
        <w:rPr>
          <w:sz w:val="32"/>
        </w:rPr>
        <w:t>0.87</w:t>
      </w:r>
      <w:r>
        <w:rPr>
          <w:spacing w:val="-11"/>
          <w:sz w:val="32"/>
        </w:rPr>
        <w:t xml:space="preserve"> 万元，占 </w:t>
      </w:r>
      <w:r>
        <w:rPr>
          <w:sz w:val="32"/>
        </w:rPr>
        <w:t>0.1%，较年初预算数增</w:t>
      </w:r>
      <w:r>
        <w:rPr>
          <w:spacing w:val="-26"/>
          <w:sz w:val="32"/>
        </w:rPr>
        <w:t xml:space="preserve">加 </w:t>
      </w:r>
      <w:r>
        <w:rPr>
          <w:sz w:val="32"/>
        </w:rPr>
        <w:t>0.00</w:t>
      </w:r>
      <w:r>
        <w:rPr>
          <w:spacing w:val="-16"/>
          <w:sz w:val="32"/>
        </w:rPr>
        <w:t xml:space="preserve"> 万元，增长 </w:t>
      </w:r>
      <w:r>
        <w:rPr>
          <w:sz w:val="32"/>
        </w:rPr>
        <w:t>0.0%，主要原因是与年初数持平。</w:t>
      </w:r>
    </w:p>
    <w:p>
      <w:pPr>
        <w:pStyle w:val="17"/>
        <w:keepNext w:val="0"/>
        <w:keepLines w:val="0"/>
        <w:pageBreakBefore w:val="0"/>
        <w:widowControl w:val="0"/>
        <w:numPr>
          <w:ilvl w:val="0"/>
          <w:numId w:val="3"/>
        </w:numPr>
        <w:tabs>
          <w:tab w:val="left" w:pos="1577"/>
        </w:tabs>
        <w:kinsoku/>
        <w:wordWrap/>
        <w:overflowPunct/>
        <w:topLinePunct w:val="0"/>
        <w:autoSpaceDE w:val="0"/>
        <w:autoSpaceDN w:val="0"/>
        <w:bidi w:val="0"/>
        <w:adjustRightInd/>
        <w:snapToGrid/>
        <w:spacing w:before="0" w:after="0" w:line="594" w:lineRule="exact"/>
        <w:ind w:left="120" w:right="331" w:firstLine="640"/>
        <w:jc w:val="both"/>
        <w:textAlignment w:val="auto"/>
        <w:rPr>
          <w:sz w:val="32"/>
        </w:rPr>
      </w:pPr>
      <w:r>
        <w:rPr>
          <w:spacing w:val="-8"/>
          <w:sz w:val="32"/>
        </w:rPr>
        <w:t xml:space="preserve">社会保障与就业支出 </w:t>
      </w:r>
      <w:r>
        <w:rPr>
          <w:spacing w:val="-4"/>
          <w:sz w:val="32"/>
        </w:rPr>
        <w:t>50.98</w:t>
      </w:r>
      <w:r>
        <w:rPr>
          <w:spacing w:val="-16"/>
          <w:sz w:val="32"/>
        </w:rPr>
        <w:t xml:space="preserve"> 万元，占 </w:t>
      </w:r>
      <w:r>
        <w:rPr>
          <w:spacing w:val="-4"/>
          <w:sz w:val="32"/>
        </w:rPr>
        <w:t>7.2%，较年</w:t>
      </w:r>
      <w:r>
        <w:rPr>
          <w:spacing w:val="-3"/>
          <w:sz w:val="32"/>
        </w:rPr>
        <w:t xml:space="preserve">初预算数增加 </w:t>
      </w:r>
      <w:r>
        <w:rPr>
          <w:sz w:val="32"/>
        </w:rPr>
        <w:t>4.64</w:t>
      </w:r>
      <w:r>
        <w:rPr>
          <w:spacing w:val="-6"/>
          <w:sz w:val="32"/>
        </w:rPr>
        <w:t xml:space="preserve"> 万元，增长 </w:t>
      </w:r>
      <w:r>
        <w:rPr>
          <w:sz w:val="32"/>
        </w:rPr>
        <w:t>10.0%，主要原因是调整了</w:t>
      </w:r>
      <w:r>
        <w:rPr>
          <w:spacing w:val="-2"/>
          <w:sz w:val="32"/>
        </w:rPr>
        <w:t>功能科目到行政运行。</w:t>
      </w:r>
    </w:p>
    <w:p>
      <w:pPr>
        <w:pStyle w:val="17"/>
        <w:keepNext w:val="0"/>
        <w:keepLines w:val="0"/>
        <w:pageBreakBefore w:val="0"/>
        <w:widowControl w:val="0"/>
        <w:numPr>
          <w:ilvl w:val="0"/>
          <w:numId w:val="3"/>
        </w:numPr>
        <w:tabs>
          <w:tab w:val="left" w:pos="1577"/>
        </w:tabs>
        <w:kinsoku/>
        <w:wordWrap/>
        <w:overflowPunct/>
        <w:topLinePunct w:val="0"/>
        <w:autoSpaceDE w:val="0"/>
        <w:autoSpaceDN w:val="0"/>
        <w:bidi w:val="0"/>
        <w:adjustRightInd/>
        <w:snapToGrid/>
        <w:spacing w:before="0" w:after="0" w:line="594" w:lineRule="exact"/>
        <w:ind w:left="120" w:right="331" w:firstLine="640"/>
        <w:jc w:val="both"/>
        <w:textAlignment w:val="auto"/>
        <w:rPr>
          <w:sz w:val="32"/>
        </w:rPr>
      </w:pPr>
      <w:r>
        <w:rPr>
          <w:spacing w:val="-9"/>
          <w:sz w:val="32"/>
        </w:rPr>
        <w:t xml:space="preserve">卫生健康支出 </w:t>
      </w:r>
      <w:r>
        <w:rPr>
          <w:spacing w:val="-4"/>
          <w:sz w:val="32"/>
        </w:rPr>
        <w:t>13.32</w:t>
      </w:r>
      <w:r>
        <w:rPr>
          <w:spacing w:val="-16"/>
          <w:sz w:val="32"/>
        </w:rPr>
        <w:t xml:space="preserve"> 万元，占 </w:t>
      </w:r>
      <w:r>
        <w:rPr>
          <w:spacing w:val="-4"/>
          <w:sz w:val="32"/>
        </w:rPr>
        <w:t>1.9%，较年初预算</w:t>
      </w:r>
      <w:r>
        <w:rPr>
          <w:spacing w:val="-11"/>
          <w:sz w:val="32"/>
        </w:rPr>
        <w:t xml:space="preserve">数减少 </w:t>
      </w:r>
      <w:r>
        <w:rPr>
          <w:spacing w:val="-2"/>
          <w:sz w:val="32"/>
        </w:rPr>
        <w:t>1.16</w:t>
      </w:r>
      <w:r>
        <w:rPr>
          <w:spacing w:val="-14"/>
          <w:sz w:val="32"/>
        </w:rPr>
        <w:t xml:space="preserve"> 万元，下降 </w:t>
      </w:r>
      <w:r>
        <w:rPr>
          <w:spacing w:val="-2"/>
          <w:sz w:val="32"/>
        </w:rPr>
        <w:t>8.0%，主要原因是调整了功能科目到行政运行。</w:t>
      </w:r>
    </w:p>
    <w:p>
      <w:pPr>
        <w:pStyle w:val="17"/>
        <w:keepNext w:val="0"/>
        <w:keepLines w:val="0"/>
        <w:pageBreakBefore w:val="0"/>
        <w:widowControl w:val="0"/>
        <w:numPr>
          <w:ilvl w:val="0"/>
          <w:numId w:val="3"/>
        </w:numPr>
        <w:tabs>
          <w:tab w:val="left" w:pos="1562"/>
        </w:tabs>
        <w:kinsoku/>
        <w:wordWrap/>
        <w:overflowPunct/>
        <w:topLinePunct w:val="0"/>
        <w:autoSpaceDE w:val="0"/>
        <w:autoSpaceDN w:val="0"/>
        <w:bidi w:val="0"/>
        <w:adjustRightInd/>
        <w:snapToGrid/>
        <w:spacing w:before="0" w:after="0" w:line="594" w:lineRule="exact"/>
        <w:ind w:left="120" w:right="331" w:firstLine="640"/>
        <w:jc w:val="both"/>
        <w:textAlignment w:val="auto"/>
        <w:rPr>
          <w:sz w:val="32"/>
        </w:rPr>
      </w:pPr>
      <w:r>
        <w:rPr>
          <w:spacing w:val="-9"/>
          <w:sz w:val="32"/>
        </w:rPr>
        <w:t xml:space="preserve">住房保障支出 </w:t>
      </w:r>
      <w:r>
        <w:rPr>
          <w:spacing w:val="-4"/>
          <w:sz w:val="32"/>
        </w:rPr>
        <w:t>21.49</w:t>
      </w:r>
      <w:r>
        <w:rPr>
          <w:spacing w:val="-16"/>
          <w:sz w:val="32"/>
        </w:rPr>
        <w:t xml:space="preserve"> 万元，占 </w:t>
      </w:r>
      <w:r>
        <w:rPr>
          <w:spacing w:val="-4"/>
          <w:sz w:val="32"/>
        </w:rPr>
        <w:t>3%，较年初预算数</w:t>
      </w:r>
      <w:r>
        <w:rPr>
          <w:spacing w:val="-5"/>
          <w:sz w:val="32"/>
        </w:rPr>
        <w:t xml:space="preserve">增加 </w:t>
      </w:r>
      <w:r>
        <w:rPr>
          <w:sz w:val="32"/>
        </w:rPr>
        <w:t>5.56</w:t>
      </w:r>
      <w:r>
        <w:rPr>
          <w:spacing w:val="-6"/>
          <w:sz w:val="32"/>
        </w:rPr>
        <w:t xml:space="preserve"> 万元，增长 </w:t>
      </w:r>
      <w:r>
        <w:rPr>
          <w:sz w:val="32"/>
        </w:rPr>
        <w:t>34.9%，主要原因是人员工资调标，</w:t>
      </w:r>
      <w:r>
        <w:rPr>
          <w:spacing w:val="-2"/>
          <w:sz w:val="32"/>
        </w:rPr>
        <w:t>年总收入增加，住房保障支出增加。</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（四）</w:t>
      </w:r>
      <w:r>
        <w:rPr>
          <w:spacing w:val="-5"/>
        </w:rPr>
        <w:t>一般公共预算财政拨款基本支出决算情况说明</w:t>
      </w:r>
    </w:p>
    <w:p>
      <w:pPr>
        <w:keepNext w:val="0"/>
        <w:keepLines w:val="0"/>
        <w:pageBreakBefore w:val="0"/>
        <w:widowControl w:val="0"/>
        <w:kinsoku/>
        <w:wordWrap/>
        <w:overflowPunct/>
        <w:topLinePunct w:val="0"/>
        <w:autoSpaceDE w:val="0"/>
        <w:autoSpaceDN w:val="0"/>
        <w:bidi w:val="0"/>
        <w:adjustRightInd/>
        <w:snapToGrid/>
        <w:spacing w:before="0" w:after="0" w:line="594" w:lineRule="exact"/>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jc w:val="both"/>
        <w:textAlignment w:val="auto"/>
      </w:pPr>
      <w:r>
        <w:rPr>
          <w:spacing w:val="-2"/>
        </w:rPr>
        <w:t>2020</w:t>
      </w:r>
      <w:r>
        <w:rPr>
          <w:spacing w:val="-10"/>
        </w:rPr>
        <w:t xml:space="preserve"> 年度一般公共财政拨款基</w:t>
      </w:r>
      <w:r>
        <w:rPr>
          <w:rFonts w:hint="eastAsia"/>
          <w:spacing w:val="-2"/>
          <w:lang w:eastAsia="zh-CN"/>
        </w:rPr>
        <w:t>本</w:t>
      </w:r>
      <w:r>
        <w:rPr>
          <w:spacing w:val="-22"/>
        </w:rPr>
        <w:t xml:space="preserve">支出 </w:t>
      </w:r>
      <w:r>
        <w:rPr>
          <w:spacing w:val="-2"/>
        </w:rPr>
        <w:t>412.15</w:t>
      </w:r>
      <w:r>
        <w:rPr>
          <w:spacing w:val="-16"/>
        </w:rPr>
        <w:t xml:space="preserve"> 万元。其</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1"/>
        <w:jc w:val="both"/>
        <w:textAlignment w:val="auto"/>
      </w:pPr>
      <w:r>
        <w:rPr>
          <w:spacing w:val="-12"/>
        </w:rPr>
        <w:t xml:space="preserve">中：人员经费 </w:t>
      </w:r>
      <w:r>
        <w:rPr>
          <w:spacing w:val="-8"/>
        </w:rPr>
        <w:t>325.49</w:t>
      </w:r>
      <w:r>
        <w:rPr>
          <w:spacing w:val="-15"/>
        </w:rPr>
        <w:t xml:space="preserve"> 万元，较上年决算数减少 </w:t>
      </w:r>
      <w:r>
        <w:rPr>
          <w:spacing w:val="-8"/>
        </w:rPr>
        <w:t>3.94</w:t>
      </w:r>
      <w:r>
        <w:rPr>
          <w:spacing w:val="-14"/>
        </w:rPr>
        <w:t xml:space="preserve"> 万元，</w:t>
      </w:r>
      <w:r>
        <w:t>下降 1.2%，主要原因是人员减少。人员经费用途主要包括</w:t>
      </w:r>
      <w:r>
        <w:rPr>
          <w:spacing w:val="10"/>
        </w:rPr>
        <w:t>基</w:t>
      </w:r>
      <w:r>
        <w:rPr>
          <w:rFonts w:hint="eastAsia"/>
          <w:spacing w:val="10"/>
          <w:lang w:eastAsia="zh-CN"/>
        </w:rPr>
        <w:t>本</w:t>
      </w:r>
      <w:r>
        <w:rPr>
          <w:spacing w:val="9"/>
        </w:rPr>
        <w:t>工资、津贴补贴、奖金、绩效工资、社会保障缴款、其他社会保障费、卫生健康、住房保障、其他工资福利支</w:t>
      </w:r>
      <w:r>
        <w:rPr>
          <w:spacing w:val="-12"/>
        </w:rPr>
        <w:t xml:space="preserve">出。公用经费 </w:t>
      </w:r>
      <w:r>
        <w:rPr>
          <w:spacing w:val="-8"/>
        </w:rPr>
        <w:t>86.65</w:t>
      </w:r>
      <w:r>
        <w:rPr>
          <w:spacing w:val="-15"/>
        </w:rPr>
        <w:t xml:space="preserve"> 万元，较上年决算数增加 </w:t>
      </w:r>
      <w:r>
        <w:rPr>
          <w:spacing w:val="-8"/>
        </w:rPr>
        <w:t>22.72</w:t>
      </w:r>
      <w:r>
        <w:rPr>
          <w:spacing w:val="-14"/>
        </w:rPr>
        <w:t xml:space="preserve"> 万元，增长 </w:t>
      </w:r>
      <w:r>
        <w:t>35.5%，主要原因是为了维护社会稳定团结，信访工作</w:t>
      </w:r>
      <w:r>
        <w:rPr>
          <w:spacing w:val="9"/>
        </w:rPr>
        <w:t>任务重，工作量加大。公用经费用途主要包括办公费、邮电费、劳务费、差旅费、会议费、工会经费、福利费、公务</w:t>
      </w:r>
      <w:r>
        <w:rPr>
          <w:spacing w:val="-2"/>
        </w:rPr>
        <w:t>接待费、其他交通费、其他商品和服务支出。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（五）</w:t>
      </w:r>
      <w:r>
        <w:rPr>
          <w:spacing w:val="-5"/>
        </w:rPr>
        <w:t>政府性基金预算收支决算情况说明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rFonts w:hint="eastAsia"/>
          <w:spacing w:val="-4"/>
          <w:lang w:eastAsia="zh-CN"/>
        </w:rPr>
        <w:t>本</w:t>
      </w:r>
      <w:r>
        <w:rPr>
          <w:spacing w:val="-25"/>
        </w:rPr>
        <w:t xml:space="preserve">部门 </w:t>
      </w:r>
      <w:r>
        <w:rPr>
          <w:spacing w:val="-4"/>
        </w:rPr>
        <w:t>2020</w:t>
      </w:r>
      <w:r>
        <w:rPr>
          <w:spacing w:val="-12"/>
        </w:rPr>
        <w:t xml:space="preserve"> 年度无政府性基金预算财政拨款收支。</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（六）</w:t>
      </w:r>
      <w:r>
        <w:rPr>
          <w:spacing w:val="-5"/>
        </w:rPr>
        <w:t>国有资本经营预算财政拨款支出决算情况说明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rFonts w:hint="eastAsia"/>
          <w:spacing w:val="-4"/>
          <w:lang w:eastAsia="zh-CN"/>
        </w:rPr>
        <w:t>本</w:t>
      </w:r>
      <w:r>
        <w:rPr>
          <w:spacing w:val="-25"/>
        </w:rPr>
        <w:t xml:space="preserve">部门 </w:t>
      </w:r>
      <w:r>
        <w:rPr>
          <w:spacing w:val="-4"/>
        </w:rPr>
        <w:t>2020</w:t>
      </w:r>
      <w:r>
        <w:rPr>
          <w:spacing w:val="-13"/>
        </w:rPr>
        <w:t xml:space="preserve"> 年度无国有资</w:t>
      </w:r>
      <w:r>
        <w:rPr>
          <w:rFonts w:hint="eastAsia"/>
          <w:spacing w:val="-4"/>
          <w:lang w:eastAsia="zh-CN"/>
        </w:rPr>
        <w:t>本</w:t>
      </w:r>
      <w:r>
        <w:rPr>
          <w:spacing w:val="-5"/>
        </w:rPr>
        <w:t>经营预算财政拨款支出。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5"/>
        </w:rPr>
        <w:t>三、“三公”经费情况说明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（一）“</w:t>
      </w:r>
      <w:r>
        <w:rPr>
          <w:spacing w:val="-5"/>
        </w:rPr>
        <w:t>三公”经费支出总体情况说明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4" w:firstLine="640"/>
        <w:jc w:val="both"/>
        <w:textAlignment w:val="auto"/>
      </w:pPr>
      <w:r>
        <w:t>2020</w:t>
      </w:r>
      <w:r>
        <w:rPr>
          <w:spacing w:val="-5"/>
        </w:rPr>
        <w:t xml:space="preserve"> 年度“三公”经费支出共计 </w:t>
      </w:r>
      <w:r>
        <w:t>28.12</w:t>
      </w:r>
      <w:r>
        <w:rPr>
          <w:spacing w:val="-4"/>
        </w:rPr>
        <w:t xml:space="preserve"> 万元，较年初</w:t>
      </w:r>
      <w:r>
        <w:rPr>
          <w:spacing w:val="-9"/>
        </w:rPr>
        <w:t xml:space="preserve">预算数减少 </w:t>
      </w:r>
      <w:r>
        <w:rPr>
          <w:spacing w:val="-4"/>
        </w:rPr>
        <w:t>0.78</w:t>
      </w:r>
      <w:r>
        <w:rPr>
          <w:spacing w:val="-13"/>
        </w:rPr>
        <w:t xml:space="preserve"> 万元，下降 </w:t>
      </w:r>
      <w:r>
        <w:rPr>
          <w:spacing w:val="-4"/>
        </w:rPr>
        <w:t>2.7%，主要原因是一是认真贯</w:t>
      </w:r>
      <w:r>
        <w:rPr>
          <w:spacing w:val="9"/>
        </w:rPr>
        <w:t>彻落实中央八项规定，按照只减不增的要求从严控制“三公”经费，全年实际支出较预算和决算均有所下降。二是</w:t>
      </w:r>
      <w:r>
        <w:rPr>
          <w:spacing w:val="10"/>
        </w:rPr>
        <w:t>严格落实公车使用规定，公车运行维护成</w:t>
      </w:r>
      <w:r>
        <w:rPr>
          <w:rFonts w:hint="eastAsia"/>
          <w:spacing w:val="10"/>
          <w:lang w:eastAsia="zh-CN"/>
        </w:rPr>
        <w:t>本</w:t>
      </w:r>
      <w:r>
        <w:rPr>
          <w:spacing w:val="8"/>
        </w:rPr>
        <w:t>大幅下降。三</w:t>
      </w:r>
      <w:r>
        <w:rPr>
          <w:spacing w:val="9"/>
        </w:rPr>
        <w:t>是强化公务接待支出管理，严格遵守公务接待开支范围和开支标准，严格控制陪餐人数，对应由接待对象承担的费</w:t>
      </w:r>
    </w:p>
    <w:p>
      <w:pPr>
        <w:keepNext w:val="0"/>
        <w:keepLines w:val="0"/>
        <w:pageBreakBefore w:val="0"/>
        <w:widowControl w:val="0"/>
        <w:kinsoku/>
        <w:wordWrap/>
        <w:overflowPunct/>
        <w:topLinePunct w:val="0"/>
        <w:autoSpaceDE w:val="0"/>
        <w:autoSpaceDN w:val="0"/>
        <w:bidi w:val="0"/>
        <w:adjustRightInd/>
        <w:snapToGrid/>
        <w:spacing w:before="0" w:after="0" w:line="594" w:lineRule="exact"/>
        <w:jc w:val="both"/>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1"/>
        <w:jc w:val="both"/>
        <w:textAlignment w:val="auto"/>
      </w:pPr>
      <w:r>
        <w:rPr>
          <w:spacing w:val="9"/>
        </w:rPr>
        <w:t>用一律由接待对象自行支付，公务接待费大幅下降。四是</w:t>
      </w:r>
      <w:r>
        <w:rPr>
          <w:spacing w:val="10"/>
        </w:rPr>
        <w:t>进一步规范因公出国（境）</w:t>
      </w:r>
      <w:r>
        <w:rPr>
          <w:spacing w:val="9"/>
        </w:rPr>
        <w:t>活动，今年未安排人员出国出</w:t>
      </w:r>
      <w:r>
        <w:rPr>
          <w:spacing w:val="-5"/>
        </w:rPr>
        <w:t xml:space="preserve">访)。较上年支出数增加 </w:t>
      </w:r>
      <w:r>
        <w:rPr>
          <w:spacing w:val="-2"/>
        </w:rPr>
        <w:t>24.26</w:t>
      </w:r>
      <w:r>
        <w:rPr>
          <w:spacing w:val="-14"/>
        </w:rPr>
        <w:t xml:space="preserve"> 万元，增长 </w:t>
      </w:r>
      <w:r>
        <w:rPr>
          <w:spacing w:val="-2"/>
        </w:rPr>
        <w:t>628.5%，主要原</w:t>
      </w:r>
      <w:r>
        <w:rPr>
          <w:spacing w:val="-15"/>
        </w:rPr>
        <w:t xml:space="preserve">因是 </w:t>
      </w:r>
      <w:r>
        <w:t>2020</w:t>
      </w:r>
      <w:r>
        <w:rPr>
          <w:spacing w:val="-30"/>
        </w:rPr>
        <w:t xml:space="preserve"> 年 </w:t>
      </w:r>
      <w:r>
        <w:t>3</w:t>
      </w:r>
      <w:r>
        <w:rPr>
          <w:spacing w:val="-7"/>
        </w:rPr>
        <w:t xml:space="preserve"> 月份新购置了一辆公务用车。</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（二）“</w:t>
      </w:r>
      <w:r>
        <w:rPr>
          <w:spacing w:val="-5"/>
        </w:rPr>
        <w:t>三公”经费分项支出情况</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2"/>
        </w:rPr>
        <w:t>2020</w:t>
      </w:r>
      <w:r>
        <w:rPr>
          <w:spacing w:val="-22"/>
        </w:rPr>
        <w:t xml:space="preserve"> 年度</w:t>
      </w:r>
      <w:r>
        <w:rPr>
          <w:rFonts w:hint="eastAsia"/>
          <w:spacing w:val="-2"/>
          <w:lang w:eastAsia="zh-CN"/>
        </w:rPr>
        <w:t>本</w:t>
      </w:r>
      <w:r>
        <w:rPr>
          <w:spacing w:val="-2"/>
        </w:rPr>
        <w:t>部门因公出国（境）</w:t>
      </w:r>
      <w:r>
        <w:rPr>
          <w:spacing w:val="-22"/>
        </w:rPr>
        <w:t xml:space="preserve">费用 </w:t>
      </w:r>
      <w:r>
        <w:rPr>
          <w:spacing w:val="-2"/>
        </w:rPr>
        <w:t>0.00</w:t>
      </w:r>
      <w:r>
        <w:rPr>
          <w:spacing w:val="-14"/>
        </w:rPr>
        <w:t xml:space="preserve"> 万元，主要</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6"/>
        <w:textAlignment w:val="auto"/>
      </w:pPr>
      <w:r>
        <w:t>原因是</w:t>
      </w:r>
      <w:r>
        <w:rPr>
          <w:rFonts w:hint="eastAsia"/>
          <w:lang w:eastAsia="zh-CN"/>
        </w:rPr>
        <w:t>本</w:t>
      </w:r>
      <w:r>
        <w:rPr>
          <w:spacing w:val="-9"/>
        </w:rPr>
        <w:t xml:space="preserve">单位 </w:t>
      </w:r>
      <w:r>
        <w:t>2020</w:t>
      </w:r>
      <w:r>
        <w:rPr>
          <w:spacing w:val="-5"/>
        </w:rPr>
        <w:t xml:space="preserve"> 年度未发生因公出国</w:t>
      </w:r>
      <w:r>
        <w:t>（境）费用。费用</w:t>
      </w:r>
      <w:r>
        <w:rPr>
          <w:spacing w:val="-8"/>
        </w:rPr>
        <w:t xml:space="preserve">支出较年初预算数增加 </w:t>
      </w:r>
      <w:r>
        <w:rPr>
          <w:spacing w:val="-2"/>
        </w:rPr>
        <w:t>0.00</w:t>
      </w:r>
      <w:r>
        <w:rPr>
          <w:spacing w:val="-19"/>
        </w:rPr>
        <w:t xml:space="preserve"> 万元，增长 </w:t>
      </w:r>
      <w:r>
        <w:rPr>
          <w:spacing w:val="-2"/>
        </w:rPr>
        <w:t>0.0</w:t>
      </w:r>
      <w:r>
        <w:rPr>
          <w:spacing w:val="-4"/>
        </w:rPr>
        <w:t>%，主要原因是</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rFonts w:hint="eastAsia"/>
          <w:lang w:eastAsia="zh-CN"/>
        </w:rPr>
        <w:t>本</w:t>
      </w:r>
      <w:r>
        <w:rPr>
          <w:spacing w:val="-13"/>
        </w:rPr>
        <w:t xml:space="preserve">单位 </w:t>
      </w:r>
      <w:r>
        <w:t>2020</w:t>
      </w:r>
      <w:r>
        <w:rPr>
          <w:spacing w:val="-7"/>
        </w:rPr>
        <w:t xml:space="preserve"> 年度未发生因公出国</w:t>
      </w:r>
      <w:r>
        <w:t>（境）</w:t>
      </w:r>
      <w:r>
        <w:rPr>
          <w:spacing w:val="-2"/>
        </w:rPr>
        <w:t>费用。较上年支出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1"/>
        <w:textAlignment w:val="auto"/>
      </w:pPr>
      <w:r>
        <w:rPr>
          <w:spacing w:val="-11"/>
        </w:rPr>
        <w:t xml:space="preserve">数增加 </w:t>
      </w:r>
      <w:r>
        <w:t>0.00</w:t>
      </w:r>
      <w:r>
        <w:rPr>
          <w:spacing w:val="-14"/>
        </w:rPr>
        <w:t xml:space="preserve"> 万元，增长 </w:t>
      </w:r>
      <w:r>
        <w:t>0.0</w:t>
      </w:r>
      <w:r>
        <w:rPr>
          <w:spacing w:val="6"/>
        </w:rPr>
        <w:t>%，主要原因是</w:t>
      </w:r>
      <w:r>
        <w:rPr>
          <w:rFonts w:hint="eastAsia"/>
          <w:spacing w:val="11"/>
          <w:lang w:eastAsia="zh-CN"/>
        </w:rPr>
        <w:t>本</w:t>
      </w:r>
      <w:r>
        <w:rPr>
          <w:spacing w:val="-18"/>
        </w:rPr>
        <w:t xml:space="preserve">单位 </w:t>
      </w:r>
      <w:r>
        <w:t>2020</w:t>
      </w:r>
      <w:r>
        <w:rPr>
          <w:spacing w:val="-32"/>
        </w:rPr>
        <w:t xml:space="preserve"> 年</w:t>
      </w:r>
      <w:r>
        <w:rPr>
          <w:spacing w:val="-2"/>
        </w:rPr>
        <w:t>度未发生因公出国（境）费用。</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7" w:firstLine="640"/>
        <w:jc w:val="both"/>
        <w:textAlignment w:val="auto"/>
      </w:pPr>
      <w:r>
        <w:rPr>
          <w:spacing w:val="-9"/>
        </w:rPr>
        <w:t xml:space="preserve">公务车购置费 </w:t>
      </w:r>
      <w:r>
        <w:rPr>
          <w:spacing w:val="-4"/>
        </w:rPr>
        <w:t>19.57</w:t>
      </w:r>
      <w:r>
        <w:rPr>
          <w:spacing w:val="-10"/>
        </w:rPr>
        <w:t xml:space="preserve"> 万元，主要用于信访工作应急保障</w:t>
      </w:r>
      <w:r>
        <w:rPr>
          <w:spacing w:val="-5"/>
        </w:rPr>
        <w:t xml:space="preserve">车。费用支出较年初预算数减少 </w:t>
      </w:r>
      <w:r>
        <w:rPr>
          <w:spacing w:val="-2"/>
        </w:rPr>
        <w:t>0.43</w:t>
      </w:r>
      <w:r>
        <w:rPr>
          <w:spacing w:val="-14"/>
        </w:rPr>
        <w:t xml:space="preserve"> 万元，下降 </w:t>
      </w:r>
      <w:r>
        <w:rPr>
          <w:spacing w:val="-2"/>
        </w:rPr>
        <w:t>2.2%，主要原因是严格落实公车使用规定，公车运行维护成</w:t>
      </w:r>
      <w:r>
        <w:rPr>
          <w:rFonts w:hint="eastAsia"/>
          <w:spacing w:val="-2"/>
          <w:lang w:eastAsia="zh-CN"/>
        </w:rPr>
        <w:t>本</w:t>
      </w:r>
      <w:r>
        <w:rPr>
          <w:spacing w:val="-2"/>
        </w:rPr>
        <w:t>下降。</w:t>
      </w:r>
      <w:r>
        <w:rPr>
          <w:spacing w:val="-3"/>
        </w:rPr>
        <w:t xml:space="preserve">较上年支出数增加 </w:t>
      </w:r>
      <w:r>
        <w:t>19.57</w:t>
      </w:r>
      <w:r>
        <w:rPr>
          <w:spacing w:val="-8"/>
        </w:rPr>
        <w:t xml:space="preserve"> 万元，增长 </w:t>
      </w:r>
      <w:r>
        <w:t>100.0</w:t>
      </w:r>
      <w:r>
        <w:rPr>
          <w:spacing w:val="-2"/>
        </w:rPr>
        <w:t>%，主要原因是</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jc w:val="both"/>
        <w:textAlignment w:val="auto"/>
      </w:pPr>
      <w:r>
        <w:rPr>
          <w:rFonts w:hint="eastAsia"/>
          <w:spacing w:val="-4"/>
          <w:lang w:eastAsia="zh-CN"/>
        </w:rPr>
        <w:t>本</w:t>
      </w:r>
      <w:r>
        <w:rPr>
          <w:spacing w:val="-27"/>
        </w:rPr>
        <w:t xml:space="preserve">单位 </w:t>
      </w:r>
      <w:r>
        <w:rPr>
          <w:spacing w:val="-4"/>
        </w:rPr>
        <w:t>2020</w:t>
      </w:r>
      <w:r>
        <w:rPr>
          <w:spacing w:val="-13"/>
        </w:rPr>
        <w:t xml:space="preserve"> 年新购置一辆公务用车。</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9" w:firstLine="640"/>
        <w:jc w:val="both"/>
        <w:textAlignment w:val="auto"/>
      </w:pPr>
      <w:r>
        <w:rPr>
          <w:spacing w:val="-3"/>
        </w:rPr>
        <w:t xml:space="preserve">公务车运行维护费 </w:t>
      </w:r>
      <w:r>
        <w:t>4.75</w:t>
      </w:r>
      <w:r>
        <w:rPr>
          <w:spacing w:val="-5"/>
        </w:rPr>
        <w:t xml:space="preserve"> 万元，主要用于公务车过路过</w:t>
      </w:r>
      <w:r>
        <w:rPr>
          <w:spacing w:val="11"/>
        </w:rPr>
        <w:t>桥费、加油费、修理费、保险费、保养费。费用支出较年</w:t>
      </w:r>
      <w:r>
        <w:rPr>
          <w:spacing w:val="-8"/>
        </w:rPr>
        <w:t xml:space="preserve">初预算数减少 </w:t>
      </w:r>
      <w:r>
        <w:rPr>
          <w:spacing w:val="-2"/>
        </w:rPr>
        <w:t>0.25</w:t>
      </w:r>
      <w:r>
        <w:rPr>
          <w:spacing w:val="-14"/>
        </w:rPr>
        <w:t xml:space="preserve"> 万元，下降 </w:t>
      </w:r>
      <w:r>
        <w:rPr>
          <w:spacing w:val="-2"/>
        </w:rPr>
        <w:t>5.0%，主要原因是严格落实</w:t>
      </w:r>
      <w:r>
        <w:rPr>
          <w:spacing w:val="12"/>
        </w:rPr>
        <w:t>公车使用规定，公车运行维护成</w:t>
      </w:r>
      <w:r>
        <w:rPr>
          <w:rFonts w:hint="eastAsia"/>
          <w:spacing w:val="12"/>
          <w:lang w:eastAsia="zh-CN"/>
        </w:rPr>
        <w:t>本</w:t>
      </w:r>
      <w:r>
        <w:rPr>
          <w:spacing w:val="10"/>
        </w:rPr>
        <w:t>下降。较上年支出数增</w:t>
      </w:r>
      <w:r>
        <w:rPr>
          <w:spacing w:val="-20"/>
        </w:rPr>
        <w:t xml:space="preserve">加 </w:t>
      </w:r>
      <w:r>
        <w:t>4.75</w:t>
      </w:r>
      <w:r>
        <w:rPr>
          <w:spacing w:val="-13"/>
        </w:rPr>
        <w:t xml:space="preserve"> 万元，增长 </w:t>
      </w:r>
      <w:r>
        <w:t>100.0%，主要原因是</w:t>
      </w:r>
      <w:r>
        <w:rPr>
          <w:rFonts w:hint="eastAsia"/>
          <w:lang w:eastAsia="zh-CN"/>
        </w:rPr>
        <w:t>本</w:t>
      </w:r>
      <w:r>
        <w:rPr>
          <w:spacing w:val="-14"/>
        </w:rPr>
        <w:t xml:space="preserve">单位 </w:t>
      </w:r>
      <w:r>
        <w:t>2020</w:t>
      </w:r>
      <w:r>
        <w:rPr>
          <w:spacing w:val="-14"/>
        </w:rPr>
        <w:t xml:space="preserve"> 年新</w:t>
      </w:r>
      <w:r>
        <w:rPr>
          <w:spacing w:val="-2"/>
        </w:rPr>
        <w:t>购置一辆公务用车。</w:t>
      </w:r>
    </w:p>
    <w:p>
      <w:pPr>
        <w:keepNext w:val="0"/>
        <w:keepLines w:val="0"/>
        <w:pageBreakBefore w:val="0"/>
        <w:widowControl w:val="0"/>
        <w:kinsoku/>
        <w:wordWrap/>
        <w:overflowPunct/>
        <w:topLinePunct w:val="0"/>
        <w:autoSpaceDE w:val="0"/>
        <w:autoSpaceDN w:val="0"/>
        <w:bidi w:val="0"/>
        <w:adjustRightInd/>
        <w:snapToGrid/>
        <w:spacing w:before="0" w:after="0" w:line="594" w:lineRule="exact"/>
        <w:jc w:val="both"/>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149" w:firstLine="640"/>
        <w:textAlignment w:val="auto"/>
      </w:pPr>
      <w:r>
        <w:t>公务接待费 3.80</w:t>
      </w:r>
      <w:r>
        <w:rPr>
          <w:spacing w:val="3"/>
        </w:rPr>
        <w:t xml:space="preserve"> 万元，主要用于接待国内其他省其他</w:t>
      </w:r>
      <w:r>
        <w:rPr>
          <w:spacing w:val="11"/>
        </w:rPr>
        <w:t>市区县内到我单位学习调研信访稳定工作。费用支出较年</w:t>
      </w:r>
      <w:r>
        <w:rPr>
          <w:spacing w:val="-1"/>
        </w:rPr>
        <w:t xml:space="preserve">初预算数减少 </w:t>
      </w:r>
      <w:r>
        <w:t>0.10</w:t>
      </w:r>
      <w:r>
        <w:rPr>
          <w:spacing w:val="-4"/>
        </w:rPr>
        <w:t xml:space="preserve"> 万元，下降 </w:t>
      </w:r>
      <w:r>
        <w:t>2.6%，主要原因是严格控制</w:t>
      </w:r>
      <w:r>
        <w:rPr>
          <w:spacing w:val="-9"/>
        </w:rPr>
        <w:t xml:space="preserve">接待标准和范围。较上年支出数减少 </w:t>
      </w:r>
      <w:r>
        <w:rPr>
          <w:spacing w:val="-4"/>
        </w:rPr>
        <w:t>0.06</w:t>
      </w:r>
      <w:r>
        <w:rPr>
          <w:spacing w:val="-25"/>
        </w:rPr>
        <w:t xml:space="preserve"> 万元，下降 </w:t>
      </w:r>
      <w:r>
        <w:rPr>
          <w:spacing w:val="-4"/>
        </w:rPr>
        <w:t>1.6%，</w:t>
      </w:r>
      <w:r>
        <w:rPr>
          <w:spacing w:val="11"/>
        </w:rPr>
        <w:t>主要原因是认真贯彻落实中央八项规定，按照只减不增的要求从严控制“三公”经费，全年实际支出较预算和决算</w:t>
      </w:r>
      <w:r>
        <w:rPr>
          <w:spacing w:val="-2"/>
        </w:rPr>
        <w:t>均有所下降。</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（三）“</w:t>
      </w:r>
      <w:r>
        <w:rPr>
          <w:spacing w:val="-5"/>
        </w:rPr>
        <w:t>三公”经费实物量情况</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4"/>
        <w:jc w:val="right"/>
        <w:textAlignment w:val="auto"/>
      </w:pPr>
      <w:r>
        <w:rPr>
          <w:spacing w:val="-4"/>
        </w:rPr>
        <w:t>2020</w:t>
      </w:r>
      <w:r>
        <w:rPr>
          <w:spacing w:val="-28"/>
        </w:rPr>
        <w:t xml:space="preserve"> 年度</w:t>
      </w:r>
      <w:r>
        <w:rPr>
          <w:rFonts w:hint="eastAsia"/>
          <w:spacing w:val="-4"/>
          <w:lang w:eastAsia="zh-CN"/>
        </w:rPr>
        <w:t>本</w:t>
      </w:r>
      <w:r>
        <w:rPr>
          <w:spacing w:val="-4"/>
        </w:rPr>
        <w:t>部门因公出国（境）</w:t>
      </w:r>
      <w:r>
        <w:rPr>
          <w:spacing w:val="-27"/>
        </w:rPr>
        <w:t xml:space="preserve">共计 </w:t>
      </w:r>
      <w:r>
        <w:rPr>
          <w:spacing w:val="-4"/>
        </w:rPr>
        <w:t>0</w:t>
      </w:r>
      <w:r>
        <w:rPr>
          <w:spacing w:val="-19"/>
        </w:rPr>
        <w:t xml:space="preserve"> 个团组，</w:t>
      </w:r>
      <w:r>
        <w:rPr>
          <w:spacing w:val="-4"/>
        </w:rPr>
        <w:t>0</w:t>
      </w:r>
      <w:r>
        <w:rPr>
          <w:spacing w:val="-29"/>
        </w:rPr>
        <w:t xml:space="preserve"> 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8"/>
        <w:jc w:val="right"/>
        <w:textAlignment w:val="auto"/>
      </w:pPr>
      <w:r>
        <w:rPr>
          <w:spacing w:val="-4"/>
        </w:rPr>
        <w:t xml:space="preserve">公务用车购置 </w:t>
      </w:r>
      <w:r>
        <w:t>1</w:t>
      </w:r>
      <w:r>
        <w:rPr>
          <w:spacing w:val="-6"/>
        </w:rPr>
        <w:t xml:space="preserve"> 辆，公务车保有量为 </w:t>
      </w:r>
      <w:r>
        <w:t>1</w:t>
      </w:r>
      <w:r>
        <w:rPr>
          <w:spacing w:val="-5"/>
        </w:rPr>
        <w:t xml:space="preserve"> 辆；国内公务接待</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334"/>
        <w:jc w:val="right"/>
        <w:textAlignment w:val="auto"/>
      </w:pPr>
      <w:r>
        <w:t>40</w:t>
      </w:r>
      <w:r>
        <w:rPr>
          <w:spacing w:val="-23"/>
        </w:rPr>
        <w:t xml:space="preserve"> 批次 </w:t>
      </w:r>
      <w:r>
        <w:t>420</w:t>
      </w:r>
      <w:r>
        <w:rPr>
          <w:spacing w:val="-1"/>
        </w:rPr>
        <w:t xml:space="preserve"> 人，其中：国内外 事接待 </w:t>
      </w:r>
      <w:r>
        <w:t>0</w:t>
      </w:r>
      <w:r>
        <w:rPr>
          <w:spacing w:val="-2"/>
        </w:rPr>
        <w:t xml:space="preserve"> 批次，</w:t>
      </w:r>
      <w:r>
        <w:rPr>
          <w:spacing w:val="12"/>
        </w:rPr>
        <w:t>0</w:t>
      </w:r>
      <w:r>
        <w:rPr>
          <w:spacing w:val="-7"/>
        </w:rPr>
        <w:t xml:space="preserve"> 人；国</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103"/>
        <w:textAlignment w:val="auto"/>
      </w:pPr>
      <w:r>
        <w:rPr>
          <w:spacing w:val="14"/>
        </w:rPr>
        <w:t>（境）</w:t>
      </w:r>
      <w:r>
        <w:rPr>
          <w:spacing w:val="4"/>
        </w:rPr>
        <w:t xml:space="preserve">外公务接待 </w:t>
      </w:r>
      <w:r>
        <w:t>0</w:t>
      </w:r>
      <w:r>
        <w:rPr>
          <w:spacing w:val="-2"/>
        </w:rPr>
        <w:t xml:space="preserve"> 批次，</w:t>
      </w:r>
      <w:r>
        <w:t>0</w:t>
      </w:r>
      <w:r>
        <w:rPr>
          <w:spacing w:val="-2"/>
        </w:rPr>
        <w:t xml:space="preserve"> 人。</w:t>
      </w:r>
      <w:r>
        <w:t>2020</w:t>
      </w:r>
      <w:r>
        <w:rPr>
          <w:spacing w:val="-7"/>
        </w:rPr>
        <w:t xml:space="preserve"> 年</w:t>
      </w:r>
      <w:r>
        <w:rPr>
          <w:rFonts w:hint="eastAsia"/>
          <w:spacing w:val="14"/>
          <w:lang w:eastAsia="zh-CN"/>
        </w:rPr>
        <w:t>本</w:t>
      </w:r>
      <w:r>
        <w:rPr>
          <w:spacing w:val="11"/>
        </w:rPr>
        <w:t>部门人均接待</w:t>
      </w:r>
      <w:r>
        <w:rPr>
          <w:spacing w:val="-42"/>
        </w:rPr>
        <w:t xml:space="preserve">费 </w:t>
      </w:r>
      <w:r>
        <w:rPr>
          <w:spacing w:val="-10"/>
        </w:rPr>
        <w:t>90.48</w:t>
      </w:r>
      <w:r>
        <w:rPr>
          <w:spacing w:val="-26"/>
        </w:rPr>
        <w:t xml:space="preserve"> 元，车均购置费 </w:t>
      </w:r>
      <w:r>
        <w:rPr>
          <w:spacing w:val="-10"/>
        </w:rPr>
        <w:t>19.57</w:t>
      </w:r>
      <w:r>
        <w:rPr>
          <w:spacing w:val="-25"/>
        </w:rPr>
        <w:t xml:space="preserve"> 万元，车均维护费 </w:t>
      </w:r>
      <w:r>
        <w:rPr>
          <w:spacing w:val="-10"/>
        </w:rPr>
        <w:t>4.75</w:t>
      </w:r>
      <w:r>
        <w:rPr>
          <w:spacing w:val="-27"/>
        </w:rPr>
        <w:t xml:space="preserve"> 万元。</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5"/>
        </w:rPr>
        <w:t>四、其他需要说明的事项</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（一）</w:t>
      </w:r>
      <w:r>
        <w:rPr>
          <w:spacing w:val="-5"/>
        </w:rPr>
        <w:t>机关运行经费情况说明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7" w:firstLine="640"/>
        <w:jc w:val="both"/>
        <w:textAlignment w:val="auto"/>
      </w:pPr>
      <w:r>
        <w:t>2020</w:t>
      </w:r>
      <w:r>
        <w:rPr>
          <w:spacing w:val="-4"/>
        </w:rPr>
        <w:t xml:space="preserve"> 年度</w:t>
      </w:r>
      <w:r>
        <w:rPr>
          <w:rFonts w:hint="eastAsia"/>
          <w:lang w:eastAsia="zh-CN"/>
        </w:rPr>
        <w:t>本</w:t>
      </w:r>
      <w:r>
        <w:rPr>
          <w:spacing w:val="-2"/>
        </w:rPr>
        <w:t xml:space="preserve">部门机关运行经费支出 </w:t>
      </w:r>
      <w:r>
        <w:t>86.65</w:t>
      </w:r>
      <w:r>
        <w:rPr>
          <w:spacing w:val="-3"/>
        </w:rPr>
        <w:t xml:space="preserve"> 万元，机关</w:t>
      </w:r>
      <w:r>
        <w:rPr>
          <w:spacing w:val="-2"/>
        </w:rPr>
        <w:t>运行经费主要用于开支办公费、邮电费、劳务费、差旅费、</w:t>
      </w:r>
      <w:r>
        <w:rPr>
          <w:spacing w:val="11"/>
        </w:rPr>
        <w:t>会议费、工会经费、福利费、公务接待费、其他交通费、</w:t>
      </w:r>
      <w:r>
        <w:rPr>
          <w:spacing w:val="21"/>
        </w:rPr>
        <w:t>其他商品和服务支出。机关运行经费较上年决算数增加</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230"/>
        <w:jc w:val="both"/>
        <w:textAlignment w:val="auto"/>
      </w:pPr>
      <w:r>
        <w:rPr>
          <w:spacing w:val="-6"/>
        </w:rPr>
        <w:t>22.72</w:t>
      </w:r>
      <w:r>
        <w:rPr>
          <w:spacing w:val="-16"/>
        </w:rPr>
        <w:t xml:space="preserve"> 万元，增长 </w:t>
      </w:r>
      <w:r>
        <w:rPr>
          <w:spacing w:val="-6"/>
        </w:rPr>
        <w:t>35.5%，主要原因是信访工作量大任务重，</w:t>
      </w:r>
      <w:r>
        <w:rPr>
          <w:spacing w:val="-2"/>
        </w:rPr>
        <w:t>公用经费增加。</w:t>
      </w:r>
    </w:p>
    <w:p>
      <w:pPr>
        <w:pStyle w:val="15"/>
        <w:keepNext w:val="0"/>
        <w:keepLines w:val="0"/>
        <w:pageBreakBefore w:val="0"/>
        <w:widowControl w:val="0"/>
        <w:kinsoku/>
        <w:wordWrap/>
        <w:overflowPunct/>
        <w:topLinePunct w:val="0"/>
        <w:autoSpaceDE w:val="0"/>
        <w:autoSpaceDN w:val="0"/>
        <w:adjustRightInd/>
        <w:snapToGrid/>
        <w:spacing w:before="0" w:line="594" w:lineRule="exact"/>
        <w:ind w:right="333" w:firstLine="640"/>
        <w:jc w:val="both"/>
        <w:sectPr>
          <w:pgSz w:w="11910" w:h="16840"/>
          <w:pgMar w:top="1560" w:right="1460" w:bottom="280" w:left="1680" w:header="720" w:footer="720" w:gutter="0"/>
          <w:cols w:num="1" w:space="720"/>
          <w:docGrid w:linePitch="312" w:charSpace="0"/>
        </w:sectPr>
      </w:pPr>
      <w:r>
        <w:rPr>
          <w:rFonts w:hint="eastAsia"/>
          <w:spacing w:val="-4"/>
          <w:lang w:eastAsia="zh-CN"/>
        </w:rPr>
        <w:t>本</w:t>
      </w:r>
      <w:r>
        <w:rPr>
          <w:spacing w:val="-8"/>
        </w:rPr>
        <w:t xml:space="preserve">年度会议费支出 </w:t>
      </w:r>
      <w:r>
        <w:rPr>
          <w:spacing w:val="-4"/>
        </w:rPr>
        <w:t>0.81</w:t>
      </w:r>
      <w:r>
        <w:rPr>
          <w:spacing w:val="-11"/>
        </w:rPr>
        <w:t xml:space="preserve"> 万元，较上年决算数增加 </w:t>
      </w:r>
      <w:r>
        <w:rPr>
          <w:spacing w:val="-4"/>
        </w:rPr>
        <w:t>0.32</w:t>
      </w:r>
      <w:r>
        <w:rPr>
          <w:spacing w:val="-13"/>
        </w:rPr>
        <w:t xml:space="preserve">万元，增长 </w:t>
      </w:r>
      <w:r>
        <w:t>65.3</w:t>
      </w:r>
      <w:r>
        <w:rPr>
          <w:spacing w:val="-1"/>
        </w:rPr>
        <w:t>%，主要原因是信访工作量大任务重，通过</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0" w:right="252"/>
        <w:jc w:val="both"/>
        <w:textAlignment w:val="auto"/>
      </w:pPr>
      <w:r>
        <w:rPr>
          <w:spacing w:val="-8"/>
        </w:rPr>
        <w:t>开会研讨解决信访疑难问题。</w:t>
      </w:r>
      <w:r>
        <w:rPr>
          <w:rFonts w:hint="eastAsia"/>
          <w:spacing w:val="-8"/>
          <w:lang w:eastAsia="zh-CN"/>
        </w:rPr>
        <w:t>本</w:t>
      </w:r>
      <w:r>
        <w:rPr>
          <w:spacing w:val="-11"/>
        </w:rPr>
        <w:t xml:space="preserve">年度培训费支出 </w:t>
      </w:r>
      <w:r>
        <w:rPr>
          <w:spacing w:val="-8"/>
        </w:rPr>
        <w:t>0.87</w:t>
      </w:r>
      <w:r>
        <w:rPr>
          <w:spacing w:val="-14"/>
        </w:rPr>
        <w:t xml:space="preserve"> 万元，</w:t>
      </w:r>
      <w:r>
        <w:rPr>
          <w:spacing w:val="-5"/>
        </w:rPr>
        <w:t xml:space="preserve">较上年决算数减少 </w:t>
      </w:r>
      <w:r>
        <w:t>0.09</w:t>
      </w:r>
      <w:r>
        <w:rPr>
          <w:spacing w:val="-13"/>
        </w:rPr>
        <w:t xml:space="preserve"> 万元，下降 </w:t>
      </w:r>
      <w:r>
        <w:t>9.4%，主要原因是严格</w:t>
      </w:r>
      <w:r>
        <w:rPr>
          <w:spacing w:val="-2"/>
        </w:rPr>
        <w:t>控制标准。</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（二）</w:t>
      </w:r>
      <w:r>
        <w:rPr>
          <w:spacing w:val="-5"/>
        </w:rPr>
        <w:t>国有资产占用情况说明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29"/>
        </w:rPr>
        <w:t xml:space="preserve">截至 </w:t>
      </w:r>
      <w:r>
        <w:rPr>
          <w:spacing w:val="-4"/>
        </w:rPr>
        <w:t>2020</w:t>
      </w:r>
      <w:r>
        <w:rPr>
          <w:spacing w:val="-53"/>
        </w:rPr>
        <w:t xml:space="preserve"> 年 </w:t>
      </w:r>
      <w:r>
        <w:rPr>
          <w:spacing w:val="-4"/>
        </w:rPr>
        <w:t>12</w:t>
      </w:r>
      <w:r>
        <w:rPr>
          <w:spacing w:val="-53"/>
        </w:rPr>
        <w:t xml:space="preserve"> 月 </w:t>
      </w:r>
      <w:r>
        <w:rPr>
          <w:spacing w:val="-4"/>
        </w:rPr>
        <w:t>31</w:t>
      </w:r>
      <w:r>
        <w:rPr>
          <w:spacing w:val="-28"/>
        </w:rPr>
        <w:t xml:space="preserve"> 日，</w:t>
      </w:r>
      <w:r>
        <w:rPr>
          <w:rFonts w:hint="eastAsia"/>
          <w:spacing w:val="-4"/>
          <w:lang w:eastAsia="zh-CN"/>
        </w:rPr>
        <w:t>本</w:t>
      </w:r>
      <w:r>
        <w:rPr>
          <w:spacing w:val="-15"/>
        </w:rPr>
        <w:t xml:space="preserve">部门共有车辆 </w:t>
      </w:r>
      <w:r>
        <w:rPr>
          <w:spacing w:val="-4"/>
        </w:rPr>
        <w:t>1</w:t>
      </w:r>
      <w:r>
        <w:rPr>
          <w:spacing w:val="-18"/>
        </w:rPr>
        <w:t xml:space="preserve"> 辆，其中，</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13"/>
        </w:rPr>
        <w:t>副部（省）</w:t>
      </w:r>
      <w:r>
        <w:rPr>
          <w:spacing w:val="3"/>
        </w:rPr>
        <w:t xml:space="preserve">级及以上领导用车 </w:t>
      </w:r>
      <w:r>
        <w:t>0</w:t>
      </w:r>
      <w:r>
        <w:rPr>
          <w:spacing w:val="-3"/>
        </w:rPr>
        <w:t xml:space="preserve"> 辆、主要领导干部用车 </w:t>
      </w:r>
      <w:r>
        <w:rPr>
          <w:spacing w:val="-10"/>
        </w:rPr>
        <w:t>0</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3"/>
        </w:rPr>
        <w:t xml:space="preserve">辆、机要通信用车 </w:t>
      </w:r>
      <w:r>
        <w:t>0</w:t>
      </w:r>
      <w:r>
        <w:rPr>
          <w:spacing w:val="-7"/>
        </w:rPr>
        <w:t xml:space="preserve"> 辆、应急保障用车 </w:t>
      </w:r>
      <w:r>
        <w:t>1</w:t>
      </w:r>
      <w:r>
        <w:rPr>
          <w:spacing w:val="-6"/>
        </w:rPr>
        <w:t xml:space="preserve"> 辆、执法执勤用</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20"/>
        </w:rPr>
        <w:t xml:space="preserve">车 </w:t>
      </w:r>
      <w:r>
        <w:t>0</w:t>
      </w:r>
      <w:r>
        <w:rPr>
          <w:spacing w:val="-10"/>
        </w:rPr>
        <w:t xml:space="preserve"> 辆，特种专业技术用车 </w:t>
      </w:r>
      <w:r>
        <w:t>0</w:t>
      </w:r>
      <w:r>
        <w:rPr>
          <w:spacing w:val="-10"/>
        </w:rPr>
        <w:t xml:space="preserve"> 辆，离退休干部用车 </w:t>
      </w:r>
      <w:r>
        <w:t>0</w:t>
      </w:r>
      <w:r>
        <w:rPr>
          <w:spacing w:val="-17"/>
        </w:rPr>
        <w:t xml:space="preserve"> 辆，</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8"/>
        </w:rPr>
        <w:t xml:space="preserve">其他用车 </w:t>
      </w:r>
      <w:r>
        <w:t>0</w:t>
      </w:r>
      <w:r>
        <w:rPr>
          <w:spacing w:val="-14"/>
        </w:rPr>
        <w:t xml:space="preserve"> 辆，</w:t>
      </w:r>
      <w:r>
        <w:rPr>
          <w:rFonts w:hint="eastAsia"/>
          <w:lang w:eastAsia="zh-CN"/>
        </w:rPr>
        <w:t>本</w:t>
      </w:r>
      <w:r>
        <w:rPr>
          <w:spacing w:val="-13"/>
        </w:rPr>
        <w:t xml:space="preserve">单位 </w:t>
      </w:r>
      <w:r>
        <w:t>2020</w:t>
      </w:r>
      <w:r>
        <w:rPr>
          <w:spacing w:val="-9"/>
        </w:rPr>
        <w:t xml:space="preserve"> 年无其他用车。单价 </w:t>
      </w:r>
      <w:r>
        <w:t>50</w:t>
      </w:r>
      <w:r>
        <w:rPr>
          <w:spacing w:val="-18"/>
        </w:rPr>
        <w:t xml:space="preserve"> 万元</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t>（含）</w:t>
      </w:r>
      <w:r>
        <w:rPr>
          <w:spacing w:val="-3"/>
        </w:rPr>
        <w:t xml:space="preserve">以上通用设备 </w:t>
      </w:r>
      <w:r>
        <w:t>0</w:t>
      </w:r>
      <w:r>
        <w:rPr>
          <w:spacing w:val="-11"/>
        </w:rPr>
        <w:t xml:space="preserve"> 台</w:t>
      </w:r>
      <w:r>
        <w:t>（套），</w:t>
      </w:r>
      <w:r>
        <w:rPr>
          <w:spacing w:val="-8"/>
        </w:rPr>
        <w:t xml:space="preserve">单价 </w:t>
      </w:r>
      <w:r>
        <w:t>100</w:t>
      </w:r>
      <w:r>
        <w:rPr>
          <w:spacing w:val="-6"/>
        </w:rPr>
        <w:t xml:space="preserve"> 万元</w:t>
      </w:r>
      <w:r>
        <w:t>（含）</w:t>
      </w:r>
      <w:r>
        <w:rPr>
          <w:spacing w:val="-10"/>
        </w:rPr>
        <w:t>以</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16"/>
        </w:rPr>
        <w:t xml:space="preserve">上专用设备 </w:t>
      </w:r>
      <w:r>
        <w:rPr>
          <w:spacing w:val="-4"/>
        </w:rPr>
        <w:t>0</w:t>
      </w:r>
      <w:r>
        <w:rPr>
          <w:spacing w:val="-40"/>
        </w:rPr>
        <w:t xml:space="preserve"> 台</w:t>
      </w:r>
      <w:r>
        <w:rPr>
          <w:spacing w:val="-4"/>
        </w:rPr>
        <w:t>（套）</w:t>
      </w:r>
      <w:r>
        <w:rPr>
          <w:spacing w:val="-10"/>
        </w:rPr>
        <w:t>。</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（三）</w:t>
      </w:r>
      <w:r>
        <w:rPr>
          <w:spacing w:val="-5"/>
        </w:rPr>
        <w:t>政府采购支出情况说明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6"/>
        </w:rPr>
        <w:t>2020</w:t>
      </w:r>
      <w:r>
        <w:rPr>
          <w:spacing w:val="-30"/>
        </w:rPr>
        <w:t xml:space="preserve"> 年度</w:t>
      </w:r>
      <w:r>
        <w:rPr>
          <w:rFonts w:hint="eastAsia"/>
          <w:spacing w:val="-6"/>
          <w:lang w:eastAsia="zh-CN"/>
        </w:rPr>
        <w:t>本</w:t>
      </w:r>
      <w:r>
        <w:rPr>
          <w:spacing w:val="-13"/>
        </w:rPr>
        <w:t xml:space="preserve">部门政府采购支出总额 </w:t>
      </w:r>
      <w:r>
        <w:rPr>
          <w:spacing w:val="-6"/>
        </w:rPr>
        <w:t>34.33</w:t>
      </w:r>
      <w:r>
        <w:rPr>
          <w:spacing w:val="-18"/>
        </w:rPr>
        <w:t xml:space="preserve"> 万元，其中：</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7"/>
        </w:rPr>
        <w:t xml:space="preserve">政府采购货物支出 </w:t>
      </w:r>
      <w:r>
        <w:t>34.33</w:t>
      </w:r>
      <w:r>
        <w:rPr>
          <w:spacing w:val="-12"/>
        </w:rPr>
        <w:t xml:space="preserve"> 万元、政府采购工程支出 </w:t>
      </w:r>
      <w:r>
        <w:t>0.00</w:t>
      </w:r>
      <w:r>
        <w:rPr>
          <w:spacing w:val="-35"/>
        </w:rPr>
        <w:t xml:space="preserve"> 万</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4"/>
        </w:rPr>
        <w:t xml:space="preserve">元、政府采购服务支出 </w:t>
      </w:r>
      <w:r>
        <w:t>0.00</w:t>
      </w:r>
      <w:r>
        <w:rPr>
          <w:spacing w:val="-7"/>
        </w:rPr>
        <w:t xml:space="preserve"> 万元。授予中小企业合同金额</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155"/>
        <w:textAlignment w:val="auto"/>
      </w:pPr>
      <w:r>
        <w:t>34.33</w:t>
      </w:r>
      <w:r>
        <w:rPr>
          <w:spacing w:val="9"/>
        </w:rPr>
        <w:t xml:space="preserve"> 万元，占政府采购支出总额的 </w:t>
      </w:r>
      <w:r>
        <w:t>100</w:t>
      </w:r>
      <w:r>
        <w:rPr>
          <w:spacing w:val="7"/>
        </w:rPr>
        <w:t>%，其中：授予小</w:t>
      </w:r>
      <w:r>
        <w:rPr>
          <w:spacing w:val="-13"/>
        </w:rPr>
        <w:t xml:space="preserve">微企业合同金额 </w:t>
      </w:r>
      <w:r>
        <w:rPr>
          <w:spacing w:val="-4"/>
        </w:rPr>
        <w:t>25.93</w:t>
      </w:r>
      <w:r>
        <w:rPr>
          <w:spacing w:val="-18"/>
        </w:rPr>
        <w:t xml:space="preserve"> 万元，占政府采购支出总额的 </w:t>
      </w:r>
      <w:r>
        <w:rPr>
          <w:spacing w:val="-4"/>
        </w:rPr>
        <w:t>75.5%。</w:t>
      </w:r>
      <w:r>
        <w:rPr>
          <w:spacing w:val="-2"/>
        </w:rPr>
        <w:t>主要用于采购公务用车一辆、文化景观石以及办公用电脑。</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5"/>
        </w:rPr>
        <w:t>五、预算绩效管理情况说明</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（一）</w:t>
      </w:r>
      <w:r>
        <w:rPr>
          <w:spacing w:val="-5"/>
        </w:rPr>
        <w:t>预算绩效管理工作开展情况</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根据预算绩效管理要求，</w:t>
      </w:r>
      <w:r>
        <w:rPr>
          <w:rFonts w:hint="eastAsia"/>
          <w:spacing w:val="-4"/>
          <w:lang w:eastAsia="zh-CN"/>
        </w:rPr>
        <w:t>本</w:t>
      </w:r>
      <w:r>
        <w:rPr>
          <w:spacing w:val="-20"/>
        </w:rPr>
        <w:t xml:space="preserve">部门对 </w:t>
      </w:r>
      <w:r>
        <w:rPr>
          <w:rFonts w:ascii="Times New Roman" w:eastAsia="Times New Roman" w:hAnsi="Times New Roman"/>
          <w:spacing w:val="-4"/>
        </w:rPr>
        <w:t>6</w:t>
      </w:r>
      <w:r>
        <w:rPr>
          <w:rFonts w:ascii="Times New Roman" w:eastAsia="Times New Roman" w:hAnsi="Times New Roman"/>
          <w:spacing w:val="3"/>
        </w:rPr>
        <w:t xml:space="preserve"> </w:t>
      </w:r>
      <w:r>
        <w:rPr>
          <w:spacing w:val="-5"/>
        </w:rPr>
        <w:t>个项目开展了绩效</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7"/>
        </w:rPr>
        <w:t xml:space="preserve">自评，其中，以填报目标自评表形式开展自评 </w:t>
      </w:r>
      <w:r>
        <w:rPr>
          <w:rFonts w:ascii="Times New Roman" w:eastAsia="Times New Roman" w:hAnsi="Times New Roman"/>
          <w:spacing w:val="-4"/>
        </w:rPr>
        <w:t>6</w:t>
      </w:r>
      <w:r>
        <w:rPr>
          <w:rFonts w:ascii="Times New Roman" w:eastAsia="Times New Roman" w:hAnsi="Times New Roman"/>
        </w:rPr>
        <w:t xml:space="preserve"> </w:t>
      </w:r>
      <w:r>
        <w:rPr>
          <w:spacing w:val="-6"/>
        </w:rPr>
        <w:t>项，涉及资</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textAlignment w:val="auto"/>
      </w:pPr>
      <w:r>
        <w:rPr>
          <w:spacing w:val="-30"/>
        </w:rPr>
        <w:t xml:space="preserve">金 </w:t>
      </w:r>
      <w:r>
        <w:rPr>
          <w:rFonts w:ascii="Times New Roman" w:eastAsia="Times New Roman" w:hAnsi="Times New Roman"/>
          <w:spacing w:val="-4"/>
        </w:rPr>
        <w:t>300</w:t>
      </w:r>
      <w:r>
        <w:rPr>
          <w:rFonts w:ascii="Times New Roman" w:eastAsia="Times New Roman" w:hAnsi="Times New Roman"/>
          <w:spacing w:val="2"/>
        </w:rPr>
        <w:t xml:space="preserve"> </w:t>
      </w:r>
      <w:r>
        <w:rPr>
          <w:spacing w:val="-5"/>
        </w:rPr>
        <w:t>万元；我办坚持“统筹兼顾、收支平衡”的总原则，</w:t>
      </w:r>
    </w:p>
    <w:p>
      <w:pPr>
        <w:keepNext w:val="0"/>
        <w:keepLines w:val="0"/>
        <w:pageBreakBefore w:val="0"/>
        <w:widowControl w:val="0"/>
        <w:kinsoku/>
        <w:wordWrap/>
        <w:overflowPunct/>
        <w:topLinePunct w:val="0"/>
        <w:autoSpaceDE w:val="0"/>
        <w:autoSpaceDN w:val="0"/>
        <w:bidi w:val="0"/>
        <w:adjustRightInd/>
        <w:snapToGrid/>
        <w:spacing w:before="0" w:after="0" w:line="594" w:lineRule="exact"/>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40"/>
        <w:jc w:val="both"/>
        <w:textAlignment w:val="auto"/>
      </w:pPr>
      <w:r>
        <w:rPr>
          <w:spacing w:val="9"/>
        </w:rPr>
        <w:t>采取目标责任制的预算管理方式，指定专人负责，建立台账，确保资金申报、审核、审批、拨付环节有人签字。如上访人领取解难资金后继续上访，将予以追回。项目经费严格按照单位的财务制度和预算支出范围使用。按照项目计划安排和实际工作情况开支，做到了专款专用，经费均</w:t>
      </w:r>
      <w:r>
        <w:rPr>
          <w:spacing w:val="-2"/>
        </w:rPr>
        <w:t>按照有关文件、通知精神执行。</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4"/>
        </w:rPr>
        <w:t>（二）</w:t>
      </w:r>
      <w:r>
        <w:rPr>
          <w:spacing w:val="-5"/>
        </w:rPr>
        <w:t xml:space="preserve">绩效自评结果 </w:t>
      </w:r>
    </w:p>
    <w:p>
      <w:pPr>
        <w:pStyle w:val="1"/>
        <w:keepNext w:val="0"/>
        <w:keepLines w:val="0"/>
        <w:pageBreakBefore w:val="0"/>
        <w:widowControl w:val="0"/>
        <w:numPr>
          <w:ilvl w:val="0"/>
          <w:numId w:val="4"/>
        </w:numPr>
        <w:tabs>
          <w:tab w:val="left" w:pos="998"/>
        </w:tabs>
        <w:kinsoku/>
        <w:wordWrap/>
        <w:overflowPunct/>
        <w:topLinePunct w:val="0"/>
        <w:autoSpaceDE w:val="0"/>
        <w:autoSpaceDN w:val="0"/>
        <w:bidi w:val="0"/>
        <w:adjustRightInd/>
        <w:snapToGrid/>
        <w:spacing w:before="0" w:after="0" w:line="594" w:lineRule="exact"/>
        <w:ind w:left="998" w:right="0" w:hanging="238"/>
        <w:jc w:val="left"/>
        <w:textAlignment w:val="auto"/>
      </w:pPr>
      <w:r>
        <w:rPr>
          <w:spacing w:val="-4"/>
        </w:rPr>
        <w:t>绩效自评表</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170" w:firstLine="640"/>
        <w:textAlignment w:val="auto"/>
      </w:pPr>
      <w:r>
        <w:rPr>
          <w:spacing w:val="12"/>
        </w:rPr>
        <w:t>特殊信访疑难问题专项资金项目绩效目标自评综述：</w:t>
      </w:r>
      <w:r>
        <w:t>根据年初设定的绩效目标，项目总体完成</w:t>
      </w:r>
      <w:bookmarkStart w:id="0" w:name="_GoBack"/>
      <w:bookmarkEnd w:id="0"/>
      <w:r>
        <w:t>情况，2020</w:t>
      </w:r>
      <w:r>
        <w:rPr>
          <w:spacing w:val="-3"/>
        </w:rPr>
        <w:t xml:space="preserve"> 年全</w:t>
      </w:r>
      <w:r>
        <w:rPr>
          <w:spacing w:val="-6"/>
        </w:rPr>
        <w:t xml:space="preserve">县信访形势继续保持平稳可控的态势，信访总量 </w:t>
      </w:r>
      <w:r>
        <w:rPr>
          <w:spacing w:val="-2"/>
        </w:rPr>
        <w:t>3927</w:t>
      </w:r>
      <w:r>
        <w:rPr>
          <w:spacing w:val="-20"/>
        </w:rPr>
        <w:t xml:space="preserve"> 批次，</w:t>
      </w:r>
      <w:r>
        <w:rPr>
          <w:spacing w:val="-2"/>
        </w:rPr>
        <w:t xml:space="preserve"> </w:t>
      </w:r>
      <w:r>
        <w:t>6877</w:t>
      </w:r>
      <w:r>
        <w:rPr>
          <w:spacing w:val="12"/>
        </w:rPr>
        <w:t xml:space="preserve"> 人次， 同比下降 </w:t>
      </w:r>
      <w:r>
        <w:t>13.51</w:t>
      </w:r>
      <w:r>
        <w:rPr>
          <w:spacing w:val="22"/>
        </w:rPr>
        <w:t>%、</w:t>
      </w:r>
      <w:r>
        <w:t>22.15</w:t>
      </w:r>
      <w:r>
        <w:rPr>
          <w:spacing w:val="15"/>
        </w:rPr>
        <w:t>%， 到市信访下降</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9"/>
        <w:textAlignment w:val="auto"/>
      </w:pPr>
      <w:r>
        <w:t>16.5</w:t>
      </w:r>
      <w:r>
        <w:rPr>
          <w:spacing w:val="4"/>
        </w:rPr>
        <w:t xml:space="preserve">%，到京信访下降 </w:t>
      </w:r>
      <w:r>
        <w:t>24.2</w:t>
      </w:r>
      <w:r>
        <w:rPr>
          <w:spacing w:val="3"/>
        </w:rPr>
        <w:t xml:space="preserve">%，越级访下降 </w:t>
      </w:r>
      <w:r>
        <w:t>18.8</w:t>
      </w:r>
      <w:r>
        <w:rPr>
          <w:spacing w:val="4"/>
        </w:rPr>
        <w:t>%，进京非</w:t>
      </w:r>
      <w:r>
        <w:rPr>
          <w:spacing w:val="-10"/>
        </w:rPr>
        <w:t xml:space="preserve">访 </w:t>
      </w:r>
      <w:r>
        <w:t>0</w:t>
      </w:r>
      <w:r>
        <w:rPr>
          <w:spacing w:val="-7"/>
        </w:rPr>
        <w:t xml:space="preserve"> 人次</w:t>
      </w:r>
      <w:r>
        <w:t>（全</w:t>
      </w:r>
      <w:r>
        <w:rPr>
          <w:spacing w:val="-7"/>
        </w:rPr>
        <w:t xml:space="preserve">年 </w:t>
      </w:r>
      <w:r>
        <w:t>5</w:t>
      </w:r>
      <w:r>
        <w:rPr>
          <w:spacing w:val="-6"/>
        </w:rPr>
        <w:t xml:space="preserve"> 有次</w:t>
      </w:r>
      <w:r>
        <w:t>），</w:t>
      </w:r>
      <w:r>
        <w:rPr>
          <w:spacing w:val="-1"/>
        </w:rPr>
        <w:t>重点群体、重点人员串联聚集</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4"/>
        <w:jc w:val="both"/>
        <w:textAlignment w:val="auto"/>
      </w:pPr>
      <w:r>
        <w:rPr>
          <w:spacing w:val="-2"/>
        </w:rPr>
        <w:t xml:space="preserve">上访明显减少，信访秩序持续向好。项目全年预算数为 </w:t>
      </w:r>
      <w:r>
        <w:t>160</w:t>
      </w:r>
      <w:r>
        <w:rPr>
          <w:spacing w:val="-2"/>
        </w:rPr>
        <w:t xml:space="preserve">万元，执行数为 </w:t>
      </w:r>
      <w:r>
        <w:t>160</w:t>
      </w:r>
      <w:r>
        <w:rPr>
          <w:spacing w:val="-6"/>
        </w:rPr>
        <w:t xml:space="preserve"> 万元，完成预算的 </w:t>
      </w:r>
      <w:r>
        <w:t>100%。主要产出和</w:t>
      </w:r>
      <w:r>
        <w:rPr>
          <w:spacing w:val="-2"/>
        </w:rPr>
        <w:t xml:space="preserve">效果：一是疑难信访 </w:t>
      </w:r>
      <w:r>
        <w:t>55</w:t>
      </w:r>
      <w:r>
        <w:rPr>
          <w:spacing w:val="-6"/>
        </w:rPr>
        <w:t xml:space="preserve"> 批次 </w:t>
      </w:r>
      <w:r>
        <w:t>1077</w:t>
      </w:r>
      <w:r>
        <w:rPr>
          <w:spacing w:val="-3"/>
        </w:rPr>
        <w:t xml:space="preserve"> 人，二是解决疑难问题</w:t>
      </w:r>
      <w:r>
        <w:rPr>
          <w:spacing w:val="1"/>
        </w:rPr>
        <w:t xml:space="preserve">及准确率 </w:t>
      </w:r>
      <w:r>
        <w:t>100.0%。发现的问题及原因，项目资金主要用于</w:t>
      </w:r>
      <w:r>
        <w:rPr>
          <w:spacing w:val="9"/>
        </w:rPr>
        <w:t>敏感节点、重大活动期间对信访重点人员的教育管控和对一些无责任主体信访案件、特殊疑难信访案件、三跨三分离案件以及一些诉求合理但无相应政策规定的、生活确有</w:t>
      </w:r>
      <w:r>
        <w:rPr>
          <w:spacing w:val="10"/>
        </w:rPr>
        <w:t>困难的信访人给予适当救助。对各乡镇（街道）</w:t>
      </w:r>
      <w:r>
        <w:rPr>
          <w:spacing w:val="7"/>
        </w:rPr>
        <w:t>及相关部</w:t>
      </w:r>
      <w:r>
        <w:rPr>
          <w:spacing w:val="9"/>
        </w:rPr>
        <w:t>门的拨付经费已经全额完成绩效目标。下一步改进措施，</w:t>
      </w:r>
    </w:p>
    <w:p>
      <w:pPr>
        <w:keepNext w:val="0"/>
        <w:keepLines w:val="0"/>
        <w:pageBreakBefore w:val="0"/>
        <w:widowControl w:val="0"/>
        <w:kinsoku/>
        <w:wordWrap/>
        <w:overflowPunct/>
        <w:topLinePunct w:val="0"/>
        <w:autoSpaceDE w:val="0"/>
        <w:autoSpaceDN w:val="0"/>
        <w:bidi w:val="0"/>
        <w:adjustRightInd/>
        <w:snapToGrid/>
        <w:spacing w:before="0" w:after="0" w:line="594" w:lineRule="exact"/>
        <w:jc w:val="both"/>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40"/>
        <w:jc w:val="both"/>
        <w:textAlignment w:val="auto"/>
      </w:pPr>
      <w:r>
        <w:rPr>
          <w:spacing w:val="9"/>
        </w:rPr>
        <w:t>县信访办将用好用活项目资金，继续以人民为中心，以群众满意为目标，控制好增量、化解存量，努力实现全县信访秩序进一步好转，为营造和谐、安定的社会环境作出最</w:t>
      </w:r>
      <w:r>
        <w:rPr>
          <w:spacing w:val="-2"/>
        </w:rPr>
        <w:t>大的贡献。</w:t>
      </w:r>
    </w:p>
    <w:p>
      <w:pPr>
        <w:pStyle w:val="15"/>
        <w:spacing w:before="11"/>
        <w:ind w:left="0"/>
        <w:rPr>
          <w:sz w:val="4"/>
        </w:rPr>
      </w:pPr>
      <w:r>
        <w:drawing>
          <wp:anchor distT="0" distB="0" distL="0" distR="0" simplePos="0" relativeHeight="54" behindDoc="0" locked="0" layoutInCell="1" hidden="0" allowOverlap="1">
            <wp:simplePos x="0" y="0"/>
            <wp:positionH relativeFrom="page">
              <wp:posOffset>1144269</wp:posOffset>
            </wp:positionH>
            <wp:positionV relativeFrom="paragraph">
              <wp:posOffset>54610</wp:posOffset>
            </wp:positionV>
            <wp:extent cx="5229859" cy="7157085"/>
            <wp:effectExtent l="0" t="0" r="0" b="0"/>
            <wp:wrapTopAndBottom/>
            <wp:docPr id="14" name="Image 1"/>
            <wp:cNvGraphicFramePr>
              <a:graphicFrameLocks noChangeAspect="0"/>
            </wp:cNvGraphicFramePr>
            <a:graphic>
              <a:graphicData uri="http://schemas.openxmlformats.org/drawingml/2006/picture">
                <pic:pic>
                  <pic:nvPicPr>
                    <pic:cNvPr id="2" name="Image 1 2"/>
                    <pic:cNvPicPr/>
                  </pic:nvPicPr>
                  <pic:blipFill>
                    <a:blip r:embed="rId2"/>
                    <a:stretch>
                      <a:fillRect/>
                    </a:stretch>
                  </pic:blipFill>
                  <pic:spPr>
                    <a:xfrm rot="0">
                      <a:off x="0" y="0"/>
                      <a:ext cx="5229859" cy="7157085"/>
                    </a:xfrm>
                    <a:prstGeom prst="rect"/>
                    <a:noFill/>
                    <a:ln w="9525" cmpd="sng" cap="flat">
                      <a:noFill/>
                      <a:prstDash val="solid"/>
                      <a:miter/>
                    </a:ln>
                  </pic:spPr>
                </pic:pic>
              </a:graphicData>
            </a:graphic>
          </wp:anchor>
        </w:drawing>
      </w:r>
    </w:p>
    <w:p>
      <w:pPr>
        <w:spacing w:after="0"/>
        <w:rPr>
          <w:sz w:val="4"/>
        </w:rPr>
        <w:sectPr>
          <w:pgSz w:w="11910" w:h="16840"/>
          <w:pgMar w:top="1560" w:right="1460" w:bottom="280" w:left="1680" w:header="720" w:footer="720" w:gutter="0"/>
          <w:cols w:num="1" w:space="720"/>
          <w:docGrid w:linePitch="312" w:charSpace="0"/>
        </w:sectPr>
      </w:pPr>
    </w:p>
    <w:p>
      <w:pPr>
        <w:pStyle w:val="15"/>
        <w:ind w:left="0"/>
        <w:rPr>
          <w:sz w:val="20"/>
        </w:rPr>
      </w:pPr>
    </w:p>
    <w:p>
      <w:pPr>
        <w:pStyle w:val="15"/>
        <w:ind w:left="0"/>
        <w:rPr>
          <w:sz w:val="20"/>
        </w:rPr>
      </w:pPr>
    </w:p>
    <w:p>
      <w:pPr>
        <w:pStyle w:val="15"/>
        <w:ind w:left="0"/>
        <w:rPr>
          <w:sz w:val="20"/>
        </w:rPr>
      </w:pPr>
    </w:p>
    <w:p>
      <w:pPr>
        <w:pStyle w:val="15"/>
        <w:spacing w:before="44"/>
        <w:ind w:left="0"/>
        <w:rPr>
          <w:sz w:val="20"/>
        </w:rPr>
      </w:pPr>
    </w:p>
    <w:p>
      <w:pPr>
        <w:pStyle w:val="15"/>
        <w:ind w:left="122"/>
        <w:rPr>
          <w:sz w:val="20"/>
        </w:rPr>
      </w:pPr>
      <w:r>
        <w:rPr>
          <w:sz w:val="20"/>
        </w:rPr>
        <w:drawing>
          <wp:inline distT="0" distB="0" distL="0" distR="0">
            <wp:extent cx="5259070" cy="7192009"/>
            <wp:effectExtent l="0" t="0" r="0" b="0"/>
            <wp:docPr id="15" name="Image 2"/>
            <wp:cNvGraphicFramePr>
              <a:graphicFrameLocks noChangeAspect="0"/>
            </wp:cNvGraphicFramePr>
            <a:graphic>
              <a:graphicData uri="http://schemas.openxmlformats.org/drawingml/2006/picture">
                <pic:pic>
                  <pic:nvPicPr>
                    <pic:cNvPr id="4" name="Image 2 4"/>
                    <pic:cNvPicPr/>
                  </pic:nvPicPr>
                  <pic:blipFill>
                    <a:blip r:embed="rId3"/>
                    <a:stretch>
                      <a:fillRect/>
                    </a:stretch>
                  </pic:blipFill>
                  <pic:spPr>
                    <a:xfrm rot="0">
                      <a:off x="0" y="0"/>
                      <a:ext cx="5259070" cy="7192009"/>
                    </a:xfrm>
                    <a:prstGeom prst="rect"/>
                    <a:noFill/>
                    <a:ln w="9525" cmpd="sng" cap="flat">
                      <a:noFill/>
                      <a:prstDash val="solid"/>
                      <a:miter/>
                    </a:ln>
                  </pic:spPr>
                </pic:pic>
              </a:graphicData>
            </a:graphic>
          </wp:inline>
        </w:drawing>
      </w:r>
    </w:p>
    <w:p>
      <w:pPr>
        <w:spacing w:after="0"/>
        <w:rPr>
          <w:sz w:val="20"/>
        </w:rPr>
        <w:sectPr>
          <w:pgSz w:w="11910" w:h="16840"/>
          <w:pgMar w:top="1940" w:right="1460" w:bottom="280" w:left="1680" w:header="720" w:footer="720" w:gutter="0"/>
          <w:cols w:num="1" w:space="720"/>
          <w:docGrid w:linePitch="312" w:charSpace="0"/>
        </w:sectPr>
      </w:pPr>
    </w:p>
    <w:p>
      <w:pPr>
        <w:pStyle w:val="15"/>
        <w:spacing w:before="9"/>
        <w:ind w:left="0"/>
        <w:rPr>
          <w:sz w:val="20"/>
        </w:rPr>
      </w:pPr>
    </w:p>
    <w:p>
      <w:pPr>
        <w:pStyle w:val="15"/>
        <w:ind w:left="124"/>
        <w:rPr>
          <w:sz w:val="20"/>
        </w:rPr>
      </w:pPr>
      <w:r>
        <w:rPr>
          <w:sz w:val="20"/>
        </w:rPr>
        <w:drawing>
          <wp:inline distT="0" distB="0" distL="0" distR="0">
            <wp:extent cx="5257165" cy="7072630"/>
            <wp:effectExtent l="0" t="0" r="0" b="0"/>
            <wp:docPr id="16" name="Image 3"/>
            <wp:cNvGraphicFramePr>
              <a:graphicFrameLocks noChangeAspect="0"/>
            </wp:cNvGraphicFramePr>
            <a:graphic>
              <a:graphicData uri="http://schemas.openxmlformats.org/drawingml/2006/picture">
                <pic:pic>
                  <pic:nvPicPr>
                    <pic:cNvPr id="6" name="Image 3 6"/>
                    <pic:cNvPicPr/>
                  </pic:nvPicPr>
                  <pic:blipFill>
                    <a:blip r:embed="rId4"/>
                    <a:stretch>
                      <a:fillRect/>
                    </a:stretch>
                  </pic:blipFill>
                  <pic:spPr>
                    <a:xfrm rot="0">
                      <a:off x="0" y="0"/>
                      <a:ext cx="5257165" cy="7072630"/>
                    </a:xfrm>
                    <a:prstGeom prst="rect"/>
                    <a:noFill/>
                    <a:ln w="9525" cmpd="sng" cap="flat">
                      <a:noFill/>
                      <a:prstDash val="solid"/>
                      <a:miter/>
                    </a:ln>
                  </pic:spPr>
                </pic:pic>
              </a:graphicData>
            </a:graphic>
          </wp:inline>
        </w:drawing>
      </w:r>
    </w:p>
    <w:p>
      <w:pPr>
        <w:spacing w:after="0"/>
        <w:rPr>
          <w:sz w:val="20"/>
        </w:rPr>
        <w:sectPr>
          <w:pgSz w:w="11910" w:h="16840"/>
          <w:pgMar w:top="1940" w:right="1460" w:bottom="280" w:left="1680" w:header="720" w:footer="720" w:gutter="0"/>
          <w:cols w:num="1" w:space="720"/>
          <w:docGrid w:linePitch="312" w:charSpace="0"/>
        </w:sectPr>
      </w:pPr>
    </w:p>
    <w:p>
      <w:pPr>
        <w:pStyle w:val="15"/>
        <w:spacing w:before="3"/>
        <w:ind w:left="0"/>
        <w:rPr>
          <w:sz w:val="10"/>
        </w:rPr>
      </w:pPr>
    </w:p>
    <w:p>
      <w:pPr>
        <w:pStyle w:val="15"/>
        <w:ind w:left="122"/>
        <w:rPr>
          <w:sz w:val="20"/>
        </w:rPr>
      </w:pPr>
      <w:r>
        <w:rPr>
          <w:sz w:val="20"/>
        </w:rPr>
        <w:drawing>
          <wp:inline distT="0" distB="0" distL="0" distR="0">
            <wp:extent cx="5245735" cy="6701155"/>
            <wp:effectExtent l="0" t="0" r="0" b="0"/>
            <wp:docPr id="17" name="Image 4"/>
            <wp:cNvGraphicFramePr>
              <a:graphicFrameLocks noChangeAspect="0"/>
            </wp:cNvGraphicFramePr>
            <a:graphic>
              <a:graphicData uri="http://schemas.openxmlformats.org/drawingml/2006/picture">
                <pic:pic>
                  <pic:nvPicPr>
                    <pic:cNvPr id="8" name="Image 4 8"/>
                    <pic:cNvPicPr/>
                  </pic:nvPicPr>
                  <pic:blipFill>
                    <a:blip r:embed="rId5"/>
                    <a:stretch>
                      <a:fillRect/>
                    </a:stretch>
                  </pic:blipFill>
                  <pic:spPr>
                    <a:xfrm rot="0">
                      <a:off x="0" y="0"/>
                      <a:ext cx="5245735" cy="6701155"/>
                    </a:xfrm>
                    <a:prstGeom prst="rect"/>
                    <a:noFill/>
                    <a:ln w="9525" cmpd="sng" cap="flat">
                      <a:noFill/>
                      <a:prstDash val="solid"/>
                      <a:miter/>
                    </a:ln>
                  </pic:spPr>
                </pic:pic>
              </a:graphicData>
            </a:graphic>
          </wp:inline>
        </w:drawing>
      </w:r>
    </w:p>
    <w:p>
      <w:pPr>
        <w:spacing w:after="0"/>
        <w:rPr>
          <w:sz w:val="20"/>
        </w:rPr>
        <w:sectPr>
          <w:pgSz w:w="11910" w:h="16840"/>
          <w:pgMar w:top="1940" w:right="1460" w:bottom="280" w:left="1680" w:header="720" w:footer="720" w:gutter="0"/>
          <w:cols w:num="1" w:space="720"/>
          <w:docGrid w:linePitch="312" w:charSpace="0"/>
        </w:sectPr>
      </w:pPr>
    </w:p>
    <w:p>
      <w:pPr>
        <w:pStyle w:val="15"/>
        <w:ind w:left="0"/>
        <w:rPr>
          <w:sz w:val="16"/>
        </w:rPr>
      </w:pPr>
    </w:p>
    <w:p>
      <w:pPr>
        <w:pStyle w:val="15"/>
        <w:ind w:left="122"/>
        <w:rPr>
          <w:sz w:val="20"/>
        </w:rPr>
      </w:pPr>
      <w:r>
        <w:rPr>
          <w:sz w:val="20"/>
        </w:rPr>
        <w:drawing>
          <wp:inline distT="0" distB="0" distL="0" distR="0">
            <wp:extent cx="5245735" cy="6701155"/>
            <wp:effectExtent l="0" t="0" r="0" b="0"/>
            <wp:docPr id="18" name="Image 5"/>
            <wp:cNvGraphicFramePr>
              <a:graphicFrameLocks noChangeAspect="0"/>
            </wp:cNvGraphicFramePr>
            <a:graphic>
              <a:graphicData uri="http://schemas.openxmlformats.org/drawingml/2006/picture">
                <pic:pic>
                  <pic:nvPicPr>
                    <pic:cNvPr id="9" name="Image 5 9"/>
                    <pic:cNvPicPr/>
                  </pic:nvPicPr>
                  <pic:blipFill>
                    <a:blip r:embed="rId6"/>
                    <a:stretch>
                      <a:fillRect/>
                    </a:stretch>
                  </pic:blipFill>
                  <pic:spPr>
                    <a:xfrm rot="0">
                      <a:off x="0" y="0"/>
                      <a:ext cx="5245735" cy="6701155"/>
                    </a:xfrm>
                    <a:prstGeom prst="rect"/>
                    <a:noFill/>
                    <a:ln w="9525" cmpd="sng" cap="flat">
                      <a:noFill/>
                      <a:prstDash val="solid"/>
                      <a:miter/>
                    </a:ln>
                  </pic:spPr>
                </pic:pic>
              </a:graphicData>
            </a:graphic>
          </wp:inline>
        </w:drawing>
      </w:r>
    </w:p>
    <w:p>
      <w:pPr>
        <w:spacing w:after="0"/>
        <w:rPr>
          <w:sz w:val="20"/>
        </w:rPr>
        <w:sectPr>
          <w:pgSz w:w="11910" w:h="16840"/>
          <w:pgMar w:top="1940" w:right="1460" w:bottom="280" w:left="1680" w:header="720" w:footer="720" w:gutter="0"/>
          <w:cols w:num="1" w:space="720"/>
          <w:docGrid w:linePitch="312" w:charSpace="0"/>
        </w:sectPr>
      </w:pPr>
    </w:p>
    <w:p>
      <w:pPr>
        <w:pStyle w:val="15"/>
        <w:ind w:left="122"/>
        <w:rPr>
          <w:sz w:val="20"/>
        </w:rPr>
      </w:pPr>
      <w:r>
        <w:rPr>
          <w:sz w:val="20"/>
        </w:rPr>
        <w:drawing>
          <wp:inline distT="0" distB="0" distL="0" distR="0">
            <wp:extent cx="5257800" cy="7156450"/>
            <wp:effectExtent l="0" t="0" r="0" b="0"/>
            <wp:docPr id="19" name="Image 6"/>
            <wp:cNvGraphicFramePr>
              <a:graphicFrameLocks noChangeAspect="0"/>
            </wp:cNvGraphicFramePr>
            <a:graphic>
              <a:graphicData uri="http://schemas.openxmlformats.org/drawingml/2006/picture">
                <pic:pic>
                  <pic:nvPicPr>
                    <pic:cNvPr id="11" name="Image 6 11"/>
                    <pic:cNvPicPr/>
                  </pic:nvPicPr>
                  <pic:blipFill>
                    <a:blip r:embed="rId7"/>
                    <a:stretch>
                      <a:fillRect/>
                    </a:stretch>
                  </pic:blipFill>
                  <pic:spPr>
                    <a:xfrm rot="0">
                      <a:off x="0" y="0"/>
                      <a:ext cx="5257800" cy="7156450"/>
                    </a:xfrm>
                    <a:prstGeom prst="rect"/>
                    <a:noFill/>
                    <a:ln w="9525" cmpd="sng" cap="flat">
                      <a:noFill/>
                      <a:prstDash val="solid"/>
                      <a:miter/>
                    </a:ln>
                  </pic:spPr>
                </pic:pic>
              </a:graphicData>
            </a:graphic>
          </wp:inline>
        </w:drawing>
      </w:r>
    </w:p>
    <w:p>
      <w:pPr>
        <w:spacing w:after="0"/>
        <w:rPr>
          <w:sz w:val="20"/>
        </w:rPr>
        <w:sectPr>
          <w:pgSz w:w="11910" w:h="16840"/>
          <w:pgMar w:top="1840" w:right="1460" w:bottom="280" w:left="1680" w:header="720" w:footer="720" w:gutter="0"/>
          <w:cols w:num="1" w:space="720"/>
          <w:docGrid w:linePitch="312" w:charSpace="0"/>
        </w:sectPr>
      </w:pPr>
    </w:p>
    <w:p>
      <w:pPr>
        <w:pStyle w:val="1"/>
        <w:numPr>
          <w:ilvl w:val="0"/>
          <w:numId w:val="4"/>
        </w:numPr>
        <w:tabs>
          <w:tab w:val="left" w:pos="998"/>
        </w:tabs>
        <w:spacing w:before="0" w:after="0" w:line="519" w:lineRule="exact"/>
        <w:ind w:left="998" w:right="0" w:hanging="238"/>
        <w:jc w:val="left"/>
      </w:pPr>
      <w:r>
        <w:rPr>
          <w:spacing w:val="-3"/>
        </w:rPr>
        <w:t>绩效自评报告或案例</w:t>
      </w:r>
    </w:p>
    <w:p>
      <w:pPr>
        <w:pStyle w:val="15"/>
        <w:spacing w:before="40"/>
        <w:ind w:left="760"/>
      </w:pPr>
      <w:r>
        <w:rPr>
          <w:spacing w:val="-10"/>
        </w:rPr>
        <w:t>无</w:t>
      </w:r>
    </w:p>
    <w:p>
      <w:pPr>
        <w:pStyle w:val="15"/>
        <w:spacing w:before="284"/>
        <w:ind w:left="760"/>
      </w:pPr>
      <w:r>
        <w:rPr>
          <w:spacing w:val="-4"/>
        </w:rPr>
        <w:t>（三）</w:t>
      </w:r>
      <w:r>
        <w:rPr>
          <w:spacing w:val="-5"/>
        </w:rPr>
        <w:t>重点绩效评价结果</w:t>
      </w:r>
    </w:p>
    <w:p>
      <w:pPr>
        <w:pStyle w:val="15"/>
        <w:spacing w:before="185"/>
        <w:ind w:left="760"/>
      </w:pPr>
      <w:r>
        <w:rPr>
          <w:spacing w:val="-10"/>
        </w:rPr>
        <w:t>无</w:t>
      </w:r>
    </w:p>
    <w:p>
      <w:pPr>
        <w:pStyle w:val="15"/>
        <w:spacing w:before="183"/>
        <w:ind w:left="760"/>
      </w:pPr>
      <w:r>
        <w:rPr>
          <w:spacing w:val="-5"/>
        </w:rPr>
        <w:t>六、专业名词解释</w:t>
      </w:r>
    </w:p>
    <w:p>
      <w:pPr>
        <w:pStyle w:val="15"/>
        <w:spacing w:before="185" w:line="348" w:lineRule="auto"/>
        <w:ind w:right="338" w:firstLine="640"/>
        <w:jc w:val="both"/>
      </w:pPr>
      <w:r>
        <w:rPr>
          <w:spacing w:val="11"/>
        </w:rPr>
        <w:t>（一）财政拨款收入：指</w:t>
      </w:r>
      <w:r>
        <w:rPr>
          <w:rFonts w:hint="eastAsia"/>
          <w:spacing w:val="11"/>
          <w:lang w:eastAsia="zh-CN"/>
        </w:rPr>
        <w:t>本</w:t>
      </w:r>
      <w:r>
        <w:rPr>
          <w:spacing w:val="11"/>
        </w:rPr>
        <w:t>年度从</w:t>
      </w:r>
      <w:r>
        <w:rPr>
          <w:rFonts w:hint="eastAsia"/>
          <w:spacing w:val="11"/>
          <w:lang w:eastAsia="zh-CN"/>
        </w:rPr>
        <w:t>本</w:t>
      </w:r>
      <w:r>
        <w:rPr>
          <w:spacing w:val="9"/>
        </w:rPr>
        <w:t>级财政部门取得的财政拨款，包括一般公共预算财政拨款和政府性基金预</w:t>
      </w:r>
      <w:r>
        <w:rPr>
          <w:spacing w:val="-2"/>
        </w:rPr>
        <w:t>算财政拨款。</w:t>
      </w:r>
    </w:p>
    <w:p>
      <w:pPr>
        <w:pStyle w:val="15"/>
        <w:spacing w:line="348" w:lineRule="auto"/>
        <w:ind w:right="338" w:firstLine="640"/>
        <w:jc w:val="both"/>
      </w:pPr>
      <w:r>
        <w:rPr>
          <w:spacing w:val="11"/>
        </w:rPr>
        <w:t>（二）</w:t>
      </w:r>
      <w:r>
        <w:rPr>
          <w:spacing w:val="10"/>
        </w:rPr>
        <w:t>事业收入：指事业单位开展专业业务活动及其</w:t>
      </w:r>
      <w:r>
        <w:rPr>
          <w:spacing w:val="9"/>
        </w:rPr>
        <w:t>辅助活动取得的现金流入；事业单位收到的财政专户实际</w:t>
      </w:r>
      <w:r>
        <w:rPr>
          <w:spacing w:val="-2"/>
        </w:rPr>
        <w:t>核拨的教育收费等资金在此反映。</w:t>
      </w:r>
    </w:p>
    <w:p>
      <w:pPr>
        <w:pStyle w:val="15"/>
        <w:spacing w:line="348" w:lineRule="auto"/>
        <w:ind w:right="338" w:firstLine="640"/>
      </w:pPr>
      <w:r>
        <w:rPr>
          <w:spacing w:val="11"/>
        </w:rPr>
        <w:t>（三）</w:t>
      </w:r>
      <w:r>
        <w:rPr>
          <w:spacing w:val="10"/>
        </w:rPr>
        <w:t>经营收入：指事业单位在专业业务活动及其辅</w:t>
      </w:r>
      <w:r>
        <w:rPr>
          <w:spacing w:val="-2"/>
        </w:rPr>
        <w:t>助活动之外开展非独立核算经营活动取得的现金流入。</w:t>
      </w:r>
    </w:p>
    <w:p>
      <w:pPr>
        <w:pStyle w:val="15"/>
        <w:keepNext w:val="0"/>
        <w:keepLines w:val="0"/>
        <w:pageBreakBefore w:val="0"/>
        <w:widowControl w:val="0"/>
        <w:kinsoku/>
        <w:wordWrap/>
        <w:overflowPunct/>
        <w:topLinePunct w:val="0"/>
        <w:autoSpaceDE w:val="0"/>
        <w:autoSpaceDN w:val="0"/>
        <w:bidi w:val="0"/>
        <w:adjustRightInd/>
        <w:snapToGrid/>
        <w:spacing w:line="594" w:lineRule="exact"/>
        <w:ind w:right="326" w:firstLine="640"/>
        <w:jc w:val="both"/>
        <w:textAlignment w:val="auto"/>
      </w:pPr>
      <w:r>
        <w:rPr>
          <w:spacing w:val="-2"/>
        </w:rPr>
        <w:t xml:space="preserve">（四）其他收入：指单位取得的除“财政拨款收入”、 </w:t>
      </w:r>
      <w:r>
        <w:rPr>
          <w:spacing w:val="11"/>
        </w:rPr>
        <w:t>“事业收入”、“经营收入”等以外的收入，包括未纳入</w:t>
      </w:r>
      <w:r>
        <w:rPr>
          <w:spacing w:val="-2"/>
        </w:rPr>
        <w:t>财政预算或财政专户管理的投资收益、银行存款利息收入、</w:t>
      </w:r>
      <w:r>
        <w:rPr>
          <w:spacing w:val="11"/>
        </w:rPr>
        <w:t>租金收入、捐赠收入，现金盘盈收入、存货盘盈收入、收回已核销的应收及预付款项、无法偿付的应付及预收款项</w:t>
      </w:r>
      <w:r>
        <w:rPr>
          <w:spacing w:val="12"/>
        </w:rPr>
        <w:t>等。各单位从</w:t>
      </w:r>
      <w:r>
        <w:rPr>
          <w:rFonts w:hint="eastAsia"/>
          <w:spacing w:val="12"/>
          <w:lang w:eastAsia="zh-CN"/>
        </w:rPr>
        <w:t>本</w:t>
      </w:r>
      <w:r>
        <w:rPr>
          <w:spacing w:val="11"/>
        </w:rPr>
        <w:t>级财政部门以外的同级单位取得的经费、</w:t>
      </w:r>
      <w:r>
        <w:rPr>
          <w:spacing w:val="12"/>
        </w:rPr>
        <w:t>从非</w:t>
      </w:r>
      <w:r>
        <w:rPr>
          <w:rFonts w:hint="eastAsia"/>
          <w:spacing w:val="12"/>
          <w:lang w:eastAsia="zh-CN"/>
        </w:rPr>
        <w:t>本</w:t>
      </w:r>
      <w:r>
        <w:rPr>
          <w:spacing w:val="11"/>
        </w:rPr>
        <w:t>级财政部门取得的经费，以及行政单位收到的财政</w:t>
      </w:r>
      <w:r>
        <w:rPr>
          <w:spacing w:val="-2"/>
        </w:rPr>
        <w:t>专户管理资金反映在</w:t>
      </w:r>
      <w:r>
        <w:rPr>
          <w:rFonts w:hint="eastAsia"/>
          <w:spacing w:val="-2"/>
          <w:lang w:eastAsia="zh-CN"/>
        </w:rPr>
        <w:t>本</w:t>
      </w:r>
      <w:r>
        <w:rPr>
          <w:spacing w:val="-2"/>
        </w:rPr>
        <w:t>项内。</w:t>
      </w:r>
    </w:p>
    <w:p>
      <w:pPr>
        <w:pStyle w:val="15"/>
        <w:keepNext w:val="0"/>
        <w:keepLines w:val="0"/>
        <w:pageBreakBefore w:val="0"/>
        <w:widowControl w:val="0"/>
        <w:kinsoku/>
        <w:wordWrap/>
        <w:overflowPunct/>
        <w:topLinePunct w:val="0"/>
        <w:autoSpaceDE w:val="0"/>
        <w:autoSpaceDN w:val="0"/>
        <w:bidi w:val="0"/>
        <w:adjustRightInd/>
        <w:snapToGrid/>
        <w:spacing w:line="594" w:lineRule="exact"/>
        <w:ind w:right="326" w:firstLine="640"/>
        <w:textAlignment w:val="auto"/>
      </w:pPr>
      <w:r>
        <w:rPr>
          <w:spacing w:val="13"/>
        </w:rPr>
        <w:t>（五）</w:t>
      </w:r>
      <w:r>
        <w:rPr>
          <w:spacing w:val="11"/>
        </w:rPr>
        <w:t>使用非财政拨款结余：指单位在当年的“财政</w:t>
      </w:r>
      <w:r>
        <w:rPr>
          <w:spacing w:val="-5"/>
        </w:rPr>
        <w:t>拨款收入”、“事业收入”、“经营收入”、“其他收入”</w:t>
      </w:r>
    </w:p>
    <w:p>
      <w:pPr>
        <w:keepNext w:val="0"/>
        <w:keepLines w:val="0"/>
        <w:pageBreakBefore w:val="0"/>
        <w:widowControl w:val="0"/>
        <w:kinsoku/>
        <w:wordWrap/>
        <w:overflowPunct/>
        <w:topLinePunct w:val="0"/>
        <w:autoSpaceDE w:val="0"/>
        <w:autoSpaceDN w:val="0"/>
        <w:bidi w:val="0"/>
        <w:adjustRightInd/>
        <w:snapToGrid/>
        <w:spacing w:after="0" w:line="594" w:lineRule="exact"/>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119" w:right="340"/>
        <w:textAlignment w:val="auto"/>
      </w:pPr>
      <w:r>
        <w:rPr>
          <w:spacing w:val="9"/>
        </w:rPr>
        <w:t>等不足以安排当年支出的情况下，使用以前年度积累的非</w:t>
      </w:r>
      <w:r>
        <w:rPr>
          <w:spacing w:val="-2"/>
        </w:rPr>
        <w:t>财政拨款结余弥补</w:t>
      </w:r>
      <w:r>
        <w:rPr>
          <w:rFonts w:hint="eastAsia"/>
          <w:spacing w:val="-2"/>
          <w:lang w:eastAsia="zh-CN"/>
        </w:rPr>
        <w:t>本</w:t>
      </w:r>
      <w:r>
        <w:rPr>
          <w:spacing w:val="-2"/>
        </w:rPr>
        <w:t>年度收支缺口的资金。</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119" w:right="338" w:firstLine="640"/>
        <w:textAlignment w:val="auto"/>
      </w:pPr>
      <w:r>
        <w:rPr>
          <w:spacing w:val="11"/>
        </w:rPr>
        <w:t>（六）年初结转和结余：指单位上年结转</w:t>
      </w:r>
      <w:r>
        <w:rPr>
          <w:rFonts w:hint="eastAsia"/>
          <w:spacing w:val="11"/>
          <w:lang w:eastAsia="zh-CN"/>
        </w:rPr>
        <w:t>本</w:t>
      </w:r>
      <w:r>
        <w:rPr>
          <w:spacing w:val="8"/>
        </w:rPr>
        <w:t>年使用的</w:t>
      </w:r>
      <w:r>
        <w:rPr>
          <w:spacing w:val="-2"/>
        </w:rPr>
        <w:t>基</w:t>
      </w:r>
      <w:r>
        <w:rPr>
          <w:rFonts w:hint="eastAsia"/>
          <w:spacing w:val="-2"/>
          <w:lang w:eastAsia="zh-CN"/>
        </w:rPr>
        <w:t>本</w:t>
      </w:r>
      <w:r>
        <w:rPr>
          <w:spacing w:val="-2"/>
        </w:rPr>
        <w:t>支出结转、项目支出结转和结余、经营结余。</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119" w:right="338" w:firstLine="640"/>
        <w:jc w:val="both"/>
        <w:textAlignment w:val="auto"/>
      </w:pPr>
      <w:r>
        <w:rPr>
          <w:spacing w:val="11"/>
        </w:rPr>
        <w:t>（七）</w:t>
      </w:r>
      <w:r>
        <w:rPr>
          <w:spacing w:val="10"/>
        </w:rPr>
        <w:t>结余分配：指单位按照国家有关规定，缴纳所</w:t>
      </w:r>
      <w:r>
        <w:rPr>
          <w:spacing w:val="9"/>
        </w:rPr>
        <w:t>得税、提取专用基金、转入非财政拨款结余等当年结余的</w:t>
      </w:r>
      <w:r>
        <w:rPr>
          <w:spacing w:val="-2"/>
        </w:rPr>
        <w:t>分配情况。</w:t>
      </w:r>
    </w:p>
    <w:p>
      <w:pPr>
        <w:pStyle w:val="15"/>
        <w:spacing w:line="348" w:lineRule="auto"/>
        <w:ind w:right="338" w:firstLine="640"/>
      </w:pPr>
      <w:r>
        <w:rPr>
          <w:spacing w:val="11"/>
        </w:rPr>
        <w:t>（八）年末结转和结余：指单位结转下年的基</w:t>
      </w:r>
      <w:r>
        <w:rPr>
          <w:rFonts w:hint="eastAsia"/>
          <w:spacing w:val="11"/>
          <w:lang w:eastAsia="zh-CN"/>
        </w:rPr>
        <w:t>本</w:t>
      </w:r>
      <w:r>
        <w:rPr>
          <w:spacing w:val="5"/>
        </w:rPr>
        <w:t>支出</w:t>
      </w:r>
      <w:r>
        <w:rPr>
          <w:spacing w:val="-2"/>
        </w:rPr>
        <w:t>结转、项目支出结转和结余、经营结余。</w:t>
      </w:r>
    </w:p>
    <w:p>
      <w:pPr>
        <w:pStyle w:val="15"/>
        <w:spacing w:line="348" w:lineRule="auto"/>
        <w:ind w:right="338" w:firstLine="640"/>
        <w:jc w:val="both"/>
      </w:pPr>
      <w:r>
        <w:rPr>
          <w:spacing w:val="11"/>
        </w:rPr>
        <w:t>（九）</w:t>
      </w:r>
      <w:r>
        <w:rPr>
          <w:spacing w:val="10"/>
        </w:rPr>
        <w:t>基本支出：指为保障机构正常运转、完成日常</w:t>
      </w:r>
      <w:r>
        <w:rPr>
          <w:spacing w:val="9"/>
        </w:rPr>
        <w:t>工作任务而发生的人员经费和公用经费。其中：人员经费指政府收支分类经济科目中的“工资福利支出”和“对个人和家庭的补助”；公用经费指政府收支分类经济科目中除“工资福利支出”和“对个人和家庭的补助”外的其他</w:t>
      </w:r>
      <w:r>
        <w:rPr>
          <w:spacing w:val="-4"/>
        </w:rPr>
        <w:t>支出。</w:t>
      </w:r>
    </w:p>
    <w:p>
      <w:pPr>
        <w:pStyle w:val="15"/>
        <w:spacing w:line="348" w:lineRule="auto"/>
        <w:ind w:right="338" w:firstLine="640"/>
      </w:pPr>
      <w:r>
        <w:rPr>
          <w:spacing w:val="11"/>
        </w:rPr>
        <w:t>（十）项目支出：指在基</w:t>
      </w:r>
      <w:r>
        <w:rPr>
          <w:rFonts w:hint="eastAsia"/>
          <w:spacing w:val="11"/>
          <w:lang w:eastAsia="zh-CN"/>
        </w:rPr>
        <w:t>本</w:t>
      </w:r>
      <w:r>
        <w:rPr>
          <w:spacing w:val="10"/>
        </w:rPr>
        <w:t>支出之外为完成特定行政</w:t>
      </w:r>
      <w:r>
        <w:rPr>
          <w:spacing w:val="-2"/>
        </w:rPr>
        <w:t>任务和事业发展目标所发生的支出。</w:t>
      </w:r>
    </w:p>
    <w:p>
      <w:pPr>
        <w:pStyle w:val="15"/>
        <w:spacing w:line="348" w:lineRule="auto"/>
        <w:ind w:right="338" w:firstLine="640"/>
      </w:pPr>
      <w:r>
        <w:rPr>
          <w:spacing w:val="11"/>
        </w:rPr>
        <w:t>（十一）</w:t>
      </w:r>
      <w:r>
        <w:rPr>
          <w:spacing w:val="10"/>
        </w:rPr>
        <w:t>经营支出：指事业单位在专业业务活动及其</w:t>
      </w:r>
      <w:r>
        <w:rPr>
          <w:spacing w:val="-2"/>
        </w:rPr>
        <w:t>辅助活动之外开展非独立核算经营活动发生的支出。</w:t>
      </w:r>
    </w:p>
    <w:p>
      <w:pPr>
        <w:pStyle w:val="15"/>
        <w:spacing w:line="348" w:lineRule="auto"/>
        <w:ind w:right="338" w:firstLine="640"/>
        <w:jc w:val="both"/>
      </w:pPr>
      <w:r>
        <w:rPr>
          <w:spacing w:val="11"/>
        </w:rPr>
        <w:t>（十二）“</w:t>
      </w:r>
      <w:r>
        <w:rPr>
          <w:spacing w:val="10"/>
        </w:rPr>
        <w:t>三公”经费：指用一般公共预算财政拨款安排的因公出国（境）</w:t>
      </w:r>
      <w:r>
        <w:rPr>
          <w:spacing w:val="9"/>
        </w:rPr>
        <w:t>费、公务用车购置及运行维护费、</w:t>
      </w:r>
      <w:r>
        <w:rPr>
          <w:spacing w:val="10"/>
        </w:rPr>
        <w:t>公务接待费。其中，因公出国（境）</w:t>
      </w:r>
      <w:r>
        <w:rPr>
          <w:spacing w:val="7"/>
        </w:rPr>
        <w:t>费反映单位公务出国</w:t>
      </w:r>
    </w:p>
    <w:p>
      <w:pPr>
        <w:pStyle w:val="15"/>
        <w:spacing w:line="410" w:lineRule="exact"/>
      </w:pPr>
      <w:r>
        <w:rPr>
          <w:spacing w:val="-4"/>
        </w:rPr>
        <w:t>（境）</w:t>
      </w:r>
      <w:r>
        <w:rPr>
          <w:spacing w:val="-5"/>
        </w:rPr>
        <w:t>的国际旅费、国外城市间交通费、住宿费、伙食费、</w:t>
      </w:r>
    </w:p>
    <w:p>
      <w:pPr>
        <w:spacing w:after="0" w:line="410" w:lineRule="exact"/>
        <w:sectPr>
          <w:pgSz w:w="11910" w:h="16840"/>
          <w:pgMar w:top="1560" w:right="1460" w:bottom="280" w:left="1680" w:header="720" w:footer="720" w:gutter="0"/>
          <w:cols w:num="1" w:space="720"/>
          <w:docGrid w:linePitch="312" w:charSpace="0"/>
        </w:sectPr>
      </w:pPr>
    </w:p>
    <w:p>
      <w:pPr>
        <w:pStyle w:val="15"/>
        <w:spacing w:before="36" w:line="348" w:lineRule="auto"/>
        <w:ind w:right="327"/>
        <w:jc w:val="both"/>
      </w:pPr>
      <w:r>
        <w:rPr>
          <w:spacing w:val="11"/>
        </w:rPr>
        <w:t>培训费、公杂费等支出；公务用车购置费反映单位公务用</w:t>
      </w:r>
      <w:r>
        <w:rPr>
          <w:spacing w:val="12"/>
        </w:rPr>
        <w:t>车购置支出（含车辆购置税）</w:t>
      </w:r>
      <w:r>
        <w:rPr>
          <w:spacing w:val="10"/>
        </w:rPr>
        <w:t>；公务用车运行维护费反映</w:t>
      </w:r>
      <w:r>
        <w:rPr>
          <w:spacing w:val="-2"/>
        </w:rPr>
        <w:t>单位按规定保留的公务用车燃料费、维修费、过路过桥费、</w:t>
      </w:r>
      <w:r>
        <w:rPr>
          <w:spacing w:val="11"/>
        </w:rPr>
        <w:t>保险费、安全奖励费用等支出；公务接待费反映单位按规</w:t>
      </w:r>
      <w:r>
        <w:rPr>
          <w:spacing w:val="-2"/>
        </w:rPr>
        <w:t>定开支的各类公务接待（含外宾接待）支出。</w:t>
      </w:r>
    </w:p>
    <w:p>
      <w:pPr>
        <w:pStyle w:val="15"/>
        <w:spacing w:line="348" w:lineRule="auto"/>
        <w:ind w:right="327" w:firstLine="640"/>
        <w:jc w:val="both"/>
      </w:pPr>
      <w:r>
        <w:rPr>
          <w:spacing w:val="13"/>
        </w:rPr>
        <w:t>（十三）机关运行经费：为保障行政单位（</w:t>
      </w:r>
      <w:r>
        <w:rPr>
          <w:spacing w:val="9"/>
        </w:rPr>
        <w:t>含参照公</w:t>
      </w:r>
      <w:r>
        <w:rPr>
          <w:spacing w:val="12"/>
        </w:rPr>
        <w:t>务员法管理的事业单位）</w:t>
      </w:r>
      <w:r>
        <w:rPr>
          <w:spacing w:val="11"/>
        </w:rPr>
        <w:t>运行用于购买货物和服务等的各项公用经费，包括办公及印刷费、邮电费、差旅费、会议</w:t>
      </w:r>
      <w:r>
        <w:t>费、福利费、日常维护 费、专用材料及一般设备购置费、</w:t>
      </w:r>
      <w:r>
        <w:rPr>
          <w:spacing w:val="-2"/>
        </w:rPr>
        <w:t>办公用房水电费、办公用房取暖费、办公用房物业管理费、公务用车运行维护费以及其他费用。</w:t>
      </w:r>
    </w:p>
    <w:p>
      <w:pPr>
        <w:pStyle w:val="15"/>
        <w:spacing w:line="348" w:lineRule="auto"/>
        <w:ind w:right="338" w:firstLine="640"/>
        <w:jc w:val="both"/>
      </w:pPr>
      <w:r>
        <w:rPr>
          <w:spacing w:val="11"/>
        </w:rPr>
        <w:t>（十四）工资福利支出（支出经济分类科目类级</w:t>
      </w:r>
      <w:r>
        <w:t>）：</w:t>
      </w:r>
      <w:r>
        <w:rPr>
          <w:spacing w:val="9"/>
        </w:rPr>
        <w:t>反映单位开支的在职职工和编制外长期聘用人员的各类劳</w:t>
      </w:r>
      <w:r>
        <w:rPr>
          <w:spacing w:val="-2"/>
        </w:rPr>
        <w:t>动报酬，以及为上述人员缴纳的各项社会保险费等。</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4" w:firstLine="640"/>
        <w:jc w:val="both"/>
        <w:textAlignment w:val="auto"/>
      </w:pPr>
      <w:r>
        <w:rPr>
          <w:spacing w:val="-2"/>
        </w:rPr>
        <w:t>（十五）商品和服务支出（支出经济分类科目类级）：</w:t>
      </w:r>
      <w:r>
        <w:rPr>
          <w:spacing w:val="12"/>
        </w:rPr>
        <w:t>反映单位购买商品和服务的支出（</w:t>
      </w:r>
      <w:r>
        <w:rPr>
          <w:spacing w:val="10"/>
        </w:rPr>
        <w:t>不包括用于购置固定资</w:t>
      </w:r>
      <w:r>
        <w:rPr>
          <w:spacing w:val="-2"/>
        </w:rPr>
        <w:t>产的支出、战略性和应急储备支出）。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38" w:firstLine="640"/>
        <w:textAlignment w:val="auto"/>
      </w:pPr>
      <w:r>
        <w:rPr>
          <w:spacing w:val="11"/>
        </w:rPr>
        <w:t>（十六）对个人和家庭的补助（</w:t>
      </w:r>
      <w:r>
        <w:rPr>
          <w:spacing w:val="9"/>
        </w:rPr>
        <w:t>支出经济分类科目类</w:t>
      </w:r>
      <w:r>
        <w:rPr>
          <w:spacing w:val="-2"/>
        </w:rPr>
        <w:t>级）：反映用于对个人和家庭的补助支出。</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right="324" w:firstLine="640"/>
        <w:jc w:val="both"/>
        <w:textAlignment w:val="auto"/>
      </w:pPr>
      <w:r>
        <w:rPr>
          <w:spacing w:val="-2"/>
        </w:rPr>
        <w:t>（十七）其他资本性支出（支出经济分类科目类级）：反映非各级发展与改革部门集中安排的用于购置固定资产、</w:t>
      </w:r>
      <w:r>
        <w:rPr>
          <w:spacing w:val="11"/>
        </w:rPr>
        <w:t>战略性和应急性储备、土地和无形资产，以及构建基础设</w:t>
      </w:r>
      <w:r>
        <w:rPr>
          <w:spacing w:val="-2"/>
        </w:rPr>
        <w:t>施、大型修缮和财政支持企业更新改造所发生的支出。</w:t>
      </w:r>
    </w:p>
    <w:p>
      <w:pPr>
        <w:keepNext w:val="0"/>
        <w:keepLines w:val="0"/>
        <w:pageBreakBefore w:val="0"/>
        <w:widowControl w:val="0"/>
        <w:kinsoku/>
        <w:wordWrap/>
        <w:overflowPunct/>
        <w:topLinePunct w:val="0"/>
        <w:autoSpaceDE w:val="0"/>
        <w:autoSpaceDN w:val="0"/>
        <w:bidi w:val="0"/>
        <w:adjustRightInd/>
        <w:snapToGrid/>
        <w:spacing w:before="0" w:after="0" w:line="594" w:lineRule="exact"/>
        <w:jc w:val="both"/>
        <w:textAlignment w:val="auto"/>
        <w:sectPr>
          <w:pgSz w:w="11910" w:h="16840"/>
          <w:pgMar w:top="1560" w:right="1460" w:bottom="280" w:left="1680" w:header="720" w:footer="720" w:gutter="0"/>
          <w:cols w:num="1" w:space="720"/>
          <w:docGrid w:linePitch="312" w:charSpace="0"/>
        </w:sectPr>
      </w:pP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left="760"/>
        <w:textAlignment w:val="auto"/>
      </w:pPr>
      <w:r>
        <w:rPr>
          <w:spacing w:val="-5"/>
        </w:rPr>
        <w:t>七、决算公开联系方式及信息反馈渠道</w:t>
      </w:r>
    </w:p>
    <w:p>
      <w:pPr>
        <w:pStyle w:val="15"/>
        <w:keepNext w:val="0"/>
        <w:keepLines w:val="0"/>
        <w:pageBreakBefore w:val="0"/>
        <w:widowControl w:val="0"/>
        <w:kinsoku/>
        <w:wordWrap/>
        <w:overflowPunct/>
        <w:topLinePunct w:val="0"/>
        <w:autoSpaceDE w:val="0"/>
        <w:autoSpaceDN w:val="0"/>
        <w:bidi w:val="0"/>
        <w:adjustRightInd/>
        <w:snapToGrid/>
        <w:spacing w:before="0" w:line="594" w:lineRule="exact"/>
        <w:ind w:firstLine="640"/>
        <w:textAlignment w:val="auto"/>
      </w:pPr>
      <w:r>
        <w:rPr>
          <w:rFonts w:hint="eastAsia"/>
          <w:spacing w:val="29"/>
          <w:lang w:eastAsia="zh-CN"/>
        </w:rPr>
        <w:t>本</w:t>
      </w:r>
      <w:r>
        <w:rPr>
          <w:spacing w:val="10"/>
        </w:rPr>
        <w:t xml:space="preserve">单位决算公开信息反馈和联系方式： 电话： </w:t>
      </w:r>
      <w:r>
        <w:t xml:space="preserve">023- </w:t>
      </w:r>
      <w:r>
        <w:rPr>
          <w:spacing w:val="-2"/>
        </w:rPr>
        <w:t>74512572</w:t>
      </w:r>
    </w:p>
    <w:p>
      <w:pPr>
        <w:pStyle w:val="15"/>
        <w:spacing w:before="184"/>
        <w:ind w:left="0"/>
      </w:pPr>
    </w:p>
    <w:p>
      <w:pPr>
        <w:pStyle w:val="15"/>
        <w:ind w:left="760"/>
      </w:pPr>
      <w:r>
        <w:rPr>
          <w:spacing w:val="-2"/>
        </w:rPr>
        <w:t>附：1-9</w:t>
      </w:r>
      <w:r>
        <w:rPr>
          <w:spacing w:val="-18"/>
        </w:rPr>
        <w:t xml:space="preserve"> 表决算表</w:t>
      </w:r>
    </w:p>
    <w:p>
      <w:pPr>
        <w:spacing w:after="0"/>
        <w:sectPr>
          <w:pgSz w:w="11910" w:h="16840"/>
          <w:pgMar w:top="1560" w:right="1460" w:bottom="280" w:left="1680" w:header="720" w:footer="720" w:gutter="0"/>
          <w:cols w:num="1" w:space="720"/>
          <w:docGrid w:linePitch="312" w:charSpace="0"/>
        </w:sectPr>
      </w:pPr>
    </w:p>
    <w:p>
      <w:pPr>
        <w:pStyle w:val="15"/>
        <w:spacing w:before="232"/>
        <w:ind w:left="0"/>
        <w:rPr>
          <w:sz w:val="20"/>
        </w:rPr>
      </w:pPr>
    </w:p>
    <w:p>
      <w:pPr>
        <w:pStyle w:val="15"/>
        <w:ind w:left="160"/>
        <w:rPr>
          <w:sz w:val="20"/>
        </w:rPr>
      </w:pPr>
      <w:r>
        <w:rPr>
          <w:sz w:val="20"/>
        </w:rPr>
        <w:drawing>
          <wp:inline distT="0" distB="0" distL="0" distR="0">
            <wp:extent cx="5252085" cy="6817359"/>
            <wp:effectExtent l="0" t="0" r="0" b="0"/>
            <wp:docPr id="20" name="Image 7"/>
            <wp:cNvGraphicFramePr>
              <a:graphicFrameLocks noChangeAspect="0"/>
            </wp:cNvGraphicFramePr>
            <a:graphic>
              <a:graphicData uri="http://schemas.openxmlformats.org/drawingml/2006/picture">
                <pic:pic>
                  <pic:nvPicPr>
                    <pic:cNvPr id="13" name="Image 7 13"/>
                    <pic:cNvPicPr/>
                  </pic:nvPicPr>
                  <pic:blipFill>
                    <a:blip r:embed="rId8"/>
                    <a:stretch>
                      <a:fillRect/>
                    </a:stretch>
                  </pic:blipFill>
                  <pic:spPr>
                    <a:xfrm rot="0">
                      <a:off x="0" y="0"/>
                      <a:ext cx="5252085" cy="6817359"/>
                    </a:xfrm>
                    <a:prstGeom prst="rect"/>
                    <a:noFill/>
                    <a:ln w="9525" cmpd="sng" cap="flat">
                      <a:noFill/>
                      <a:prstDash val="solid"/>
                      <a:miter/>
                    </a:ln>
                  </pic:spPr>
                </pic:pic>
              </a:graphicData>
            </a:graphic>
          </wp:inline>
        </w:drawing>
      </w:r>
    </w:p>
    <w:p>
      <w:pPr>
        <w:spacing w:after="0"/>
        <w:rPr>
          <w:sz w:val="20"/>
        </w:rPr>
        <w:sectPr>
          <w:pgSz w:w="11910" w:h="16840"/>
          <w:pgMar w:top="1940" w:right="1460" w:bottom="280" w:left="1680" w:header="720" w:footer="720" w:gutter="0"/>
          <w:cols w:num="1" w:space="720"/>
          <w:docGrid w:linePitch="312" w:charSpace="0"/>
        </w:sectPr>
      </w:pPr>
    </w:p>
    <w:p>
      <w:pPr>
        <w:pStyle w:val="15"/>
        <w:ind w:left="0"/>
        <w:rPr>
          <w:sz w:val="20"/>
        </w:rPr>
      </w:pPr>
    </w:p>
    <w:p>
      <w:pPr>
        <w:pStyle w:val="15"/>
        <w:ind w:left="0"/>
        <w:rPr>
          <w:sz w:val="20"/>
        </w:rPr>
      </w:pPr>
    </w:p>
    <w:p>
      <w:pPr>
        <w:pStyle w:val="15"/>
        <w:ind w:left="0"/>
        <w:rPr>
          <w:sz w:val="20"/>
        </w:rPr>
      </w:pPr>
    </w:p>
    <w:p>
      <w:pPr>
        <w:pStyle w:val="15"/>
        <w:spacing w:before="114"/>
        <w:ind w:left="0"/>
        <w:rPr>
          <w:sz w:val="20"/>
        </w:rPr>
      </w:pPr>
    </w:p>
    <w:p>
      <w:pPr>
        <w:pStyle w:val="15"/>
        <w:ind w:left="940"/>
        <w:rPr>
          <w:sz w:val="20"/>
        </w:rPr>
      </w:pPr>
      <w:r>
        <w:rPr>
          <w:sz w:val="20"/>
        </w:rPr>
        <w:drawing>
          <wp:inline distT="0" distB="0" distL="0" distR="0">
            <wp:extent cx="7846059" cy="4132579"/>
            <wp:effectExtent l="0" t="0" r="0" b="0"/>
            <wp:docPr id="21" name="Image 8"/>
            <wp:cNvGraphicFramePr>
              <a:graphicFrameLocks noChangeAspect="0"/>
            </wp:cNvGraphicFramePr>
            <a:graphic>
              <a:graphicData uri="http://schemas.openxmlformats.org/drawingml/2006/picture">
                <pic:pic>
                  <pic:nvPicPr>
                    <pic:cNvPr id="15" name="Image 8 15"/>
                    <pic:cNvPicPr/>
                  </pic:nvPicPr>
                  <pic:blipFill>
                    <a:blip r:embed="rId9"/>
                    <a:stretch>
                      <a:fillRect/>
                    </a:stretch>
                  </pic:blipFill>
                  <pic:spPr>
                    <a:xfrm rot="0">
                      <a:off x="0" y="0"/>
                      <a:ext cx="7846059" cy="4132579"/>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ind w:left="0"/>
        <w:rPr>
          <w:sz w:val="20"/>
        </w:rPr>
      </w:pPr>
    </w:p>
    <w:p>
      <w:pPr>
        <w:pStyle w:val="15"/>
        <w:spacing w:before="122" w:after="1"/>
        <w:ind w:left="0"/>
        <w:rPr>
          <w:sz w:val="20"/>
        </w:rPr>
      </w:pPr>
    </w:p>
    <w:p>
      <w:pPr>
        <w:pStyle w:val="15"/>
        <w:ind w:left="390"/>
        <w:rPr>
          <w:sz w:val="20"/>
        </w:rPr>
      </w:pPr>
      <w:r>
        <w:rPr>
          <w:sz w:val="20"/>
        </w:rPr>
        <w:drawing>
          <wp:inline distT="0" distB="0" distL="0" distR="0">
            <wp:extent cx="8629650" cy="4584700"/>
            <wp:effectExtent l="0" t="0" r="0" b="0"/>
            <wp:docPr id="22" name="Image 9"/>
            <wp:cNvGraphicFramePr>
              <a:graphicFrameLocks noChangeAspect="0"/>
            </wp:cNvGraphicFramePr>
            <a:graphic>
              <a:graphicData uri="http://schemas.openxmlformats.org/drawingml/2006/picture">
                <pic:pic>
                  <pic:nvPicPr>
                    <pic:cNvPr id="17" name="Image 9 17"/>
                    <pic:cNvPicPr/>
                  </pic:nvPicPr>
                  <pic:blipFill>
                    <a:blip r:embed="rId10"/>
                    <a:stretch>
                      <a:fillRect/>
                    </a:stretch>
                  </pic:blipFill>
                  <pic:spPr>
                    <a:xfrm rot="0">
                      <a:off x="0" y="0"/>
                      <a:ext cx="8629650" cy="4584700"/>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spacing w:before="196"/>
        <w:ind w:left="0"/>
        <w:rPr>
          <w:sz w:val="20"/>
        </w:rPr>
      </w:pPr>
    </w:p>
    <w:p>
      <w:pPr>
        <w:pStyle w:val="15"/>
        <w:ind w:left="791"/>
        <w:rPr>
          <w:sz w:val="20"/>
        </w:rPr>
      </w:pPr>
      <w:r>
        <w:rPr>
          <w:sz w:val="20"/>
        </w:rPr>
        <w:drawing>
          <wp:inline distT="0" distB="0" distL="0" distR="0">
            <wp:extent cx="8174355" cy="4783455"/>
            <wp:effectExtent l="0" t="0" r="0" b="0"/>
            <wp:docPr id="23" name="Image 10"/>
            <wp:cNvGraphicFramePr>
              <a:graphicFrameLocks noChangeAspect="0"/>
            </wp:cNvGraphicFramePr>
            <a:graphic>
              <a:graphicData uri="http://schemas.openxmlformats.org/drawingml/2006/picture">
                <pic:pic>
                  <pic:nvPicPr>
                    <pic:cNvPr id="19" name="Image 10 19"/>
                    <pic:cNvPicPr/>
                  </pic:nvPicPr>
                  <pic:blipFill>
                    <a:blip r:embed="rId11"/>
                    <a:stretch>
                      <a:fillRect/>
                    </a:stretch>
                  </pic:blipFill>
                  <pic:spPr>
                    <a:xfrm rot="0">
                      <a:off x="0" y="0"/>
                      <a:ext cx="8174355" cy="4783455"/>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ind w:left="0"/>
        <w:rPr>
          <w:sz w:val="20"/>
        </w:rPr>
      </w:pPr>
    </w:p>
    <w:p>
      <w:pPr>
        <w:pStyle w:val="15"/>
        <w:spacing w:before="86" w:after="1"/>
        <w:ind w:left="0"/>
        <w:rPr>
          <w:sz w:val="20"/>
        </w:rPr>
      </w:pPr>
    </w:p>
    <w:p>
      <w:pPr>
        <w:pStyle w:val="15"/>
        <w:ind w:left="100"/>
        <w:rPr>
          <w:sz w:val="20"/>
        </w:rPr>
      </w:pPr>
      <w:r>
        <w:rPr>
          <w:sz w:val="20"/>
        </w:rPr>
        <mc:AlternateContent>
          <mc:Choice Requires="wps">
            <w:drawing>
              <wp:inline distT="0" distB="0" distL="0" distR="0">
                <wp:extent cx="8904732" cy="5330571"/>
                <wp:effectExtent l="0" t="0" r="0" b="3175"/>
                <wp:docPr id="25" name="Group 11"/>
                <wp:cNvGraphicFramePr>
                  <a:graphicFrameLocks noChangeAspect="0"/>
                </wp:cNvGraphicFramePr>
                <a:graphic>
                  <a:graphicData uri="http://schemas.microsoft.com/office/word/2010/wordprocessingGroup">
                    <wpg:wgp>
                      <wpg:cNvPr id="20" name="Group 11 20"/>
                      <wpg:cNvGrpSpPr/>
                      <wpg:grpSpPr>
                        <a:xfrm rot="0">
                          <a:off x="0" y="0"/>
                          <a:ext cx="8904732" cy="5330571"/>
                          <a:chOff x="0" y="0"/>
                          <a:chExt cx="8904732" cy="5330571"/>
                        </a:xfrm>
                        <a:prstGeom prst="rect"/>
                        <a:solidFill>
                          <a:srgbClr val="FFFFFF"/>
                        </a:solidFill>
                        <a:ln w="9525" cmpd="sng" cap="flat">
                          <a:solidFill>
                            <a:srgbClr val="000000"/>
                          </a:solidFill>
                          <a:prstDash val="solid"/>
                          <a:miter/>
                        </a:ln>
                      </wpg:grpSpPr>
                      <pic:pic>
                        <pic:nvPicPr>
                          <pic:cNvPr id="22" name="Image 12 22"/>
                          <pic:cNvPicPr/>
                        </pic:nvPicPr>
                        <pic:blipFill>
                          <a:blip r:embed="rId12"/>
                          <a:stretch>
                            <a:fillRect/>
                          </a:stretch>
                        </pic:blipFill>
                        <pic:spPr>
                          <a:xfrm rot="0">
                            <a:off x="396240" y="0"/>
                            <a:ext cx="8508492" cy="5050536"/>
                          </a:xfrm>
                          <a:prstGeom prst="rect"/>
                          <a:noFill/>
                          <a:ln w="9525" cmpd="sng" cap="flat">
                            <a:noFill/>
                            <a:prstDash val="solid"/>
                            <a:miter/>
                          </a:ln>
                        </pic:spPr>
                      </pic:pic>
                      <wps:wsp>
                        <wps:cNvPr id="23" name="Graphic 13 23"/>
                        <wps:cNvSpPr/>
                        <wps:spPr>
                          <a:xfrm rot="0">
                            <a:off x="0" y="4968621"/>
                            <a:ext cx="8864600" cy="361950"/>
                          </a:xfrm>
                          <a:custGeom>
                            <a:gdLst>
                              <a:gd name="T1" fmla="*/ 0 w 21600"/>
                              <a:gd name="T2" fmla="*/ 0 h 21600"/>
                              <a:gd name="T3" fmla="*/ 21600 w 21600"/>
                              <a:gd name="T4" fmla="*/ 21600 h 21600"/>
                            </a:gdLst>
                            <a:rect l="T1" t="T2" r="T3" b="T4"/>
                            <a:pathLst>
                              <a:path w="21600" h="21600">
                                <a:moveTo>
                                  <a:pt x="21600" y="21599"/>
                                </a:moveTo>
                                <a:lnTo>
                                  <a:pt x="0" y="21599"/>
                                </a:lnTo>
                                <a:lnTo>
                                  <a:pt x="0" y="0"/>
                                </a:lnTo>
                                <a:lnTo>
                                  <a:pt x="21600" y="0"/>
                                </a:lnTo>
                                <a:cubicBezTo>
                                  <a:pt x="21600" y="7200"/>
                                  <a:pt x="21600" y="14400"/>
                                  <a:pt x="21600" y="21599"/>
                                </a:cubicBezTo>
                                <a:close/>
                              </a:path>
                            </a:pathLst>
                          </a:custGeom>
                          <a:solidFill>
                            <a:srgbClr val="FFFFFF"/>
                          </a:solidFill>
                          <a:ln w="9525" cmpd="sng" cap="flat">
                            <a:noFill/>
                            <a:prstDash val="solid"/>
                            <a:miter/>
                          </a:ln>
                        </wps:spPr>
                        <wps:bodyPr vert="horz" wrap="square" lIns="0" tIns="0" rIns="0" bIns="0" anchor="t" anchorCtr="0" upright="0">
                          <a:noAutofit/>
                        </wps:bodyPr>
                      </wps:wsp>
                      <wps:bodyPr vert="horz" wrap="square" lIns="91440" tIns="45720" rIns="91440" bIns="45720" anchor="t" anchorCtr="0" upright="1">
                        <a:noAutofit/>
                      </wps:bodyPr>
                    </wpg:wgp>
                  </a:graphicData>
                </a:graphic>
              </wp:inline>
            </w:drawing>
          </mc:Choice>
          <mc:Fallback>
            <w:pict>
              <v:group type="#_x0000_t1" id="Group 11" o:spid="_x0000_s24" coordorigin="1440,2012" coordsize="14023,8394" style="width:701.16pt;height:419.73pt;">
                <v:shape type="#_x0000_t75" id="Image 12 22" o:spid="_x0000_s25" style="position:absolute;left:2064;top:2012;width:13399;height:7953;" filled="f" stroked="f">
                  <v:imagedata r:id="rId13" o:title="image10"/>
                  <v:stroke/>
                </v:shape>
                <v:shape type="#_x0000_t0" id="Graphic 13 23" o:spid="_x0000_s26" coordsize="13960,570" path="m13960,569hdc9306,569,4653,569,,569hdc,380,,190,,hdc4653,,9306,,13960,hdc13960,190,13960,380,13960,569xe" style="position:absolute;left:1440;top:9837;width:13960;height:570;" fillcolor="#FFFFFF" stroked="f">
                  <v:stroke/>
                </v:shape>
              </v:group>
            </w:pict>
          </mc:Fallback>
        </mc:AlternateContent>
      </w:r>
    </w:p>
    <w:p>
      <w:pPr>
        <w:spacing w:after="0"/>
        <w:rPr>
          <w:sz w:val="20"/>
        </w:rPr>
        <w:sectPr>
          <w:pgSz w:w="16840" w:h="11910" w:orient="landscape"/>
          <w:pgMar w:top="1340" w:right="1260" w:bottom="280" w:left="1340" w:header="720" w:footer="720" w:gutter="0"/>
          <w:cols w:num="1" w:space="720"/>
          <w:docGrid w:linePitch="312" w:charSpace="0"/>
        </w:sectPr>
      </w:pPr>
    </w:p>
    <w:p>
      <w:pPr>
        <w:pStyle w:val="15"/>
        <w:ind w:left="0"/>
        <w:rPr>
          <w:sz w:val="20"/>
        </w:rPr>
      </w:pPr>
    </w:p>
    <w:p>
      <w:pPr>
        <w:pStyle w:val="15"/>
        <w:spacing w:before="46"/>
        <w:ind w:left="0"/>
        <w:rPr>
          <w:sz w:val="20"/>
        </w:rPr>
      </w:pPr>
    </w:p>
    <w:p>
      <w:pPr>
        <w:pStyle w:val="15"/>
        <w:ind w:left="524"/>
        <w:rPr>
          <w:sz w:val="20"/>
        </w:rPr>
      </w:pPr>
      <w:r>
        <w:rPr>
          <w:sz w:val="20"/>
        </w:rPr>
        <w:drawing>
          <wp:inline distT="0" distB="0" distL="0" distR="0">
            <wp:extent cx="8348345" cy="4864100"/>
            <wp:effectExtent l="0" t="0" r="0" b="0"/>
            <wp:docPr id="26" name="Image 14"/>
            <wp:cNvGraphicFramePr>
              <a:graphicFrameLocks noChangeAspect="0"/>
            </wp:cNvGraphicFramePr>
            <a:graphic>
              <a:graphicData uri="http://schemas.openxmlformats.org/drawingml/2006/picture">
                <pic:pic>
                  <pic:nvPicPr>
                    <pic:cNvPr id="28" name="Image 14 28"/>
                    <pic:cNvPicPr/>
                  </pic:nvPicPr>
                  <pic:blipFill>
                    <a:blip r:embed="rId14"/>
                    <a:stretch>
                      <a:fillRect/>
                    </a:stretch>
                  </pic:blipFill>
                  <pic:spPr>
                    <a:xfrm rot="0">
                      <a:off x="0" y="0"/>
                      <a:ext cx="8348345" cy="4864100"/>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ind w:left="0"/>
        <w:rPr>
          <w:sz w:val="20"/>
        </w:rPr>
      </w:pPr>
    </w:p>
    <w:p>
      <w:pPr>
        <w:pStyle w:val="15"/>
        <w:spacing w:before="50" w:after="1"/>
        <w:ind w:left="0"/>
        <w:rPr>
          <w:sz w:val="20"/>
        </w:rPr>
      </w:pPr>
    </w:p>
    <w:p>
      <w:pPr>
        <w:pStyle w:val="15"/>
        <w:ind w:left="349"/>
        <w:rPr>
          <w:sz w:val="20"/>
        </w:rPr>
      </w:pPr>
      <w:r>
        <w:rPr>
          <w:sz w:val="20"/>
        </w:rPr>
        <w:drawing>
          <wp:inline distT="0" distB="0" distL="0" distR="0">
            <wp:extent cx="8696959" cy="2623820"/>
            <wp:effectExtent l="0" t="0" r="0" b="0"/>
            <wp:docPr id="27" name="Image 15"/>
            <wp:cNvGraphicFramePr>
              <a:graphicFrameLocks noChangeAspect="0"/>
            </wp:cNvGraphicFramePr>
            <a:graphic>
              <a:graphicData uri="http://schemas.openxmlformats.org/drawingml/2006/picture">
                <pic:pic>
                  <pic:nvPicPr>
                    <pic:cNvPr id="30" name="Image 15 30"/>
                    <pic:cNvPicPr/>
                  </pic:nvPicPr>
                  <pic:blipFill>
                    <a:blip r:embed="rId15"/>
                    <a:stretch>
                      <a:fillRect/>
                    </a:stretch>
                  </pic:blipFill>
                  <pic:spPr>
                    <a:xfrm rot="0">
                      <a:off x="0" y="0"/>
                      <a:ext cx="8696959" cy="2623820"/>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spacing w:before="172"/>
        <w:ind w:left="0"/>
        <w:rPr>
          <w:sz w:val="20"/>
        </w:rPr>
      </w:pPr>
    </w:p>
    <w:p>
      <w:pPr>
        <w:pStyle w:val="15"/>
        <w:ind w:left="985"/>
        <w:rPr>
          <w:sz w:val="20"/>
        </w:rPr>
      </w:pPr>
      <w:r>
        <w:rPr>
          <w:sz w:val="20"/>
        </w:rPr>
        <w:drawing>
          <wp:inline distT="0" distB="0" distL="0" distR="0">
            <wp:extent cx="8122284" cy="5186045"/>
            <wp:effectExtent l="0" t="0" r="0" b="0"/>
            <wp:docPr id="28" name="Image 16"/>
            <wp:cNvGraphicFramePr>
              <a:graphicFrameLocks noChangeAspect="0"/>
            </wp:cNvGraphicFramePr>
            <a:graphic>
              <a:graphicData uri="http://schemas.openxmlformats.org/drawingml/2006/picture">
                <pic:pic>
                  <pic:nvPicPr>
                    <pic:cNvPr id="32" name="Image 16 32"/>
                    <pic:cNvPicPr/>
                  </pic:nvPicPr>
                  <pic:blipFill>
                    <a:blip r:embed="rId16"/>
                    <a:stretch>
                      <a:fillRect/>
                    </a:stretch>
                  </pic:blipFill>
                  <pic:spPr>
                    <a:xfrm rot="0">
                      <a:off x="0" y="0"/>
                      <a:ext cx="8122284" cy="5186045"/>
                    </a:xfrm>
                    <a:prstGeom prst="rect"/>
                    <a:noFill/>
                    <a:ln w="9525" cmpd="sng" cap="flat">
                      <a:noFill/>
                      <a:prstDash val="solid"/>
                      <a:miter/>
                    </a:ln>
                  </pic:spPr>
                </pic:pic>
              </a:graphicData>
            </a:graphic>
          </wp:inline>
        </w:drawing>
      </w:r>
    </w:p>
    <w:p>
      <w:pPr>
        <w:spacing w:after="0"/>
        <w:rPr>
          <w:sz w:val="20"/>
        </w:rPr>
        <w:sectPr>
          <w:pgSz w:w="16840" w:h="11910" w:orient="landscape"/>
          <w:pgMar w:top="1340" w:right="1260" w:bottom="280" w:left="1340" w:header="720" w:footer="720" w:gutter="0"/>
          <w:cols w:num="1" w:space="720"/>
          <w:docGrid w:linePitch="312" w:charSpace="0"/>
        </w:sectPr>
      </w:pPr>
    </w:p>
    <w:p>
      <w:pPr>
        <w:pStyle w:val="15"/>
        <w:ind w:left="0"/>
        <w:rPr>
          <w:sz w:val="20"/>
        </w:rPr>
      </w:pPr>
    </w:p>
    <w:p>
      <w:pPr>
        <w:pStyle w:val="15"/>
        <w:ind w:left="0"/>
        <w:rPr>
          <w:sz w:val="20"/>
        </w:rPr>
      </w:pPr>
    </w:p>
    <w:p>
      <w:pPr>
        <w:pStyle w:val="15"/>
        <w:ind w:left="116"/>
        <w:rPr>
          <w:sz w:val="20"/>
        </w:rPr>
      </w:pPr>
      <w:r>
        <w:rPr>
          <w:sz w:val="20"/>
        </w:rPr>
        <w:drawing>
          <wp:inline distT="0" distB="0" distL="0" distR="0">
            <wp:extent cx="8851900" cy="3930015"/>
            <wp:effectExtent l="0" t="0" r="0" b="0"/>
            <wp:docPr id="29" name="Image 17"/>
            <wp:cNvGraphicFramePr>
              <a:graphicFrameLocks noChangeAspect="0"/>
            </wp:cNvGraphicFramePr>
            <a:graphic>
              <a:graphicData uri="http://schemas.openxmlformats.org/drawingml/2006/picture">
                <pic:pic>
                  <pic:nvPicPr>
                    <pic:cNvPr id="34" name="Image 17 34"/>
                    <pic:cNvPicPr/>
                  </pic:nvPicPr>
                  <pic:blipFill>
                    <a:blip r:embed="rId17"/>
                    <a:stretch>
                      <a:fillRect/>
                    </a:stretch>
                  </pic:blipFill>
                  <pic:spPr>
                    <a:xfrm rot="0">
                      <a:off x="0" y="0"/>
                      <a:ext cx="8851900" cy="3930015"/>
                    </a:xfrm>
                    <a:prstGeom prst="rect"/>
                    <a:noFill/>
                    <a:ln w="9525" cmpd="sng" cap="flat">
                      <a:noFill/>
                      <a:prstDash val="solid"/>
                      <a:miter/>
                    </a:ln>
                  </pic:spPr>
                </pic:pic>
              </a:graphicData>
            </a:graphic>
          </wp:inline>
        </w:drawing>
      </w:r>
    </w:p>
    <w:sectPr>
      <w:pgSz w:w="16840" w:h="11910" w:orient="landscape"/>
      <w:pgMar w:top="1340" w:right="1260" w:bottom="280" w:left="1340" w:header="720" w:footer="720" w:gutter="0"/>
      <w:cols w:num="1" w:space="720"/>
      <w:docGrid w:linePitch="312" w:charSpace="0"/>
    </w:sectPr>
  </w:body>
</w:document>
</file>

<file path=word/fontTable.xml><?xml version="1.0" encoding="utf-8"?>
<w:fonts xmlns:w="http://schemas.openxmlformats.org/wordprocessingml/2006/main" xmlns:r="http://schemas.openxmlformats.org/officeDocument/2006/relationships">
  <w:font w:name="Microsoft JhengHei">
    <w:altName w:val="DejaVu Sans"/>
    <w:panose1 w:val="020B0604030504040204"/>
    <w:charset w:val="88"/>
    <w:family w:val="swiss"/>
    <w:pitch w:val="variable"/>
    <w:sig w:usb0="00000000" w:usb1="00000000" w:usb2="00000016" w:usb3="00000000" w:csb0="00100009" w:csb1="00000000"/>
  </w:font>
  <w:font w:name="宋体">
    <w:altName w:val="方正书宋_GBK"/>
    <w:panose1 w:val="00000000000000000000"/>
    <w:charset w:val="00"/>
    <w:family w:val="auto"/>
    <w:pitch w:val="variable"/>
    <w:sig w:usb0="00000000" w:usb1="00000000" w:usb2="00000000" w:usb3="00000000" w:csb0="00000000" w:csb1="00000000"/>
  </w:font>
  <w:font w:name="Times New Roman">
    <w:panose1 w:val="02020603050405020304"/>
    <w:charset w:val="01"/>
    <w:family w:val="roman"/>
    <w:pitch w:val="variable"/>
    <w:sig w:usb0="E0002AFF" w:usb1="C0007841" w:usb2="00000009" w:usb3="00000000" w:csb0="400001FF" w:csb1="FFFF0000"/>
  </w:font>
  <w:font w:name="Lucida Sans">
    <w:panose1 w:val="020B0602030504020204"/>
    <w:charset w:val="00"/>
    <w:family w:val="auto"/>
    <w:pitch w:val="variable"/>
    <w:sig w:usb0="00000003" w:usb1="00000000" w:usb2="00000000" w:usb3="00000000" w:csb0="20000001" w:csb1="00000000"/>
  </w:font>
  <w:font w:name="黑体">
    <w:panose1 w:val="02000000000000000000"/>
    <w:charset w:val="86"/>
    <w:family w:val="script"/>
    <w:pitch w:val="variable"/>
    <w:sig w:usb0="A00002BF" w:usb1="38CF7CFA" w:usb2="00082016" w:usb3="00000000" w:csb0="00040001" w:csb1="00000000"/>
  </w:font>
</w:fonts>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0053208E"/>
    <w:multiLevelType w:val="multilevel"/>
    <w:tmpl w:val="0053208E"/>
    <w:lvl w:ilvl="0">
      <w:start w:val="2"/>
      <w:numFmt w:val="decimal"/>
      <w:lvlRestart w:val="0"/>
      <w:lvlText w:val="%1."/>
      <w:lvlJc w:val="left"/>
      <w:pPr>
        <w:ind w:left="120" w:hanging="252"/>
      </w:pPr>
      <w:rPr>
        <w:rFonts w:ascii="Microsoft JhengHei" w:hAnsi="Microsoft JhengHei" w:eastAsia="Microsoft JhengHei" w:cs="Microsoft JhengHei" w:hint="default"/>
        <w:b/>
        <w:bCs/>
        <w:i w:val="0"/>
        <w:iCs w:val="0"/>
        <w:spacing w:val="2"/>
        <w:w w:val="83"/>
        <w:sz w:val="30"/>
        <w:szCs w:val="30"/>
      </w:rPr>
    </w:lvl>
    <w:lvl w:ilvl="1">
      <w:start w:val="0"/>
      <w:numFmt w:val="bullet"/>
      <w:lvlText w:val="•"/>
      <w:lvlJc w:val="left"/>
      <w:pPr>
        <w:ind w:left="984" w:hanging="252"/>
      </w:pPr>
      <w:rPr>
        <w:rFonts w:hint="default"/>
      </w:rPr>
    </w:lvl>
    <w:lvl w:ilvl="2">
      <w:start w:val="0"/>
      <w:numFmt w:val="bullet"/>
      <w:lvlText w:val="•"/>
      <w:lvlJc w:val="left"/>
      <w:pPr>
        <w:ind w:left="1849" w:hanging="252"/>
      </w:pPr>
      <w:rPr>
        <w:rFonts w:hint="default"/>
      </w:rPr>
    </w:lvl>
    <w:lvl w:ilvl="3">
      <w:start w:val="0"/>
      <w:numFmt w:val="bullet"/>
      <w:lvlText w:val="•"/>
      <w:lvlJc w:val="left"/>
      <w:pPr>
        <w:ind w:left="2714" w:hanging="252"/>
      </w:pPr>
      <w:rPr>
        <w:rFonts w:hint="default"/>
      </w:rPr>
    </w:lvl>
    <w:lvl w:ilvl="4">
      <w:start w:val="0"/>
      <w:numFmt w:val="bullet"/>
      <w:lvlText w:val="•"/>
      <w:lvlJc w:val="left"/>
      <w:pPr>
        <w:ind w:left="3578" w:hanging="252"/>
      </w:pPr>
      <w:rPr>
        <w:rFonts w:hint="default"/>
      </w:rPr>
    </w:lvl>
    <w:lvl w:ilvl="5">
      <w:start w:val="0"/>
      <w:numFmt w:val="bullet"/>
      <w:lvlText w:val="•"/>
      <w:lvlJc w:val="left"/>
      <w:pPr>
        <w:ind w:left="4443" w:hanging="252"/>
      </w:pPr>
      <w:rPr>
        <w:rFonts w:hint="default"/>
      </w:rPr>
    </w:lvl>
    <w:lvl w:ilvl="6">
      <w:start w:val="0"/>
      <w:numFmt w:val="bullet"/>
      <w:lvlText w:val="•"/>
      <w:lvlJc w:val="left"/>
      <w:pPr>
        <w:ind w:left="5308" w:hanging="252"/>
      </w:pPr>
      <w:rPr>
        <w:rFonts w:hint="default"/>
      </w:rPr>
    </w:lvl>
    <w:lvl w:ilvl="7">
      <w:start w:val="0"/>
      <w:numFmt w:val="bullet"/>
      <w:lvlText w:val="•"/>
      <w:lvlJc w:val="left"/>
      <w:pPr>
        <w:ind w:left="6172" w:hanging="252"/>
      </w:pPr>
      <w:rPr>
        <w:rFonts w:hint="default"/>
      </w:rPr>
    </w:lvl>
    <w:lvl w:ilvl="8">
      <w:start w:val="0"/>
      <w:numFmt w:val="bullet"/>
      <w:lvlText w:val="•"/>
      <w:lvlJc w:val="left"/>
      <w:pPr>
        <w:ind w:left="7037" w:hanging="252"/>
      </w:pPr>
      <w:rPr>
        <w:rFonts w:hint="default"/>
      </w:rPr>
    </w:lvl>
  </w:abstractNum>
  <w:abstractNum w:abstractNumId="1">
    <w:nsid w:val="CF092B84"/>
    <w:multiLevelType w:val="multilevel"/>
    <w:tmpl w:val="CF092B84"/>
    <w:lvl w:ilvl="0">
      <w:start w:val="1"/>
      <w:numFmt w:val="decimal"/>
      <w:lvlRestart w:val="0"/>
      <w:lvlText w:val="%1."/>
      <w:lvlJc w:val="left"/>
      <w:pPr>
        <w:ind w:left="1032" w:hanging="272"/>
      </w:pPr>
      <w:rPr>
        <w:rFonts w:ascii="Microsoft JhengHei" w:hAnsi="Microsoft JhengHei" w:eastAsia="Microsoft JhengHei" w:cs="Microsoft JhengHei" w:hint="default"/>
        <w:b/>
        <w:bCs/>
        <w:i w:val="0"/>
        <w:iCs w:val="0"/>
        <w:spacing w:val="0"/>
        <w:w w:val="83"/>
        <w:sz w:val="32"/>
        <w:szCs w:val="32"/>
      </w:rPr>
    </w:lvl>
    <w:lvl w:ilvl="1">
      <w:start w:val="0"/>
      <w:numFmt w:val="bullet"/>
      <w:lvlText w:val="•"/>
      <w:lvlJc w:val="left"/>
      <w:pPr>
        <w:ind w:left="1812" w:hanging="272"/>
      </w:pPr>
      <w:rPr>
        <w:rFonts w:hint="default"/>
      </w:rPr>
    </w:lvl>
    <w:lvl w:ilvl="2">
      <w:start w:val="0"/>
      <w:numFmt w:val="bullet"/>
      <w:lvlText w:val="•"/>
      <w:lvlJc w:val="left"/>
      <w:pPr>
        <w:ind w:left="2585" w:hanging="272"/>
      </w:pPr>
      <w:rPr>
        <w:rFonts w:hint="default"/>
      </w:rPr>
    </w:lvl>
    <w:lvl w:ilvl="3">
      <w:start w:val="0"/>
      <w:numFmt w:val="bullet"/>
      <w:lvlText w:val="•"/>
      <w:lvlJc w:val="left"/>
      <w:pPr>
        <w:ind w:left="3358" w:hanging="272"/>
      </w:pPr>
      <w:rPr>
        <w:rFonts w:hint="default"/>
      </w:rPr>
    </w:lvl>
    <w:lvl w:ilvl="4">
      <w:start w:val="0"/>
      <w:numFmt w:val="bullet"/>
      <w:lvlText w:val="•"/>
      <w:lvlJc w:val="left"/>
      <w:pPr>
        <w:ind w:left="4130" w:hanging="272"/>
      </w:pPr>
      <w:rPr>
        <w:rFonts w:hint="default"/>
      </w:rPr>
    </w:lvl>
    <w:lvl w:ilvl="5">
      <w:start w:val="0"/>
      <w:numFmt w:val="bullet"/>
      <w:lvlText w:val="•"/>
      <w:lvlJc w:val="left"/>
      <w:pPr>
        <w:ind w:left="4903" w:hanging="272"/>
      </w:pPr>
      <w:rPr>
        <w:rFonts w:hint="default"/>
      </w:rPr>
    </w:lvl>
    <w:lvl w:ilvl="6">
      <w:start w:val="0"/>
      <w:numFmt w:val="bullet"/>
      <w:lvlText w:val="•"/>
      <w:lvlJc w:val="left"/>
      <w:pPr>
        <w:ind w:left="5676" w:hanging="272"/>
      </w:pPr>
      <w:rPr>
        <w:rFonts w:hint="default"/>
      </w:rPr>
    </w:lvl>
    <w:lvl w:ilvl="7">
      <w:start w:val="0"/>
      <w:numFmt w:val="bullet"/>
      <w:lvlText w:val="•"/>
      <w:lvlJc w:val="left"/>
      <w:pPr>
        <w:ind w:left="6448" w:hanging="272"/>
      </w:pPr>
      <w:rPr>
        <w:rFonts w:hint="default"/>
      </w:rPr>
    </w:lvl>
    <w:lvl w:ilvl="8">
      <w:start w:val="0"/>
      <w:numFmt w:val="bullet"/>
      <w:lvlText w:val="•"/>
      <w:lvlJc w:val="left"/>
      <w:pPr>
        <w:ind w:left="7221" w:hanging="272"/>
      </w:pPr>
      <w:rPr>
        <w:rFonts w:hint="default"/>
      </w:rPr>
    </w:lvl>
  </w:abstractNum>
  <w:abstractNum w:abstractNumId="2">
    <w:nsid w:val="59ADCABA"/>
    <w:multiLevelType w:val="multilevel"/>
    <w:tmpl w:val="59ADCABA"/>
    <w:lvl w:ilvl="0">
      <w:start w:val="1"/>
      <w:numFmt w:val="decimal"/>
      <w:lvlRestart w:val="0"/>
      <w:lvlText w:val="（%1）"/>
      <w:lvlJc w:val="left"/>
      <w:pPr>
        <w:ind w:left="120" w:hanging="819"/>
      </w:pPr>
      <w:rPr>
        <w:rFonts w:ascii="宋体" w:hAnsi="宋体" w:eastAsia="宋体" w:cs="宋体" w:hint="default"/>
        <w:b w:val="0"/>
        <w:bCs w:val="0"/>
        <w:i w:val="0"/>
        <w:iCs w:val="0"/>
        <w:spacing w:val="7"/>
        <w:w w:val="98"/>
        <w:sz w:val="30"/>
        <w:szCs w:val="30"/>
      </w:rPr>
    </w:lvl>
    <w:lvl w:ilvl="1">
      <w:start w:val="0"/>
      <w:numFmt w:val="bullet"/>
      <w:lvlText w:val="•"/>
      <w:lvlJc w:val="left"/>
      <w:pPr>
        <w:ind w:left="984" w:hanging="819"/>
      </w:pPr>
      <w:rPr>
        <w:rFonts w:hint="default"/>
      </w:rPr>
    </w:lvl>
    <w:lvl w:ilvl="2">
      <w:start w:val="0"/>
      <w:numFmt w:val="bullet"/>
      <w:lvlText w:val="•"/>
      <w:lvlJc w:val="left"/>
      <w:pPr>
        <w:ind w:left="1849" w:hanging="819"/>
      </w:pPr>
      <w:rPr>
        <w:rFonts w:hint="default"/>
      </w:rPr>
    </w:lvl>
    <w:lvl w:ilvl="3">
      <w:start w:val="0"/>
      <w:numFmt w:val="bullet"/>
      <w:lvlText w:val="•"/>
      <w:lvlJc w:val="left"/>
      <w:pPr>
        <w:ind w:left="2714" w:hanging="819"/>
      </w:pPr>
      <w:rPr>
        <w:rFonts w:hint="default"/>
      </w:rPr>
    </w:lvl>
    <w:lvl w:ilvl="4">
      <w:start w:val="0"/>
      <w:numFmt w:val="bullet"/>
      <w:lvlText w:val="•"/>
      <w:lvlJc w:val="left"/>
      <w:pPr>
        <w:ind w:left="3578" w:hanging="819"/>
      </w:pPr>
      <w:rPr>
        <w:rFonts w:hint="default"/>
      </w:rPr>
    </w:lvl>
    <w:lvl w:ilvl="5">
      <w:start w:val="0"/>
      <w:numFmt w:val="bullet"/>
      <w:lvlText w:val="•"/>
      <w:lvlJc w:val="left"/>
      <w:pPr>
        <w:ind w:left="4443" w:hanging="819"/>
      </w:pPr>
      <w:rPr>
        <w:rFonts w:hint="default"/>
      </w:rPr>
    </w:lvl>
    <w:lvl w:ilvl="6">
      <w:start w:val="0"/>
      <w:numFmt w:val="bullet"/>
      <w:lvlText w:val="•"/>
      <w:lvlJc w:val="left"/>
      <w:pPr>
        <w:ind w:left="5308" w:hanging="819"/>
      </w:pPr>
      <w:rPr>
        <w:rFonts w:hint="default"/>
      </w:rPr>
    </w:lvl>
    <w:lvl w:ilvl="7">
      <w:start w:val="0"/>
      <w:numFmt w:val="bullet"/>
      <w:lvlText w:val="•"/>
      <w:lvlJc w:val="left"/>
      <w:pPr>
        <w:ind w:left="6172" w:hanging="819"/>
      </w:pPr>
      <w:rPr>
        <w:rFonts w:hint="default"/>
      </w:rPr>
    </w:lvl>
    <w:lvl w:ilvl="8">
      <w:start w:val="0"/>
      <w:numFmt w:val="bullet"/>
      <w:lvlText w:val="•"/>
      <w:lvlJc w:val="left"/>
      <w:pPr>
        <w:ind w:left="7037" w:hanging="819"/>
      </w:pPr>
      <w:rPr>
        <w:rFonts w:hint="default"/>
      </w:rPr>
    </w:lvl>
  </w:abstractNum>
  <w:abstractNum w:abstractNumId="3">
    <w:nsid w:val="BF205925"/>
    <w:multiLevelType w:val="multilevel"/>
    <w:tmpl w:val="BF205925"/>
    <w:lvl w:ilvl="0">
      <w:start w:val="1"/>
      <w:numFmt w:val="decimal"/>
      <w:lvlRestart w:val="0"/>
      <w:lvlText w:val="%1."/>
      <w:lvlJc w:val="left"/>
      <w:pPr>
        <w:ind w:left="1001" w:hanging="241"/>
      </w:pPr>
      <w:rPr>
        <w:rFonts w:ascii="Microsoft JhengHei" w:hAnsi="Microsoft JhengHei" w:eastAsia="Microsoft JhengHei" w:cs="Microsoft JhengHei" w:hint="default"/>
        <w:b/>
        <w:bCs/>
        <w:i w:val="0"/>
        <w:iCs w:val="0"/>
        <w:spacing w:val="0"/>
        <w:w w:val="83"/>
        <w:sz w:val="30"/>
        <w:szCs w:val="30"/>
      </w:rPr>
    </w:lvl>
    <w:lvl w:ilvl="1">
      <w:start w:val="0"/>
      <w:numFmt w:val="bullet"/>
      <w:lvlText w:val="•"/>
      <w:lvlJc w:val="left"/>
      <w:pPr>
        <w:ind w:left="1776" w:hanging="241"/>
      </w:pPr>
      <w:rPr>
        <w:rFonts w:hint="default"/>
      </w:rPr>
    </w:lvl>
    <w:lvl w:ilvl="2">
      <w:start w:val="0"/>
      <w:numFmt w:val="bullet"/>
      <w:lvlText w:val="•"/>
      <w:lvlJc w:val="left"/>
      <w:pPr>
        <w:ind w:left="2553" w:hanging="241"/>
      </w:pPr>
      <w:rPr>
        <w:rFonts w:hint="default"/>
      </w:rPr>
    </w:lvl>
    <w:lvl w:ilvl="3">
      <w:start w:val="0"/>
      <w:numFmt w:val="bullet"/>
      <w:lvlText w:val="•"/>
      <w:lvlJc w:val="left"/>
      <w:pPr>
        <w:ind w:left="3330" w:hanging="241"/>
      </w:pPr>
      <w:rPr>
        <w:rFonts w:hint="default"/>
      </w:rPr>
    </w:lvl>
    <w:lvl w:ilvl="4">
      <w:start w:val="0"/>
      <w:numFmt w:val="bullet"/>
      <w:lvlText w:val="•"/>
      <w:lvlJc w:val="left"/>
      <w:pPr>
        <w:ind w:left="4106" w:hanging="241"/>
      </w:pPr>
      <w:rPr>
        <w:rFonts w:hint="default"/>
      </w:rPr>
    </w:lvl>
    <w:lvl w:ilvl="5">
      <w:start w:val="0"/>
      <w:numFmt w:val="bullet"/>
      <w:lvlText w:val="•"/>
      <w:lvlJc w:val="left"/>
      <w:pPr>
        <w:ind w:left="4883" w:hanging="241"/>
      </w:pPr>
      <w:rPr>
        <w:rFonts w:hint="default"/>
      </w:rPr>
    </w:lvl>
    <w:lvl w:ilvl="6">
      <w:start w:val="0"/>
      <w:numFmt w:val="bullet"/>
      <w:lvlText w:val="•"/>
      <w:lvlJc w:val="left"/>
      <w:pPr>
        <w:ind w:left="5660" w:hanging="241"/>
      </w:pPr>
      <w:rPr>
        <w:rFonts w:hint="default"/>
      </w:rPr>
    </w:lvl>
    <w:lvl w:ilvl="7">
      <w:start w:val="0"/>
      <w:numFmt w:val="bullet"/>
      <w:lvlText w:val="•"/>
      <w:lvlJc w:val="left"/>
      <w:pPr>
        <w:ind w:left="6436" w:hanging="241"/>
      </w:pPr>
      <w:rPr>
        <w:rFonts w:hint="default"/>
      </w:rPr>
    </w:lvl>
    <w:lvl w:ilvl="8">
      <w:start w:val="0"/>
      <w:numFmt w:val="bullet"/>
      <w:lvlText w:val="•"/>
      <w:lvlJc w:val="left"/>
      <w:pPr>
        <w:ind w:left="7213" w:hanging="241"/>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60"/>
  <w:bordersDoNotSurroundHeader/>
  <w:bordersDoNotSurroundFooter/>
  <w:defaultTabStop w:val="720"/>
  <w:drawingGridHorizontalSpacing w:val="110"/>
  <w:drawingGridVerticalSpacing w:val="156"/>
  <w:displayHorizontalDrawingGridEvery w:val="2"/>
  <w:displayVerticalDrawingGridEvery w:val="1"/>
  <w:compat>
    <w:ulTrailSpace/>
    <w:shapeLayoutLikeWW8/>
    <w:compatSetting w:name="compatibilityMode" w:uri="http://schemas.microsoft.com/office/word" w:val="14"/>
  </w:compat>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Lucida Sans"/>
        <w:lang w:val="en-US" w:eastAsia="zh-CN" w:bidi="ar-SA"/>
      </w:rPr>
    </w:rPrDefault>
    <w:pPrDefault/>
  </w:docDefaults>
  <w:style w:type="paragraph" w:default="1" w:styleId="0">
    <w:name w:val="Normal"/>
    <w:qFormat/>
    <w:pPr>
      <w:widowControl w:val="0"/>
      <w:autoSpaceDE w:val="0"/>
      <w:autoSpaceDN w:val="0"/>
      <w:spacing w:before="0" w:after="0" w:line="240" w:lineRule="auto"/>
      <w:ind w:left="0" w:right="0"/>
      <w:jc w:val="left"/>
    </w:pPr>
    <w:rPr>
      <w:rFonts w:ascii="宋体" w:eastAsia="宋体" w:cs="宋体" w:hAnsi="宋体"/>
      <w:sz w:val="22"/>
      <w:szCs w:val="22"/>
      <w:lang w:val="en-US" w:eastAsia="zh-CN" w:bidi="ar-SA"/>
    </w:rPr>
  </w:style>
  <w:style w:type="paragraph" w:styleId="1">
    <w:name w:val="heading 1"/>
    <w:qFormat/>
    <w:basedOn w:val="0"/>
    <w:next w:val="0"/>
    <w:link w:val="1Char"/>
    <w:pPr>
      <w:ind w:left="998" w:hanging="238"/>
      <w:outlineLvl w:val="1"/>
    </w:pPr>
    <w:rPr>
      <w:rFonts w:ascii="Microsoft JhengHei" w:eastAsia="Microsoft JhengHei" w:cs="Microsoft JhengHei" w:hAnsi="Microsoft JhengHei"/>
      <w:b/>
      <w:bCs/>
      <w:sz w:val="32"/>
      <w:szCs w:val="32"/>
      <w:lang w:val="en-US" w:eastAsia="zh-CN" w:bidi="ar-SA"/>
    </w:rPr>
  </w:style>
  <w:style w:type="character" w:customStyle="1" w:styleId="1Char">
    <w:name w:val="heading 1 Char"/>
    <w:basedOn w:val="10"/>
    <w:link w:val="1"/>
    <w:rPr>
      <w:rFonts w:ascii="Microsoft JhengHei" w:eastAsia="Microsoft JhengHei" w:cs="Microsoft JhengHei" w:hAnsi="Microsoft JhengHei"/>
      <w:b/>
      <w:bCs/>
      <w:sz w:val="32"/>
      <w:szCs w:val="32"/>
      <w:lang w:val="en-US" w:eastAsia="zh-CN" w:bidi="ar-SA"/>
    </w:rPr>
  </w:style>
  <w:style w:type="paragraph" w:styleId="2">
    <w:name w:val="heading 2"/>
    <w:qFormat/>
    <w:basedOn w:val="0"/>
    <w:next w:val="0"/>
    <w:link w:val="2Char"/>
    <w:pPr>
      <w:keepNext/>
      <w:keepLines/>
      <w:spacing w:before="260" w:after="260" w:line="415" w:lineRule="auto"/>
      <w:outlineLvl w:val="1"/>
    </w:pPr>
    <w:rPr>
      <w:rFonts w:ascii="Times New Roman" w:eastAsia="黑体" w:hAnsi="Times New Roman"/>
      <w:b/>
      <w:bCs/>
      <w:sz w:val="32"/>
      <w:szCs w:val="32"/>
    </w:rPr>
  </w:style>
  <w:style w:type="character" w:customStyle="1" w:styleId="2Char">
    <w:name w:val="heading 2 Char"/>
    <w:basedOn w:val="10"/>
    <w:link w:val="2"/>
    <w:rPr>
      <w:rFonts w:ascii="Times New Roman" w:eastAsia="黑体" w:cs="宋体" w:hAnsi="宋体"/>
      <w:b/>
      <w:bCs/>
      <w:sz w:val="32"/>
      <w:szCs w:val="32"/>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宋体" w:eastAsia="宋体" w:cs="宋体" w:hAnsi="宋体"/>
      <w:b/>
      <w:bCs/>
      <w:sz w:val="32"/>
      <w:szCs w:val="32"/>
      <w:lang w:val="en-US" w:eastAsia="zh-CN" w:bidi="ar-SA"/>
    </w:rPr>
  </w:style>
  <w:style w:type="character" w:default="1" w:styleId="10">
    <w:name w:val="Default Paragraph Font"/>
    <w:qFormat/>
  </w:style>
  <w:style w:type="paragraph" w:styleId="15">
    <w:name w:val="Body Text"/>
    <w:qFormat/>
    <w:basedOn w:val="0"/>
    <w:pPr>
      <w:ind w:left="120"/>
    </w:pPr>
    <w:rPr>
      <w:rFonts w:ascii="宋体" w:eastAsia="宋体" w:cs="宋体" w:hAnsi="宋体"/>
      <w:sz w:val="32"/>
      <w:szCs w:val="32"/>
      <w:lang w:val="en-US" w:eastAsia="zh-CN" w:bidi="ar-SA"/>
    </w:rPr>
  </w:style>
  <w:style w:type="paragraph" w:styleId="16">
    <w:name w:val="Title"/>
    <w:qFormat/>
    <w:basedOn w:val="0"/>
    <w:pPr>
      <w:spacing w:before="14"/>
      <w:ind w:left="1576" w:right="1798" w:firstLine="276"/>
    </w:pPr>
    <w:rPr>
      <w:rFonts w:ascii="宋体" w:eastAsia="宋体" w:cs="宋体" w:hAnsi="宋体"/>
      <w:sz w:val="44"/>
      <w:szCs w:val="44"/>
      <w:lang w:val="en-US" w:eastAsia="zh-CN" w:bidi="ar-SA"/>
    </w:rPr>
  </w:style>
  <w:style w:type="paragraph" w:styleId="17">
    <w:name w:val="List Paragraph"/>
    <w:qFormat/>
    <w:basedOn w:val="0"/>
    <w:pPr>
      <w:ind w:left="120" w:firstLine="640"/>
      <w:jc w:val="both"/>
    </w:pPr>
    <w:rPr>
      <w:rFonts w:ascii="宋体" w:eastAsia="宋体" w:cs="宋体" w:hAnsi="宋体"/>
      <w:lang w:val="en-US" w:eastAsia="zh-CN" w:bidi="ar-SA"/>
    </w:rPr>
  </w:style>
  <w:style w:type="paragraph" w:customStyle="1" w:styleId="18">
    <w:name w:val="Table Paragraph"/>
    <w:qFormat/>
    <w:basedOn w:val="0"/>
    <w:rPr>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image" Target="media/1.jpeg"/><Relationship Id="rId3" Type="http://schemas.openxmlformats.org/officeDocument/2006/relationships/image" Target="media/3.jpeg"/><Relationship Id="rId4" Type="http://schemas.openxmlformats.org/officeDocument/2006/relationships/image" Target="media/5.jpeg"/><Relationship Id="rId5" Type="http://schemas.openxmlformats.org/officeDocument/2006/relationships/image" Target="media/7.jpeg"/><Relationship Id="rId6" Type="http://schemas.openxmlformats.org/officeDocument/2006/relationships/image" Target="media/7.jpeg"/><Relationship Id="rId7" Type="http://schemas.openxmlformats.org/officeDocument/2006/relationships/image" Target="media/10.jpeg"/><Relationship Id="rId8" Type="http://schemas.openxmlformats.org/officeDocument/2006/relationships/image" Target="media/12.jpeg"/><Relationship Id="rId9" Type="http://schemas.openxmlformats.org/officeDocument/2006/relationships/image" Target="media/14.jpeg"/><Relationship Id="rId10" Type="http://schemas.openxmlformats.org/officeDocument/2006/relationships/image" Target="media/16.png"/><Relationship Id="rId11" Type="http://schemas.openxmlformats.org/officeDocument/2006/relationships/image" Target="media/18.png"/><Relationship Id="rId12" Type="http://schemas.openxmlformats.org/officeDocument/2006/relationships/image" Target="media/21.jpeg"/><Relationship Id="rId13" Type="http://schemas.openxmlformats.org/officeDocument/2006/relationships/image" Target="media/21.jpeg"/><Relationship Id="rId14" Type="http://schemas.openxmlformats.org/officeDocument/2006/relationships/image" Target="media/27.jpeg"/><Relationship Id="rId15" Type="http://schemas.openxmlformats.org/officeDocument/2006/relationships/image" Target="media/29.jpeg"/><Relationship Id="rId16" Type="http://schemas.openxmlformats.org/officeDocument/2006/relationships/image" Target="media/31.jpeg"/><Relationship Id="rId17" Type="http://schemas.openxmlformats.org/officeDocument/2006/relationships/image" Target="media/33.jpeg"/><Relationship Id="rId18" Type="http://schemas.openxmlformats.org/officeDocument/2006/relationships/styles" Target="styl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customXml" Target="../customXml/item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Theme">
      <a:majorFont>
        <a:latin typeface=""/>
        <a:ea typeface=""/>
        <a:cs typeface=""/>
      </a:majorFont>
      <a:minorFont>
        <a:latin typeface=""/>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mpd="sng" cap="flat">
          <a:solidFill>
            <a:schemeClr val="phClr">
              <a:shade val="95000"/>
              <a:satMod val="105000"/>
            </a:schemeClr>
          </a:solidFill>
          <a:prstDash val="solid"/>
          <a:round/>
        </a:ln>
        <a:ln w="25400" cmpd="sng" cap="flat">
          <a:solidFill>
            <a:schemeClr val="phClr"/>
          </a:solidFill>
          <a:prstDash val="solid"/>
          <a:round/>
        </a:ln>
        <a:ln w="38100" cmpd="sng" cap="flat">
          <a:solidFill>
            <a:schemeClr val="phClr"/>
          </a:solidFill>
          <a:prstDash val="solid"/>
          <a:round/>
        </a:ln>
      </a:lnStyleLst>
      <a:effectStyleLst>
        <a:effectStyle>
          <a:effectLst>
            <a:outerShdw sx="100000" sy="100000" algn="b" rotWithShape="0" blurRad="40000" dist="20000" dir="5400000">
              <a:srgbClr val="000000">
                <a:alpha val="37647"/>
              </a:srgbClr>
            </a:outerShdw>
          </a:effectLst>
        </a:effectStyle>
        <a:effectStyle>
          <a:effectLst>
            <a:outerShdw sx="100000" sy="100000" algn="b" rotWithShape="0" blurRad="40000" dist="23000" dir="5400000">
              <a:srgbClr val="000000">
                <a:alpha val="34509"/>
              </a:srgbClr>
            </a:outerShdw>
          </a:effectLst>
        </a:effectStyle>
        <a:effectStyle>
          <a:effectLst>
            <a:outerShdw sx="100000" sy="100000" algn="b" rotWithShape="0" blurRad="40000" dist="23000" dir="540000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sectPr/>
    <sectPr/>
    <sectPr/>
    <sectPr/>
    <sectPr/>
    <sectPr/>
    <sectPr/>
    <sectPr/>
    <sectPr/>
    <sectPr/>
    <sectPr/>
    <sectPr/>
    <sectPr/>
    <sectPr/>
    <sectPr/>
    <sectPr/>
    <sectPr/>
    <sectPr/>
    <sectPr/>
    <sectPr/>
    <sectPr/>
    <sectPr/>
  </customProps>
</customData>
</file>

<file path=customXml/itemProps1.xml><?xml version="1.0" encoding="utf-8"?>
<ds:datastoreItem xmlns:ds="http://schemas.openxmlformats.org/officeDocument/2006/customXml" ds:itemID="{46FFCA55-75DA-42B4-8A11-757600A052DF}">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64</TotalTime>
  <Application>WPS_Yozo_Office9.0.5181.102ZH</Application>
  <Pages>28</Pages>
  <Words>0</Words>
  <Characters>5211</Characters>
  <Lines>0</Lines>
  <Paragraphs>187</Paragraphs>
  <CharactersWithSpaces>6948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title>公开报告模板</dc:title>
  <dc:creator>Administrator</dc:creator>
  <cp:lastModifiedBy>430-3</cp:lastModifiedBy>
  <cp:revision>0</cp:revision>
  <dcterms:created xsi:type="dcterms:W3CDTF">2024-09-19T23:21:00Z</dcterms:created>
  <dcterms:modified xsi:type="dcterms:W3CDTF">2025-02-12T08:15:10Z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Created">
    <vt:filetime>2021-10-19T16:00:00Z</vt:filetime>
  </property>
  <property fmtid="{D5CDD505-2E9C-101B-9397-08002B2CF9AE}" pid="3" name="Creator">
    <vt:lpwstr>WPS 文字</vt:lpwstr>
  </property>
  <property fmtid="{D5CDD505-2E9C-101B-9397-08002B2CF9AE}" pid="4" name="LastSaved">
    <vt:filetime>2024-09-18T16:00:00Z</vt:filetime>
  </property>
  <property fmtid="{D5CDD505-2E9C-101B-9397-08002B2CF9AE}" pid="5" name="SourceModified">
    <vt:lpwstr>D:20211020152002+07'20'</vt:lpwstr>
  </property>
  <property fmtid="{D5CDD505-2E9C-101B-9397-08002B2CF9AE}" pid="6" name="KSOProductBuildVer">
    <vt:lpwstr>2052-12.8.2.1112</vt:lpwstr>
  </property>
  <property fmtid="{D5CDD505-2E9C-101B-9397-08002B2CF9AE}" pid="7" name="ICV">
    <vt:lpwstr>47EB933C91161720D34CAC67566FEA75_43</vt:lpwstr>
  </property>
</Properties>
</file>