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方正小标宋_GBK"/>
          <w:b w:val="0"/>
          <w:bCs w:val="0"/>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方正小标宋_GBK"/>
          <w:b w:val="0"/>
          <w:bCs w:val="0"/>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方正小标宋_GBK"/>
          <w:b w:val="0"/>
          <w:bCs w:val="0"/>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方正小标宋_GBK"/>
          <w:b w:val="0"/>
          <w:bCs w:val="0"/>
          <w:color w:val="auto"/>
          <w:sz w:val="44"/>
          <w:szCs w:val="44"/>
          <w:highlight w:val="none"/>
          <w:lang w:val="en-US" w:eastAsia="zh-CN"/>
        </w:rPr>
      </w:pPr>
      <w:bookmarkStart w:id="74" w:name="_GoBack"/>
      <w:r>
        <w:rPr>
          <w:rFonts w:hint="eastAsia" w:eastAsia="方正小标宋_GBK"/>
          <w:b w:val="0"/>
          <w:bCs w:val="0"/>
          <w:color w:val="auto"/>
          <w:sz w:val="44"/>
          <w:szCs w:val="44"/>
          <w:highlight w:val="none"/>
          <w:lang w:val="en-US" w:eastAsia="zh-CN"/>
        </w:rPr>
        <w:t>垫江县</w:t>
      </w:r>
      <w:r>
        <w:rPr>
          <w:rFonts w:hint="eastAsia" w:ascii="Times New Roman" w:hAnsi="Times New Roman" w:eastAsia="方正小标宋_GBK"/>
          <w:b w:val="0"/>
          <w:bCs w:val="0"/>
          <w:color w:val="auto"/>
          <w:sz w:val="44"/>
          <w:szCs w:val="44"/>
          <w:highlight w:val="none"/>
          <w:lang w:val="en-US" w:eastAsia="zh-CN"/>
        </w:rPr>
        <w:t>建筑垃圾污染</w:t>
      </w:r>
      <w:r>
        <w:rPr>
          <w:rFonts w:hint="eastAsia" w:eastAsia="方正小标宋_GBK"/>
          <w:b w:val="0"/>
          <w:bCs w:val="0"/>
          <w:color w:val="auto"/>
          <w:sz w:val="44"/>
          <w:szCs w:val="44"/>
          <w:highlight w:val="none"/>
          <w:lang w:val="en-US" w:eastAsia="zh-CN"/>
        </w:rPr>
        <w:t>环境</w:t>
      </w:r>
      <w:r>
        <w:rPr>
          <w:rFonts w:hint="eastAsia" w:ascii="Times New Roman" w:hAnsi="Times New Roman" w:eastAsia="方正小标宋_GBK"/>
          <w:b w:val="0"/>
          <w:bCs w:val="0"/>
          <w:color w:val="auto"/>
          <w:sz w:val="44"/>
          <w:szCs w:val="44"/>
          <w:highlight w:val="none"/>
          <w:lang w:val="en-US" w:eastAsia="zh-CN"/>
        </w:rPr>
        <w:t>防治工作规划（202</w:t>
      </w:r>
      <w:r>
        <w:rPr>
          <w:rFonts w:hint="eastAsia" w:eastAsia="方正小标宋_GBK"/>
          <w:b w:val="0"/>
          <w:bCs w:val="0"/>
          <w:color w:val="auto"/>
          <w:sz w:val="44"/>
          <w:szCs w:val="44"/>
          <w:highlight w:val="none"/>
          <w:lang w:val="en-US" w:eastAsia="zh-CN"/>
        </w:rPr>
        <w:t>4—</w:t>
      </w:r>
      <w:r>
        <w:rPr>
          <w:rFonts w:hint="eastAsia" w:ascii="Times New Roman" w:hAnsi="Times New Roman" w:eastAsia="方正小标宋_GBK"/>
          <w:b w:val="0"/>
          <w:bCs w:val="0"/>
          <w:color w:val="auto"/>
          <w:sz w:val="44"/>
          <w:szCs w:val="44"/>
          <w:highlight w:val="none"/>
          <w:lang w:val="en-US" w:eastAsia="zh-CN"/>
        </w:rPr>
        <w:t>20</w:t>
      </w:r>
      <w:r>
        <w:rPr>
          <w:rFonts w:hint="eastAsia" w:eastAsia="方正小标宋_GBK"/>
          <w:b w:val="0"/>
          <w:bCs w:val="0"/>
          <w:color w:val="auto"/>
          <w:sz w:val="44"/>
          <w:szCs w:val="44"/>
          <w:highlight w:val="none"/>
          <w:lang w:val="en-US" w:eastAsia="zh-CN"/>
        </w:rPr>
        <w:t>35</w:t>
      </w:r>
      <w:r>
        <w:rPr>
          <w:rFonts w:hint="eastAsia" w:ascii="Times New Roman" w:hAnsi="Times New Roman" w:eastAsia="方正小标宋_GBK"/>
          <w:b w:val="0"/>
          <w:bCs w:val="0"/>
          <w:color w:val="auto"/>
          <w:sz w:val="44"/>
          <w:szCs w:val="44"/>
          <w:highlight w:val="none"/>
          <w:lang w:val="en-US" w:eastAsia="zh-CN"/>
        </w:rPr>
        <w:t>年）</w:t>
      </w:r>
    </w:p>
    <w:bookmarkEnd w:id="74"/>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ind w:left="0" w:leftChars="0" w:firstLine="0" w:firstLineChars="0"/>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方正黑体_GBK"/>
          <w:color w:val="auto"/>
          <w:sz w:val="32"/>
          <w:szCs w:val="48"/>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方正黑体_GBK"/>
          <w:color w:val="auto"/>
          <w:sz w:val="32"/>
          <w:szCs w:val="48"/>
          <w:highlight w:val="none"/>
        </w:rPr>
      </w:pPr>
      <w:r>
        <w:rPr>
          <w:rFonts w:hint="eastAsia" w:ascii="Times New Roman" w:hAnsi="Times New Roman" w:eastAsia="方正黑体_GBK"/>
          <w:color w:val="auto"/>
          <w:sz w:val="32"/>
          <w:szCs w:val="48"/>
          <w:highlight w:val="none"/>
        </w:rPr>
        <w:t>20</w:t>
      </w:r>
      <w:r>
        <w:rPr>
          <w:rFonts w:hint="eastAsia" w:ascii="Times New Roman" w:hAnsi="Times New Roman" w:eastAsia="方正黑体_GBK"/>
          <w:color w:val="auto"/>
          <w:sz w:val="32"/>
          <w:szCs w:val="48"/>
          <w:highlight w:val="none"/>
          <w:lang w:val="en-US" w:eastAsia="zh-CN"/>
        </w:rPr>
        <w:t>24</w:t>
      </w:r>
      <w:r>
        <w:rPr>
          <w:rFonts w:hint="eastAsia" w:ascii="Times New Roman" w:hAnsi="Times New Roman" w:eastAsia="方正黑体_GBK"/>
          <w:color w:val="auto"/>
          <w:sz w:val="32"/>
          <w:szCs w:val="48"/>
          <w:highlight w:val="none"/>
        </w:rPr>
        <w:t>年</w:t>
      </w:r>
      <w:r>
        <w:rPr>
          <w:rFonts w:hint="eastAsia" w:eastAsia="方正黑体_GBK"/>
          <w:color w:val="auto"/>
          <w:sz w:val="32"/>
          <w:szCs w:val="48"/>
          <w:highlight w:val="none"/>
          <w:lang w:val="en-US" w:eastAsia="zh-CN"/>
        </w:rPr>
        <w:t>5</w:t>
      </w:r>
      <w:r>
        <w:rPr>
          <w:rFonts w:hint="eastAsia" w:ascii="Times New Roman" w:hAnsi="Times New Roman" w:eastAsia="方正黑体_GBK"/>
          <w:color w:val="auto"/>
          <w:sz w:val="32"/>
          <w:szCs w:val="48"/>
          <w:highlight w:val="none"/>
        </w:rPr>
        <w:t>月</w:t>
      </w: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p>
      <w:pPr>
        <w:pStyle w:val="8"/>
        <w:tabs>
          <w:tab w:val="right" w:leader="dot" w:pos="8306"/>
        </w:tabs>
        <w:rPr>
          <w:rFonts w:hint="eastAsia" w:ascii="Times New Roman" w:hAnsi="Times New Roman" w:eastAsia="方正黑体_GBK" w:cs="Times New Roman"/>
          <w:bCs w:val="0"/>
          <w:snapToGrid/>
          <w:kern w:val="2"/>
          <w:sz w:val="32"/>
          <w:szCs w:val="32"/>
          <w:highlight w:val="none"/>
          <w:lang w:val="en-US" w:eastAsia="zh-CN"/>
        </w:rPr>
      </w:pPr>
    </w:p>
    <w:sdt>
      <w:sdtPr>
        <w:rPr>
          <w:rFonts w:hint="eastAsia" w:ascii="方正黑体_GBK" w:hAnsi="方正黑体_GBK" w:eastAsia="方正黑体_GBK" w:cs="方正黑体_GBK"/>
          <w:kern w:val="2"/>
          <w:sz w:val="32"/>
          <w:szCs w:val="32"/>
          <w:highlight w:val="none"/>
          <w:lang w:val="en-US" w:eastAsia="zh-CN" w:bidi="ar-SA"/>
        </w:rPr>
        <w:id w:val="147469816"/>
        <w15:color w:val="DBDBDB"/>
        <w:docPartObj>
          <w:docPartGallery w:val="Table of Contents"/>
          <w:docPartUnique/>
        </w:docPartObj>
      </w:sdtPr>
      <w:sdtEndPr>
        <w:rPr>
          <w:rFonts w:hint="eastAsia" w:ascii="方正仿宋_GB2312" w:hAnsi="方正仿宋_GB2312" w:eastAsia="方正仿宋_GB2312" w:cs="方正仿宋_GB2312"/>
          <w:b w:val="0"/>
          <w:bCs/>
          <w:color w:val="auto"/>
          <w:kern w:val="2"/>
          <w:sz w:val="32"/>
          <w:szCs w:val="32"/>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rPr>
              <w:rFonts w:hint="default" w:ascii="Times New Roman" w:hAnsi="Times New Roman" w:eastAsia="方正黑体_GBK" w:cs="Times New Roman"/>
              <w:b w:val="0"/>
              <w:bCs/>
              <w:color w:val="auto"/>
              <w:kern w:val="0"/>
              <w:sz w:val="32"/>
              <w:szCs w:val="32"/>
              <w:highlight w:val="none"/>
            </w:rPr>
          </w:pPr>
          <w:r>
            <w:rPr>
              <w:rFonts w:hint="default" w:ascii="Times New Roman" w:hAnsi="Times New Roman" w:eastAsia="方正黑体_GBK" w:cs="Times New Roman"/>
              <w:b w:val="0"/>
              <w:bCs/>
              <w:color w:val="auto"/>
              <w:kern w:val="0"/>
              <w:sz w:val="32"/>
              <w:szCs w:val="32"/>
              <w:highlight w:val="none"/>
            </w:rPr>
            <w:t>目</w:t>
          </w:r>
          <w:r>
            <w:rPr>
              <w:rFonts w:hint="default" w:ascii="Times New Roman" w:hAnsi="Times New Roman" w:eastAsia="方正黑体_GBK" w:cs="Times New Roman"/>
              <w:b w:val="0"/>
              <w:bCs/>
              <w:color w:val="auto"/>
              <w:kern w:val="0"/>
              <w:sz w:val="32"/>
              <w:szCs w:val="32"/>
              <w:highlight w:val="none"/>
              <w:lang w:val="en-US" w:eastAsia="zh-CN"/>
            </w:rPr>
            <w:t xml:space="preserve"> </w:t>
          </w:r>
          <w:r>
            <w:rPr>
              <w:rFonts w:hint="default" w:ascii="Times New Roman" w:hAnsi="Times New Roman" w:eastAsia="方正黑体_GBK" w:cs="Times New Roman"/>
              <w:b w:val="0"/>
              <w:bCs/>
              <w:color w:val="auto"/>
              <w:kern w:val="0"/>
              <w:sz w:val="32"/>
              <w:szCs w:val="32"/>
              <w:highlight w:val="none"/>
            </w:rPr>
            <w:t>录</w:t>
          </w:r>
        </w:p>
        <w:p>
          <w:pPr>
            <w:pStyle w:val="8"/>
            <w:tabs>
              <w:tab w:val="right" w:leader="dot" w:pos="8306"/>
            </w:tabs>
            <w:rPr>
              <w:rFonts w:hint="default" w:ascii="Times New Roman" w:hAnsi="Times New Roman" w:eastAsia="方正楷体_GBK" w:cs="Times New Roman"/>
            </w:rPr>
          </w:pPr>
          <w:r>
            <w:rPr>
              <w:rFonts w:hint="eastAsia" w:ascii="方正楷体_GBK" w:hAnsi="方正楷体_GBK" w:eastAsia="方正楷体_GBK" w:cs="方正楷体_GBK"/>
              <w:b w:val="0"/>
              <w:bCs/>
              <w:color w:val="auto"/>
              <w:sz w:val="32"/>
              <w:szCs w:val="32"/>
              <w:highlight w:val="none"/>
            </w:rPr>
            <w:fldChar w:fldCharType="begin"/>
          </w:r>
          <w:r>
            <w:rPr>
              <w:rFonts w:hint="eastAsia" w:ascii="方正楷体_GBK" w:hAnsi="方正楷体_GBK" w:eastAsia="方正楷体_GBK" w:cs="方正楷体_GBK"/>
              <w:b w:val="0"/>
              <w:bCs/>
              <w:color w:val="auto"/>
              <w:sz w:val="32"/>
              <w:szCs w:val="32"/>
              <w:highlight w:val="none"/>
            </w:rPr>
            <w:instrText xml:space="preserve">TOC \o "1-2" \h \u </w:instrText>
          </w:r>
          <w:r>
            <w:rPr>
              <w:rFonts w:hint="eastAsia" w:ascii="方正楷体_GBK" w:hAnsi="方正楷体_GBK" w:eastAsia="方正楷体_GBK" w:cs="方正楷体_GBK"/>
              <w:b w:val="0"/>
              <w:bCs/>
              <w:color w:val="auto"/>
              <w:sz w:val="32"/>
              <w:szCs w:val="32"/>
              <w:highlight w:val="none"/>
            </w:rPr>
            <w:fldChar w:fldCharType="separate"/>
          </w:r>
          <w:r>
            <w:rPr>
              <w:rFonts w:hint="default" w:ascii="Times New Roman" w:hAnsi="Times New Roman" w:eastAsia="方正黑体_GBK" w:cs="Times New Roman"/>
              <w:bCs/>
              <w:color w:val="auto"/>
              <w:szCs w:val="32"/>
              <w:highlight w:val="none"/>
            </w:rPr>
            <w:fldChar w:fldCharType="begin"/>
          </w:r>
          <w:r>
            <w:rPr>
              <w:rFonts w:hint="default" w:ascii="Times New Roman" w:hAnsi="Times New Roman" w:eastAsia="方正黑体_GBK" w:cs="Times New Roman"/>
              <w:bCs/>
              <w:szCs w:val="32"/>
              <w:highlight w:val="none"/>
            </w:rPr>
            <w:instrText xml:space="preserve"> HYPERLINK \l _Toc10004 </w:instrText>
          </w:r>
          <w:r>
            <w:rPr>
              <w:rFonts w:hint="default" w:ascii="Times New Roman" w:hAnsi="Times New Roman" w:eastAsia="方正黑体_GBK" w:cs="Times New Roman"/>
              <w:bCs/>
              <w:szCs w:val="32"/>
              <w:highlight w:val="none"/>
            </w:rPr>
            <w:fldChar w:fldCharType="separate"/>
          </w:r>
          <w:r>
            <w:rPr>
              <w:rFonts w:hint="default" w:ascii="Times New Roman" w:hAnsi="Times New Roman" w:eastAsia="方正黑体_GBK" w:cs="Times New Roman"/>
              <w:szCs w:val="21"/>
              <w:highlight w:val="none"/>
              <w:lang w:val="en-US" w:eastAsia="zh-CN"/>
            </w:rPr>
            <w:t>第</w:t>
          </w:r>
          <w:r>
            <w:rPr>
              <w:rFonts w:hint="default" w:ascii="Times New Roman" w:hAnsi="Times New Roman" w:eastAsia="方正黑体_GBK" w:cs="Times New Roman"/>
              <w:szCs w:val="21"/>
              <w:highlight w:val="none"/>
            </w:rPr>
            <w:t>一</w:t>
          </w:r>
          <w:r>
            <w:rPr>
              <w:rFonts w:hint="default" w:ascii="Times New Roman" w:hAnsi="Times New Roman" w:eastAsia="方正黑体_GBK" w:cs="Times New Roman"/>
              <w:szCs w:val="21"/>
              <w:highlight w:val="none"/>
              <w:lang w:val="en-US" w:eastAsia="zh-CN"/>
            </w:rPr>
            <w:t>章 总则</w:t>
          </w:r>
          <w:r>
            <w:rPr>
              <w:rFonts w:hint="default" w:ascii="Times New Roman" w:hAnsi="Times New Roman" w:eastAsia="方正黑体_GBK" w:cs="Times New Roman"/>
            </w:rPr>
            <w:tab/>
          </w:r>
          <w:r>
            <w:rPr>
              <w:rFonts w:hint="default" w:ascii="Times New Roman" w:hAnsi="Times New Roman" w:eastAsia="方正黑体_GBK" w:cs="Times New Roman"/>
            </w:rPr>
            <w:fldChar w:fldCharType="begin"/>
          </w:r>
          <w:r>
            <w:rPr>
              <w:rFonts w:hint="default" w:ascii="Times New Roman" w:hAnsi="Times New Roman" w:eastAsia="方正黑体_GBK" w:cs="Times New Roman"/>
            </w:rPr>
            <w:instrText xml:space="preserve"> PAGEREF _Toc10004 \h </w:instrText>
          </w:r>
          <w:r>
            <w:rPr>
              <w:rFonts w:hint="default" w:ascii="Times New Roman" w:hAnsi="Times New Roman" w:eastAsia="方正黑体_GBK" w:cs="Times New Roman"/>
            </w:rPr>
            <w:fldChar w:fldCharType="separate"/>
          </w:r>
          <w:r>
            <w:rPr>
              <w:rFonts w:hint="default" w:ascii="Times New Roman" w:hAnsi="Times New Roman" w:eastAsia="方正黑体_GBK" w:cs="Times New Roman"/>
            </w:rPr>
            <w:t>4</w:t>
          </w:r>
          <w:r>
            <w:rPr>
              <w:rFonts w:hint="default" w:ascii="Times New Roman" w:hAnsi="Times New Roman" w:eastAsia="方正黑体_GBK" w:cs="Times New Roman"/>
            </w:rPr>
            <w:fldChar w:fldCharType="end"/>
          </w:r>
          <w:r>
            <w:rPr>
              <w:rFonts w:hint="default" w:ascii="Times New Roman" w:hAnsi="Times New Roman" w:eastAsia="方正黑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_Toc20487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lang w:val="en-US" w:eastAsia="zh-CN"/>
            </w:rPr>
            <w:t>第一条 编制目的</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_Toc20487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_Toc24314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lang w:val="en-US" w:eastAsia="zh-CN"/>
            </w:rPr>
            <w:t>第二条 指导思想</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_Toc24314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_Toc16296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lang w:val="en-US" w:eastAsia="zh-CN"/>
            </w:rPr>
            <w:t>第三条 规划期限、范围与人口</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_Toc16296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_Toc13372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lang w:val="en-US" w:eastAsia="zh-CN"/>
            </w:rPr>
            <w:t>第四条 规划依据</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_Toc13372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5</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_Toc5399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lang w:val="en-US" w:eastAsia="zh-CN"/>
            </w:rPr>
            <w:t>第五条 规划原则</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_Toc5399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_Toc28532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lang w:val="en-US" w:eastAsia="zh-CN"/>
            </w:rPr>
            <w:t>第六章 治理目标</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_Toc28532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7</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rPr>
              <w:rFonts w:hint="default" w:ascii="Times New Roman" w:hAnsi="Times New Roman" w:eastAsia="方正楷体_GBK" w:cs="Times New Roman"/>
            </w:rPr>
          </w:pP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HYPERLINK \l _Toc32646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第二章 建筑垃圾产生量和处理量分析</w:t>
          </w:r>
          <w:r>
            <w:rPr>
              <w:rFonts w:hint="default" w:ascii="Times New Roman" w:hAnsi="Times New Roman" w:eastAsia="方正黑体_GBK" w:cs="Times New Roman"/>
              <w:szCs w:val="21"/>
              <w:highlight w:val="none"/>
              <w:lang w:val="en-US" w:eastAsia="zh-CN"/>
            </w:rPr>
            <w:tab/>
          </w: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PAGEREF _Toc32646 \h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8</w:t>
          </w:r>
          <w:r>
            <w:rPr>
              <w:rFonts w:hint="default" w:ascii="Times New Roman" w:hAnsi="Times New Roman" w:eastAsia="方正黑体_GBK" w:cs="Times New Roman"/>
              <w:szCs w:val="21"/>
              <w:highlight w:val="none"/>
              <w:lang w:val="en-US" w:eastAsia="zh-CN"/>
            </w:rPr>
            <w:fldChar w:fldCharType="end"/>
          </w:r>
          <w:r>
            <w:rPr>
              <w:rFonts w:hint="default" w:ascii="Times New Roman" w:hAnsi="Times New Roman" w:eastAsia="方正黑体_GBK" w:cs="Times New Roman"/>
              <w:szCs w:val="21"/>
              <w:highlight w:val="none"/>
              <w:lang w:val="en-US" w:eastAsia="zh-CN"/>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_Toc28675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highlight w:val="none"/>
              <w:lang w:val="en-US" w:eastAsia="zh-CN"/>
            </w:rPr>
            <w:t>第七条 建筑垃圾处置现状</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_Toc28675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8</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_Toc484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highlight w:val="none"/>
              <w:lang w:val="en-US" w:eastAsia="zh-CN"/>
            </w:rPr>
            <w:t>第八条 产生量和处理量预测</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_Toc484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10</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_Toc4582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highlight w:val="none"/>
              <w:lang w:val="en-US" w:eastAsia="zh-CN"/>
            </w:rPr>
            <w:t>第九条 重点规划方向</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_Toc4582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12</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rPr>
              <w:rFonts w:hint="default" w:ascii="Times New Roman" w:hAnsi="Times New Roman" w:eastAsia="方正楷体_GBK" w:cs="Times New Roman"/>
            </w:rPr>
          </w:pP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HYPERLINK \l _Toc475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第三章 建筑垃圾减量化发展</w:t>
          </w:r>
          <w:r>
            <w:rPr>
              <w:rFonts w:hint="default" w:ascii="Times New Roman" w:hAnsi="Times New Roman" w:eastAsia="方正黑体_GBK" w:cs="Times New Roman"/>
              <w:szCs w:val="21"/>
              <w:highlight w:val="none"/>
              <w:lang w:val="en-US" w:eastAsia="zh-CN"/>
            </w:rPr>
            <w:tab/>
          </w: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PAGEREF _Toc475 \h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13</w:t>
          </w:r>
          <w:r>
            <w:rPr>
              <w:rFonts w:hint="default" w:ascii="Times New Roman" w:hAnsi="Times New Roman" w:eastAsia="方正黑体_GBK" w:cs="Times New Roman"/>
              <w:szCs w:val="21"/>
              <w:highlight w:val="none"/>
              <w:lang w:val="en-US" w:eastAsia="zh-CN"/>
            </w:rPr>
            <w:fldChar w:fldCharType="end"/>
          </w:r>
          <w:r>
            <w:rPr>
              <w:rFonts w:hint="default" w:ascii="Times New Roman" w:hAnsi="Times New Roman" w:eastAsia="方正黑体_GBK" w:cs="Times New Roman"/>
              <w:szCs w:val="21"/>
              <w:highlight w:val="none"/>
              <w:lang w:val="en-US" w:eastAsia="zh-CN"/>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_Toc16193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szCs w:val="21"/>
              <w:highlight w:val="none"/>
              <w:lang w:val="en-US" w:eastAsia="zh-CN"/>
            </w:rPr>
            <w:t xml:space="preserve">第十条 </w:t>
          </w:r>
          <w:r>
            <w:rPr>
              <w:rFonts w:hint="default" w:ascii="Times New Roman" w:hAnsi="Times New Roman" w:eastAsia="方正楷体_GBK" w:cs="Times New Roman"/>
              <w:kern w:val="2"/>
              <w:szCs w:val="22"/>
              <w:lang w:val="en-US" w:eastAsia="zh-CN" w:bidi="ar-SA"/>
            </w:rPr>
            <w:t>源头减量</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_Toc16193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13</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_Toc22452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szCs w:val="21"/>
              <w:highlight w:val="none"/>
              <w:lang w:val="en-US" w:eastAsia="zh-CN"/>
            </w:rPr>
            <w:t xml:space="preserve">第十一条 </w:t>
          </w:r>
          <w:r>
            <w:rPr>
              <w:rFonts w:hint="default" w:ascii="Times New Roman" w:hAnsi="Times New Roman" w:eastAsia="方正楷体_GBK" w:cs="Times New Roman"/>
              <w:kern w:val="2"/>
              <w:szCs w:val="22"/>
              <w:lang w:val="en-US" w:eastAsia="zh-CN" w:bidi="ar-SA"/>
            </w:rPr>
            <w:t>过程管控</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_Toc22452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_Toc29464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szCs w:val="21"/>
              <w:highlight w:val="none"/>
              <w:lang w:val="en-US" w:eastAsia="zh-CN"/>
            </w:rPr>
            <w:t>第十二条 强化利用</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_Toc29464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_Toc11936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szCs w:val="21"/>
              <w:highlight w:val="none"/>
              <w:lang w:val="en-US" w:eastAsia="zh-CN"/>
            </w:rPr>
            <w:t xml:space="preserve">第十三条 </w:t>
          </w:r>
          <w:r>
            <w:rPr>
              <w:rFonts w:hint="default" w:ascii="Times New Roman" w:hAnsi="Times New Roman" w:eastAsia="方正楷体_GBK" w:cs="Times New Roman"/>
              <w:kern w:val="44"/>
              <w:szCs w:val="21"/>
              <w:highlight w:val="none"/>
              <w:lang w:val="en-US" w:eastAsia="zh-CN" w:bidi="ar-SA"/>
            </w:rPr>
            <w:t>增强消纳</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_Toc11936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15</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rPr>
              <w:rFonts w:hint="default" w:ascii="Times New Roman" w:hAnsi="Times New Roman" w:eastAsia="方正楷体_GBK" w:cs="Times New Roman"/>
            </w:rPr>
          </w:pP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HYPERLINK \l _Toc24345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第四章 收集运输体系规划</w:t>
          </w:r>
          <w:r>
            <w:rPr>
              <w:rFonts w:hint="default" w:ascii="Times New Roman" w:hAnsi="Times New Roman" w:eastAsia="方正黑体_GBK" w:cs="Times New Roman"/>
              <w:szCs w:val="21"/>
              <w:highlight w:val="none"/>
              <w:lang w:val="en-US" w:eastAsia="zh-CN"/>
            </w:rPr>
            <w:tab/>
          </w: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PAGEREF _Toc24345 \h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15</w:t>
          </w:r>
          <w:r>
            <w:rPr>
              <w:rFonts w:hint="default" w:ascii="Times New Roman" w:hAnsi="Times New Roman" w:eastAsia="方正黑体_GBK" w:cs="Times New Roman"/>
              <w:szCs w:val="21"/>
              <w:highlight w:val="none"/>
              <w:lang w:val="en-US" w:eastAsia="zh-CN"/>
            </w:rPr>
            <w:fldChar w:fldCharType="end"/>
          </w:r>
          <w:r>
            <w:rPr>
              <w:rFonts w:hint="default" w:ascii="Times New Roman" w:hAnsi="Times New Roman" w:eastAsia="方正黑体_GBK" w:cs="Times New Roman"/>
              <w:szCs w:val="21"/>
              <w:highlight w:val="none"/>
              <w:lang w:val="en-US" w:eastAsia="zh-CN"/>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_Toc16367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lang w:val="en-US" w:eastAsia="zh-CN"/>
            </w:rPr>
            <w:t>第十四条 分类收集</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_Toc16367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15</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_Toc13404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lang w:val="en-US" w:eastAsia="zh-CN"/>
            </w:rPr>
            <w:t>第十五条 运输要求</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_Toc13404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16</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_Toc2355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lang w:val="en-US" w:eastAsia="zh-CN"/>
            </w:rPr>
            <w:t>第十六条 收运监管</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_Toc2355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17</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rPr>
              <w:rFonts w:hint="default" w:ascii="Times New Roman" w:hAnsi="Times New Roman" w:eastAsia="方正楷体_GBK" w:cs="Times New Roman"/>
            </w:rPr>
          </w:pP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HYPERLINK \l _Toc20361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第五章 建筑垃圾资源化发展</w:t>
          </w:r>
          <w:r>
            <w:rPr>
              <w:rFonts w:hint="default" w:ascii="Times New Roman" w:hAnsi="Times New Roman" w:eastAsia="方正黑体_GBK" w:cs="Times New Roman"/>
              <w:szCs w:val="21"/>
              <w:highlight w:val="none"/>
              <w:lang w:val="en-US" w:eastAsia="zh-CN"/>
            </w:rPr>
            <w:tab/>
          </w: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PAGEREF _Toc20361 \h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18</w:t>
          </w:r>
          <w:r>
            <w:rPr>
              <w:rFonts w:hint="default" w:ascii="Times New Roman" w:hAnsi="Times New Roman" w:eastAsia="方正黑体_GBK" w:cs="Times New Roman"/>
              <w:szCs w:val="21"/>
              <w:highlight w:val="none"/>
              <w:lang w:val="en-US" w:eastAsia="zh-CN"/>
            </w:rPr>
            <w:fldChar w:fldCharType="end"/>
          </w:r>
          <w:r>
            <w:rPr>
              <w:rFonts w:hint="default" w:ascii="Times New Roman" w:hAnsi="Times New Roman" w:eastAsia="方正黑体_GBK" w:cs="Times New Roman"/>
              <w:szCs w:val="21"/>
              <w:highlight w:val="none"/>
              <w:lang w:val="en-US" w:eastAsia="zh-CN"/>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_Toc23660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rPr>
            <w:t>第十七条 建筑垃圾资源化</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_Toc23660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18</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_Toc19138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rPr>
            <w:t>第十八条 建筑垃圾资源化引导</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_Toc19138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20</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rPr>
              <w:rFonts w:hint="default" w:ascii="Times New Roman" w:hAnsi="Times New Roman" w:eastAsia="方正楷体_GBK" w:cs="Times New Roman"/>
            </w:rPr>
          </w:pP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HYPERLINK \l _Toc25266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第六章 建筑垃圾处理系统规划</w:t>
          </w:r>
          <w:r>
            <w:rPr>
              <w:rFonts w:hint="default" w:ascii="Times New Roman" w:hAnsi="Times New Roman" w:eastAsia="方正黑体_GBK" w:cs="Times New Roman"/>
              <w:szCs w:val="21"/>
              <w:highlight w:val="none"/>
              <w:lang w:val="en-US" w:eastAsia="zh-CN"/>
            </w:rPr>
            <w:tab/>
          </w: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PAGEREF _Toc25266 \h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21</w:t>
          </w:r>
          <w:r>
            <w:rPr>
              <w:rFonts w:hint="default" w:ascii="Times New Roman" w:hAnsi="Times New Roman" w:eastAsia="方正黑体_GBK" w:cs="Times New Roman"/>
              <w:szCs w:val="21"/>
              <w:highlight w:val="none"/>
              <w:lang w:val="en-US" w:eastAsia="zh-CN"/>
            </w:rPr>
            <w:fldChar w:fldCharType="end"/>
          </w:r>
          <w:r>
            <w:rPr>
              <w:rFonts w:hint="default" w:ascii="Times New Roman" w:hAnsi="Times New Roman" w:eastAsia="方正黑体_GBK" w:cs="Times New Roman"/>
              <w:szCs w:val="21"/>
              <w:highlight w:val="none"/>
              <w:lang w:val="en-US" w:eastAsia="zh-CN"/>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_Toc19519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kern w:val="0"/>
              <w:highlight w:val="none"/>
            </w:rPr>
            <w:t>第</w:t>
          </w:r>
          <w:r>
            <w:rPr>
              <w:rFonts w:hint="default" w:ascii="Times New Roman" w:hAnsi="Times New Roman" w:eastAsia="方正楷体_GBK" w:cs="Times New Roman"/>
              <w:kern w:val="0"/>
              <w:highlight w:val="none"/>
              <w:lang w:val="en-US" w:eastAsia="zh-CN"/>
            </w:rPr>
            <w:t>十九</w:t>
          </w:r>
          <w:r>
            <w:rPr>
              <w:rFonts w:hint="default" w:ascii="Times New Roman" w:hAnsi="Times New Roman" w:eastAsia="方正楷体_GBK" w:cs="Times New Roman"/>
              <w:kern w:val="0"/>
              <w:highlight w:val="none"/>
            </w:rPr>
            <w:t>条 建筑垃圾处理方案</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_Toc19519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21</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_Toc11502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kern w:val="0"/>
              <w:highlight w:val="none"/>
            </w:rPr>
            <w:t>第</w:t>
          </w:r>
          <w:r>
            <w:rPr>
              <w:rFonts w:hint="default" w:ascii="Times New Roman" w:hAnsi="Times New Roman" w:eastAsia="方正楷体_GBK" w:cs="Times New Roman"/>
              <w:kern w:val="0"/>
              <w:highlight w:val="none"/>
              <w:lang w:val="en-US" w:eastAsia="zh-CN"/>
            </w:rPr>
            <w:t>二十</w:t>
          </w:r>
          <w:r>
            <w:rPr>
              <w:rFonts w:hint="default" w:ascii="Times New Roman" w:hAnsi="Times New Roman" w:eastAsia="方正楷体_GBK" w:cs="Times New Roman"/>
              <w:kern w:val="0"/>
              <w:highlight w:val="none"/>
            </w:rPr>
            <w:t>条 处理缺口分析</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_Toc11502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22</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_Toc24202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kern w:val="0"/>
              <w:highlight w:val="none"/>
            </w:rPr>
            <w:t>第</w:t>
          </w:r>
          <w:r>
            <w:rPr>
              <w:rFonts w:hint="default" w:ascii="Times New Roman" w:hAnsi="Times New Roman" w:eastAsia="方正楷体_GBK" w:cs="Times New Roman"/>
              <w:kern w:val="0"/>
              <w:highlight w:val="none"/>
              <w:lang w:val="en-US" w:eastAsia="zh-CN"/>
            </w:rPr>
            <w:t>二十一</w:t>
          </w:r>
          <w:r>
            <w:rPr>
              <w:rFonts w:hint="default" w:ascii="Times New Roman" w:hAnsi="Times New Roman" w:eastAsia="方正楷体_GBK" w:cs="Times New Roman"/>
              <w:kern w:val="0"/>
              <w:highlight w:val="none"/>
            </w:rPr>
            <w:t>条 处理设施选址原则</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_Toc24202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23</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_Toc2983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kern w:val="0"/>
              <w:highlight w:val="none"/>
            </w:rPr>
            <w:t>第</w:t>
          </w:r>
          <w:r>
            <w:rPr>
              <w:rFonts w:hint="default" w:ascii="Times New Roman" w:hAnsi="Times New Roman" w:eastAsia="方正楷体_GBK" w:cs="Times New Roman"/>
              <w:kern w:val="0"/>
              <w:highlight w:val="none"/>
              <w:lang w:val="en-US" w:eastAsia="zh-CN"/>
            </w:rPr>
            <w:t>二十二</w:t>
          </w:r>
          <w:r>
            <w:rPr>
              <w:rFonts w:hint="default" w:ascii="Times New Roman" w:hAnsi="Times New Roman" w:eastAsia="方正楷体_GBK" w:cs="Times New Roman"/>
              <w:kern w:val="0"/>
              <w:highlight w:val="none"/>
            </w:rPr>
            <w:t xml:space="preserve">条 </w:t>
          </w:r>
          <w:r>
            <w:rPr>
              <w:rFonts w:hint="default" w:ascii="Times New Roman" w:hAnsi="Times New Roman" w:eastAsia="方正楷体_GBK" w:cs="Times New Roman"/>
              <w:kern w:val="0"/>
              <w:highlight w:val="none"/>
              <w:lang w:val="en-US" w:eastAsia="zh-CN"/>
            </w:rPr>
            <w:t>处理</w:t>
          </w:r>
          <w:r>
            <w:rPr>
              <w:rFonts w:hint="default" w:ascii="Times New Roman" w:hAnsi="Times New Roman" w:eastAsia="方正楷体_GBK" w:cs="Times New Roman"/>
              <w:kern w:val="0"/>
              <w:highlight w:val="none"/>
            </w:rPr>
            <w:t>设施规划布局</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_Toc2983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rPr>
              <w:rFonts w:hint="default" w:ascii="Times New Roman" w:hAnsi="Times New Roman" w:eastAsia="方正楷体_GBK" w:cs="Times New Roman"/>
            </w:rPr>
          </w:pP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HYPERLINK \l _Toc18350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第七章 生态环境保护修护</w:t>
          </w:r>
          <w:r>
            <w:rPr>
              <w:rFonts w:hint="default" w:ascii="Times New Roman" w:hAnsi="Times New Roman" w:eastAsia="方正黑体_GBK" w:cs="Times New Roman"/>
              <w:szCs w:val="21"/>
              <w:highlight w:val="none"/>
              <w:lang w:val="en-US" w:eastAsia="zh-CN"/>
            </w:rPr>
            <w:tab/>
          </w: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PAGEREF _Toc18350 \h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26</w:t>
          </w:r>
          <w:r>
            <w:rPr>
              <w:rFonts w:hint="default" w:ascii="Times New Roman" w:hAnsi="Times New Roman" w:eastAsia="方正黑体_GBK" w:cs="Times New Roman"/>
              <w:szCs w:val="21"/>
              <w:highlight w:val="none"/>
              <w:lang w:val="en-US" w:eastAsia="zh-CN"/>
            </w:rPr>
            <w:fldChar w:fldCharType="end"/>
          </w:r>
          <w:r>
            <w:rPr>
              <w:rFonts w:hint="default" w:ascii="Times New Roman" w:hAnsi="Times New Roman" w:eastAsia="方正黑体_GBK" w:cs="Times New Roman"/>
              <w:szCs w:val="21"/>
              <w:highlight w:val="none"/>
              <w:lang w:val="en-US" w:eastAsia="zh-CN"/>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_Toc28143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rPr>
            <w:t>第二十三条 生态环境保护</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_Toc28143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26</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_Toc16095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rPr>
            <w:t>第二十四条 生态环境修复</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_Toc16095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28</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rPr>
              <w:rFonts w:hint="default" w:ascii="Times New Roman" w:hAnsi="Times New Roman" w:eastAsia="方正黑体_GBK" w:cs="Times New Roman"/>
              <w:szCs w:val="21"/>
              <w:highlight w:val="none"/>
              <w:lang w:val="en-US" w:eastAsia="zh-CN"/>
            </w:rPr>
          </w:pP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HYPERLINK \l _Toc18667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第八章 管理体系建立</w:t>
          </w:r>
          <w:r>
            <w:rPr>
              <w:rFonts w:hint="default" w:ascii="Times New Roman" w:hAnsi="Times New Roman" w:eastAsia="方正黑体_GBK" w:cs="Times New Roman"/>
              <w:szCs w:val="21"/>
              <w:highlight w:val="none"/>
              <w:lang w:val="en-US" w:eastAsia="zh-CN"/>
            </w:rPr>
            <w:tab/>
          </w: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PAGEREF _Toc18667 \h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28</w:t>
          </w:r>
          <w:r>
            <w:rPr>
              <w:rFonts w:hint="default" w:ascii="Times New Roman" w:hAnsi="Times New Roman" w:eastAsia="方正黑体_GBK" w:cs="Times New Roman"/>
              <w:szCs w:val="21"/>
              <w:highlight w:val="none"/>
              <w:lang w:val="en-US" w:eastAsia="zh-CN"/>
            </w:rPr>
            <w:fldChar w:fldCharType="end"/>
          </w:r>
          <w:r>
            <w:rPr>
              <w:rFonts w:hint="default" w:ascii="Times New Roman" w:hAnsi="Times New Roman" w:eastAsia="方正黑体_GBK" w:cs="Times New Roman"/>
              <w:szCs w:val="21"/>
              <w:highlight w:val="none"/>
              <w:lang w:val="en-US" w:eastAsia="zh-CN"/>
            </w:rPr>
            <w:fldChar w:fldCharType="end"/>
          </w:r>
        </w:p>
        <w:p>
          <w:pPr>
            <w:pStyle w:val="8"/>
            <w:tabs>
              <w:tab w:val="right" w:leader="dot" w:pos="8306"/>
            </w:tabs>
            <w:ind w:firstLine="1280" w:firstLineChars="400"/>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_Toc7266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bidi="ar-SA"/>
            </w:rPr>
            <w:t>第二十五条 完善制度</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_Toc7266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28</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ind w:firstLine="1280" w:firstLineChars="400"/>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_Toc21660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bidi="ar-SA"/>
            </w:rPr>
            <w:t>第二十六条 部门职责</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_Toc21660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29</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ind w:firstLine="1280" w:firstLineChars="400"/>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_Toc15810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bidi="ar-SA"/>
            </w:rPr>
            <w:t>第二十七条 完善信息化</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_Toc15810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31</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8"/>
            <w:tabs>
              <w:tab w:val="right" w:leader="dot" w:pos="8306"/>
            </w:tabs>
            <w:rPr>
              <w:rFonts w:hint="default" w:ascii="Times New Roman" w:hAnsi="Times New Roman" w:eastAsia="方正楷体_GBK" w:cs="Times New Roman"/>
            </w:rPr>
          </w:pP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HYPERLINK \l _Toc4036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第九章 重点实施方向</w:t>
          </w:r>
          <w:r>
            <w:rPr>
              <w:rFonts w:hint="default" w:ascii="Times New Roman" w:hAnsi="Times New Roman" w:eastAsia="方正黑体_GBK" w:cs="Times New Roman"/>
              <w:szCs w:val="21"/>
              <w:highlight w:val="none"/>
              <w:lang w:val="en-US" w:eastAsia="zh-CN"/>
            </w:rPr>
            <w:tab/>
          </w:r>
          <w:r>
            <w:rPr>
              <w:rFonts w:hint="default" w:ascii="Times New Roman" w:hAnsi="Times New Roman" w:eastAsia="方正黑体_GBK" w:cs="Times New Roman"/>
              <w:szCs w:val="21"/>
              <w:highlight w:val="none"/>
              <w:lang w:val="en-US" w:eastAsia="zh-CN"/>
            </w:rPr>
            <w:fldChar w:fldCharType="begin"/>
          </w:r>
          <w:r>
            <w:rPr>
              <w:rFonts w:hint="default" w:ascii="Times New Roman" w:hAnsi="Times New Roman" w:eastAsia="方正黑体_GBK" w:cs="Times New Roman"/>
              <w:szCs w:val="21"/>
              <w:highlight w:val="none"/>
              <w:lang w:val="en-US" w:eastAsia="zh-CN"/>
            </w:rPr>
            <w:instrText xml:space="preserve"> PAGEREF _Toc4036 \h </w:instrText>
          </w:r>
          <w:r>
            <w:rPr>
              <w:rFonts w:hint="default" w:ascii="Times New Roman" w:hAnsi="Times New Roman" w:eastAsia="方正黑体_GBK" w:cs="Times New Roman"/>
              <w:szCs w:val="21"/>
              <w:highlight w:val="none"/>
              <w:lang w:val="en-US" w:eastAsia="zh-CN"/>
            </w:rPr>
            <w:fldChar w:fldCharType="separate"/>
          </w:r>
          <w:r>
            <w:rPr>
              <w:rFonts w:hint="default" w:ascii="Times New Roman" w:hAnsi="Times New Roman" w:eastAsia="方正黑体_GBK" w:cs="Times New Roman"/>
              <w:szCs w:val="21"/>
              <w:highlight w:val="none"/>
              <w:lang w:val="en-US" w:eastAsia="zh-CN"/>
            </w:rPr>
            <w:t>32</w:t>
          </w:r>
          <w:r>
            <w:rPr>
              <w:rFonts w:hint="default" w:ascii="Times New Roman" w:hAnsi="Times New Roman" w:eastAsia="方正黑体_GBK" w:cs="Times New Roman"/>
              <w:szCs w:val="21"/>
              <w:highlight w:val="none"/>
              <w:lang w:val="en-US" w:eastAsia="zh-CN"/>
            </w:rPr>
            <w:fldChar w:fldCharType="end"/>
          </w:r>
          <w:r>
            <w:rPr>
              <w:rFonts w:hint="default" w:ascii="Times New Roman" w:hAnsi="Times New Roman" w:eastAsia="方正黑体_GBK" w:cs="Times New Roman"/>
              <w:szCs w:val="21"/>
              <w:highlight w:val="none"/>
              <w:lang w:val="en-US" w:eastAsia="zh-CN"/>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_Toc26768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bidi="ar-SA"/>
            </w:rPr>
            <w:t xml:space="preserve">第二十八条 </w:t>
          </w:r>
          <w:r>
            <w:rPr>
              <w:rFonts w:hint="default" w:ascii="Times New Roman" w:hAnsi="Times New Roman" w:eastAsia="方正楷体_GBK" w:cs="Times New Roman"/>
              <w:kern w:val="2"/>
              <w:szCs w:val="22"/>
              <w:highlight w:val="none"/>
              <w:lang w:val="en-US" w:eastAsia="zh-CN" w:bidi="ar-SA"/>
            </w:rPr>
            <w:t>加快执行存量工作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_Toc26768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32</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_Toc19488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bidi="ar-SA"/>
            </w:rPr>
            <w:t>第二十九条 工程建设</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_Toc19488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32</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ind w:left="0" w:leftChars="0" w:firstLine="640" w:firstLineChars="200"/>
            <w:rPr>
              <w:rFonts w:hint="default" w:ascii="Times New Roman" w:hAnsi="Times New Roman" w:eastAsia="方正楷体_GBK" w:cs="Times New Roman"/>
            </w:rPr>
          </w:pPr>
          <w:r>
            <w:rPr>
              <w:rFonts w:hint="default" w:ascii="Times New Roman" w:hAnsi="Times New Roman" w:eastAsia="方正黑体_GBK" w:cs="Times New Roman"/>
              <w:kern w:val="2"/>
              <w:sz w:val="32"/>
              <w:szCs w:val="21"/>
              <w:highlight w:val="none"/>
              <w:lang w:val="en-US" w:eastAsia="zh-CN" w:bidi="ar-SA"/>
            </w:rPr>
            <w:fldChar w:fldCharType="begin"/>
          </w:r>
          <w:r>
            <w:rPr>
              <w:rFonts w:hint="default" w:ascii="Times New Roman" w:hAnsi="Times New Roman" w:eastAsia="方正黑体_GBK" w:cs="Times New Roman"/>
              <w:kern w:val="2"/>
              <w:sz w:val="32"/>
              <w:szCs w:val="21"/>
              <w:highlight w:val="none"/>
              <w:lang w:val="en-US" w:eastAsia="zh-CN" w:bidi="ar-SA"/>
            </w:rPr>
            <w:instrText xml:space="preserve"> HYPERLINK \l _Toc2116 </w:instrText>
          </w:r>
          <w:r>
            <w:rPr>
              <w:rFonts w:hint="default" w:ascii="Times New Roman" w:hAnsi="Times New Roman" w:eastAsia="方正黑体_GBK" w:cs="Times New Roman"/>
              <w:kern w:val="2"/>
              <w:sz w:val="32"/>
              <w:szCs w:val="21"/>
              <w:highlight w:val="none"/>
              <w:lang w:val="en-US" w:eastAsia="zh-CN" w:bidi="ar-SA"/>
            </w:rPr>
            <w:fldChar w:fldCharType="separate"/>
          </w:r>
          <w:r>
            <w:rPr>
              <w:rFonts w:hint="default" w:ascii="Times New Roman" w:hAnsi="Times New Roman" w:eastAsia="方正黑体_GBK" w:cs="Times New Roman"/>
              <w:kern w:val="2"/>
              <w:sz w:val="32"/>
              <w:szCs w:val="21"/>
              <w:highlight w:val="none"/>
              <w:lang w:val="en-US" w:eastAsia="zh-CN" w:bidi="ar-SA"/>
            </w:rPr>
            <w:t>第十章 实施保障措施</w:t>
          </w:r>
          <w:r>
            <w:rPr>
              <w:rFonts w:hint="default" w:ascii="Times New Roman" w:hAnsi="Times New Roman" w:eastAsia="方正黑体_GBK" w:cs="Times New Roman"/>
              <w:kern w:val="2"/>
              <w:sz w:val="32"/>
              <w:szCs w:val="21"/>
              <w:highlight w:val="none"/>
              <w:lang w:val="en-US" w:eastAsia="zh-CN" w:bidi="ar-SA"/>
            </w:rPr>
            <w:tab/>
          </w:r>
          <w:r>
            <w:rPr>
              <w:rFonts w:hint="default" w:ascii="Times New Roman" w:hAnsi="Times New Roman" w:eastAsia="方正黑体_GBK" w:cs="Times New Roman"/>
              <w:kern w:val="2"/>
              <w:sz w:val="32"/>
              <w:szCs w:val="21"/>
              <w:highlight w:val="none"/>
              <w:lang w:val="en-US" w:eastAsia="zh-CN" w:bidi="ar-SA"/>
            </w:rPr>
            <w:fldChar w:fldCharType="begin"/>
          </w:r>
          <w:r>
            <w:rPr>
              <w:rFonts w:hint="default" w:ascii="Times New Roman" w:hAnsi="Times New Roman" w:eastAsia="方正黑体_GBK" w:cs="Times New Roman"/>
              <w:kern w:val="2"/>
              <w:sz w:val="32"/>
              <w:szCs w:val="21"/>
              <w:highlight w:val="none"/>
              <w:lang w:val="en-US" w:eastAsia="zh-CN" w:bidi="ar-SA"/>
            </w:rPr>
            <w:instrText xml:space="preserve"> PAGEREF _Toc2116 \h </w:instrText>
          </w:r>
          <w:r>
            <w:rPr>
              <w:rFonts w:hint="default" w:ascii="Times New Roman" w:hAnsi="Times New Roman" w:eastAsia="方正黑体_GBK" w:cs="Times New Roman"/>
              <w:kern w:val="2"/>
              <w:sz w:val="32"/>
              <w:szCs w:val="21"/>
              <w:highlight w:val="none"/>
              <w:lang w:val="en-US" w:eastAsia="zh-CN" w:bidi="ar-SA"/>
            </w:rPr>
            <w:fldChar w:fldCharType="separate"/>
          </w:r>
          <w:r>
            <w:rPr>
              <w:rFonts w:hint="default" w:ascii="Times New Roman" w:hAnsi="Times New Roman" w:eastAsia="方正黑体_GBK" w:cs="Times New Roman"/>
              <w:kern w:val="2"/>
              <w:sz w:val="32"/>
              <w:szCs w:val="21"/>
              <w:highlight w:val="none"/>
              <w:lang w:val="en-US" w:eastAsia="zh-CN" w:bidi="ar-SA"/>
            </w:rPr>
            <w:t>32</w:t>
          </w:r>
          <w:r>
            <w:rPr>
              <w:rFonts w:hint="default" w:ascii="Times New Roman" w:hAnsi="Times New Roman" w:eastAsia="方正黑体_GBK" w:cs="Times New Roman"/>
              <w:kern w:val="2"/>
              <w:sz w:val="32"/>
              <w:szCs w:val="21"/>
              <w:highlight w:val="none"/>
              <w:lang w:val="en-US" w:eastAsia="zh-CN" w:bidi="ar-SA"/>
            </w:rPr>
            <w:fldChar w:fldCharType="end"/>
          </w:r>
          <w:r>
            <w:rPr>
              <w:rFonts w:hint="default" w:ascii="Times New Roman" w:hAnsi="Times New Roman" w:eastAsia="方正黑体_GBK" w:cs="Times New Roman"/>
              <w:kern w:val="2"/>
              <w:sz w:val="32"/>
              <w:szCs w:val="21"/>
              <w:highlight w:val="none"/>
              <w:lang w:val="en-US" w:eastAsia="zh-CN" w:bidi="ar-SA"/>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_Toc19793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bidi="ar-SA"/>
            </w:rPr>
            <w:t>第三十条 管理体系保障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_Toc19793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32</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_Toc18418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bidi="ar-SA"/>
            </w:rPr>
            <w:t>第三十一条 政策保障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_Toc18418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33</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_Toc6181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bidi="ar-SA"/>
            </w:rPr>
            <w:t>第三十二条 监督管理保障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_Toc6181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33</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_Toc20216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bCs w:val="0"/>
              <w:kern w:val="0"/>
              <w:szCs w:val="32"/>
              <w:highlight w:val="none"/>
              <w:lang w:val="en-US" w:eastAsia="zh-CN" w:bidi="ar-SA"/>
            </w:rPr>
            <w:t xml:space="preserve">第三十三条 </w:t>
          </w:r>
          <w:r>
            <w:rPr>
              <w:rFonts w:hint="default" w:ascii="Times New Roman" w:hAnsi="Times New Roman" w:eastAsia="方正楷体_GBK" w:cs="Times New Roman"/>
              <w:kern w:val="2"/>
              <w:szCs w:val="22"/>
              <w:lang w:val="en-US" w:eastAsia="zh-CN" w:bidi="ar-SA"/>
            </w:rPr>
            <w:t>宣传保障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_Toc20216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ind w:left="0" w:leftChars="0" w:firstLine="640" w:firstLineChars="200"/>
            <w:rPr>
              <w:rFonts w:hint="default" w:ascii="Times New Roman" w:hAnsi="Times New Roman" w:eastAsia="方正楷体_GBK" w:cs="Times New Roman"/>
            </w:rPr>
          </w:pPr>
          <w:r>
            <w:rPr>
              <w:rFonts w:hint="default" w:ascii="Times New Roman" w:hAnsi="Times New Roman" w:eastAsia="方正黑体_GBK" w:cs="Times New Roman"/>
              <w:kern w:val="2"/>
              <w:sz w:val="32"/>
              <w:szCs w:val="21"/>
              <w:highlight w:val="none"/>
              <w:lang w:val="en-US" w:eastAsia="zh-CN" w:bidi="ar-SA"/>
            </w:rPr>
            <w:fldChar w:fldCharType="begin"/>
          </w:r>
          <w:r>
            <w:rPr>
              <w:rFonts w:hint="default" w:ascii="Times New Roman" w:hAnsi="Times New Roman" w:eastAsia="方正黑体_GBK" w:cs="Times New Roman"/>
              <w:kern w:val="2"/>
              <w:sz w:val="32"/>
              <w:szCs w:val="21"/>
              <w:highlight w:val="none"/>
              <w:lang w:val="en-US" w:eastAsia="zh-CN" w:bidi="ar-SA"/>
            </w:rPr>
            <w:instrText xml:space="preserve"> HYPERLINK \l _Toc15656 </w:instrText>
          </w:r>
          <w:r>
            <w:rPr>
              <w:rFonts w:hint="default" w:ascii="Times New Roman" w:hAnsi="Times New Roman" w:eastAsia="方正黑体_GBK" w:cs="Times New Roman"/>
              <w:kern w:val="2"/>
              <w:sz w:val="32"/>
              <w:szCs w:val="21"/>
              <w:highlight w:val="none"/>
              <w:lang w:val="en-US" w:eastAsia="zh-CN" w:bidi="ar-SA"/>
            </w:rPr>
            <w:fldChar w:fldCharType="separate"/>
          </w:r>
          <w:r>
            <w:rPr>
              <w:rFonts w:hint="default" w:ascii="Times New Roman" w:hAnsi="Times New Roman" w:eastAsia="方正黑体_GBK" w:cs="Times New Roman"/>
              <w:kern w:val="2"/>
              <w:sz w:val="32"/>
              <w:szCs w:val="21"/>
              <w:highlight w:val="none"/>
              <w:lang w:val="en-US" w:eastAsia="zh-CN" w:bidi="ar-SA"/>
            </w:rPr>
            <w:t>第十一章 附则</w:t>
          </w:r>
          <w:r>
            <w:rPr>
              <w:rFonts w:hint="default" w:ascii="Times New Roman" w:hAnsi="Times New Roman" w:eastAsia="方正黑体_GBK" w:cs="Times New Roman"/>
              <w:kern w:val="2"/>
              <w:sz w:val="32"/>
              <w:szCs w:val="21"/>
              <w:highlight w:val="none"/>
              <w:lang w:val="en-US" w:eastAsia="zh-CN" w:bidi="ar-SA"/>
            </w:rPr>
            <w:tab/>
          </w:r>
          <w:r>
            <w:rPr>
              <w:rFonts w:hint="default" w:ascii="Times New Roman" w:hAnsi="Times New Roman" w:eastAsia="方正黑体_GBK" w:cs="Times New Roman"/>
              <w:kern w:val="2"/>
              <w:sz w:val="32"/>
              <w:szCs w:val="21"/>
              <w:highlight w:val="none"/>
              <w:lang w:val="en-US" w:eastAsia="zh-CN" w:bidi="ar-SA"/>
            </w:rPr>
            <w:fldChar w:fldCharType="begin"/>
          </w:r>
          <w:r>
            <w:rPr>
              <w:rFonts w:hint="default" w:ascii="Times New Roman" w:hAnsi="Times New Roman" w:eastAsia="方正黑体_GBK" w:cs="Times New Roman"/>
              <w:kern w:val="2"/>
              <w:sz w:val="32"/>
              <w:szCs w:val="21"/>
              <w:highlight w:val="none"/>
              <w:lang w:val="en-US" w:eastAsia="zh-CN" w:bidi="ar-SA"/>
            </w:rPr>
            <w:instrText xml:space="preserve"> PAGEREF _Toc15656 \h </w:instrText>
          </w:r>
          <w:r>
            <w:rPr>
              <w:rFonts w:hint="default" w:ascii="Times New Roman" w:hAnsi="Times New Roman" w:eastAsia="方正黑体_GBK" w:cs="Times New Roman"/>
              <w:kern w:val="2"/>
              <w:sz w:val="32"/>
              <w:szCs w:val="21"/>
              <w:highlight w:val="none"/>
              <w:lang w:val="en-US" w:eastAsia="zh-CN" w:bidi="ar-SA"/>
            </w:rPr>
            <w:fldChar w:fldCharType="separate"/>
          </w:r>
          <w:r>
            <w:rPr>
              <w:rFonts w:hint="default" w:ascii="Times New Roman" w:hAnsi="Times New Roman" w:eastAsia="方正黑体_GBK" w:cs="Times New Roman"/>
              <w:kern w:val="2"/>
              <w:sz w:val="32"/>
              <w:szCs w:val="21"/>
              <w:highlight w:val="none"/>
              <w:lang w:val="en-US" w:eastAsia="zh-CN" w:bidi="ar-SA"/>
            </w:rPr>
            <w:t>34</w:t>
          </w:r>
          <w:r>
            <w:rPr>
              <w:rFonts w:hint="default" w:ascii="Times New Roman" w:hAnsi="Times New Roman" w:eastAsia="方正黑体_GBK" w:cs="Times New Roman"/>
              <w:kern w:val="2"/>
              <w:sz w:val="32"/>
              <w:szCs w:val="21"/>
              <w:highlight w:val="none"/>
              <w:lang w:val="en-US" w:eastAsia="zh-CN" w:bidi="ar-SA"/>
            </w:rPr>
            <w:fldChar w:fldCharType="end"/>
          </w:r>
          <w:r>
            <w:rPr>
              <w:rFonts w:hint="default" w:ascii="Times New Roman" w:hAnsi="Times New Roman" w:eastAsia="方正黑体_GBK" w:cs="Times New Roman"/>
              <w:kern w:val="2"/>
              <w:sz w:val="32"/>
              <w:szCs w:val="21"/>
              <w:highlight w:val="none"/>
              <w:lang w:val="en-US" w:eastAsia="zh-CN" w:bidi="ar-SA"/>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_Toc24529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kern w:val="0"/>
              <w:highlight w:val="none"/>
            </w:rPr>
            <w:t>第</w:t>
          </w:r>
          <w:r>
            <w:rPr>
              <w:rFonts w:hint="default" w:ascii="Times New Roman" w:hAnsi="Times New Roman" w:eastAsia="方正楷体_GBK" w:cs="Times New Roman"/>
              <w:kern w:val="0"/>
              <w:highlight w:val="none"/>
              <w:lang w:val="en-US" w:eastAsia="zh-CN"/>
            </w:rPr>
            <w:t>三十四</w:t>
          </w:r>
          <w:r>
            <w:rPr>
              <w:rFonts w:hint="default" w:ascii="Times New Roman" w:hAnsi="Times New Roman" w:eastAsia="方正楷体_GBK" w:cs="Times New Roman"/>
              <w:kern w:val="0"/>
              <w:highlight w:val="none"/>
            </w:rPr>
            <w:t>条 规划成果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_Toc24529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rPr>
              <w:rFonts w:hint="default" w:ascii="Times New Roman" w:hAnsi="Times New Roman" w:eastAsia="方正楷体_GBK" w:cs="Times New Roman"/>
            </w:rPr>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_Toc152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kern w:val="0"/>
              <w:highlight w:val="none"/>
            </w:rPr>
            <w:t>第</w:t>
          </w:r>
          <w:r>
            <w:rPr>
              <w:rFonts w:hint="default" w:ascii="Times New Roman" w:hAnsi="Times New Roman" w:eastAsia="方正楷体_GBK" w:cs="Times New Roman"/>
              <w:kern w:val="0"/>
              <w:highlight w:val="none"/>
              <w:lang w:val="en-US" w:eastAsia="zh-CN"/>
            </w:rPr>
            <w:t>三十五</w:t>
          </w:r>
          <w:r>
            <w:rPr>
              <w:rFonts w:hint="default" w:ascii="Times New Roman" w:hAnsi="Times New Roman" w:eastAsia="方正楷体_GBK" w:cs="Times New Roman"/>
              <w:kern w:val="0"/>
              <w:highlight w:val="none"/>
            </w:rPr>
            <w:t>条 批准实施</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_Toc152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pStyle w:val="9"/>
            <w:tabs>
              <w:tab w:val="right" w:leader="dot" w:pos="8306"/>
            </w:tabs>
          </w:pPr>
          <w:r>
            <w:rPr>
              <w:rFonts w:hint="default" w:ascii="Times New Roman" w:hAnsi="Times New Roman" w:eastAsia="方正楷体_GBK" w:cs="Times New Roman"/>
              <w:bCs/>
              <w:color w:val="auto"/>
              <w:szCs w:val="32"/>
              <w:highlight w:val="none"/>
            </w:rPr>
            <w:fldChar w:fldCharType="begin"/>
          </w:r>
          <w:r>
            <w:rPr>
              <w:rFonts w:hint="default" w:ascii="Times New Roman" w:hAnsi="Times New Roman" w:eastAsia="方正楷体_GBK" w:cs="Times New Roman"/>
              <w:bCs/>
              <w:szCs w:val="32"/>
              <w:highlight w:val="none"/>
            </w:rPr>
            <w:instrText xml:space="preserve"> HYPERLINK \l _Toc21160 </w:instrText>
          </w:r>
          <w:r>
            <w:rPr>
              <w:rFonts w:hint="default" w:ascii="Times New Roman" w:hAnsi="Times New Roman" w:eastAsia="方正楷体_GBK" w:cs="Times New Roman"/>
              <w:bCs/>
              <w:szCs w:val="32"/>
              <w:highlight w:val="none"/>
            </w:rPr>
            <w:fldChar w:fldCharType="separate"/>
          </w:r>
          <w:r>
            <w:rPr>
              <w:rFonts w:hint="default" w:ascii="Times New Roman" w:hAnsi="Times New Roman" w:eastAsia="方正楷体_GBK" w:cs="Times New Roman"/>
              <w:kern w:val="0"/>
              <w:highlight w:val="none"/>
            </w:rPr>
            <w:t>第</w:t>
          </w:r>
          <w:r>
            <w:rPr>
              <w:rFonts w:hint="default" w:ascii="Times New Roman" w:hAnsi="Times New Roman" w:eastAsia="方正楷体_GBK" w:cs="Times New Roman"/>
              <w:kern w:val="0"/>
              <w:highlight w:val="none"/>
              <w:lang w:val="en-US" w:eastAsia="zh-CN"/>
            </w:rPr>
            <w:t>三十六</w:t>
          </w:r>
          <w:r>
            <w:rPr>
              <w:rFonts w:hint="default" w:ascii="Times New Roman" w:hAnsi="Times New Roman" w:eastAsia="方正楷体_GBK" w:cs="Times New Roman"/>
              <w:kern w:val="0"/>
              <w:highlight w:val="none"/>
            </w:rPr>
            <w:t>条 规划解释</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_Toc21160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34</w:t>
          </w:r>
          <w:r>
            <w:rPr>
              <w:rFonts w:hint="default" w:ascii="Times New Roman" w:hAnsi="Times New Roman" w:eastAsia="方正楷体_GBK" w:cs="Times New Roman"/>
            </w:rPr>
            <w:fldChar w:fldCharType="end"/>
          </w:r>
          <w:r>
            <w:rPr>
              <w:rFonts w:hint="default" w:ascii="Times New Roman" w:hAnsi="Times New Roman" w:eastAsia="方正楷体_GBK" w:cs="Times New Roman"/>
              <w:bCs/>
              <w:color w:val="auto"/>
              <w:szCs w:val="32"/>
              <w:highlight w:val="none"/>
            </w:rPr>
            <w:fldChar w:fldCharType="end"/>
          </w:r>
        </w:p>
        <w:p>
          <w:pPr>
            <w:ind w:left="0" w:leftChars="0" w:firstLine="0" w:firstLineChars="0"/>
            <w:rPr>
              <w:rFonts w:hint="default"/>
              <w:lang w:val="en-US" w:eastAsia="zh-CN"/>
            </w:rPr>
          </w:pPr>
          <w:r>
            <w:rPr>
              <w:rFonts w:hint="eastAsia" w:ascii="方正楷体_GBK" w:hAnsi="方正楷体_GBK" w:eastAsia="方正楷体_GBK" w:cs="方正楷体_GBK"/>
              <w:bCs/>
              <w:color w:val="auto"/>
              <w:szCs w:val="32"/>
              <w:highlight w:val="none"/>
            </w:rPr>
            <w:fldChar w:fldCharType="end"/>
          </w:r>
        </w:p>
      </w:sdtContent>
    </w:sdt>
    <w:p>
      <w:pPr>
        <w:pStyle w:val="3"/>
        <w:keepNext/>
        <w:keepLines/>
        <w:pageBreakBefore w:val="0"/>
        <w:widowControl w:val="0"/>
        <w:kinsoku/>
        <w:wordWrap/>
        <w:overflowPunct/>
        <w:topLinePunct w:val="0"/>
        <w:autoSpaceDE/>
        <w:autoSpaceDN/>
        <w:bidi w:val="0"/>
        <w:adjustRightInd/>
        <w:snapToGrid/>
        <w:ind w:left="0" w:leftChars="0" w:firstLine="0" w:firstLineChars="0"/>
        <w:textAlignment w:val="auto"/>
        <w:rPr>
          <w:rFonts w:hint="eastAsia" w:cs="方正仿宋_GBK"/>
          <w:b w:val="0"/>
          <w:bCs w:val="0"/>
          <w:sz w:val="32"/>
          <w:szCs w:val="32"/>
          <w:highlight w:val="none"/>
          <w:lang w:eastAsia="zh-CN"/>
        </w:rPr>
      </w:pPr>
      <w:bookmarkStart w:id="0" w:name="_Toc24588"/>
      <w:bookmarkStart w:id="1" w:name="_Toc10004"/>
      <w:r>
        <w:rPr>
          <w:rFonts w:hint="eastAsia"/>
          <w:sz w:val="32"/>
          <w:szCs w:val="21"/>
          <w:highlight w:val="none"/>
          <w:lang w:val="en-US" w:eastAsia="zh-CN"/>
        </w:rPr>
        <w:t>第</w:t>
      </w:r>
      <w:r>
        <w:rPr>
          <w:rFonts w:hint="eastAsia"/>
          <w:sz w:val="32"/>
          <w:szCs w:val="21"/>
          <w:highlight w:val="none"/>
        </w:rPr>
        <w:t>一</w:t>
      </w:r>
      <w:r>
        <w:rPr>
          <w:rFonts w:hint="eastAsia"/>
          <w:sz w:val="32"/>
          <w:szCs w:val="21"/>
          <w:highlight w:val="none"/>
          <w:lang w:val="en-US" w:eastAsia="zh-CN"/>
        </w:rPr>
        <w:t xml:space="preserve">章 </w:t>
      </w:r>
      <w:bookmarkEnd w:id="0"/>
      <w:r>
        <w:rPr>
          <w:rFonts w:hint="eastAsia"/>
          <w:sz w:val="32"/>
          <w:szCs w:val="21"/>
          <w:highlight w:val="none"/>
          <w:lang w:val="en-US" w:eastAsia="zh-CN"/>
        </w:rPr>
        <w:t>总则</w:t>
      </w:r>
      <w:bookmarkEnd w:id="1"/>
    </w:p>
    <w:p>
      <w:pPr>
        <w:pStyle w:val="4"/>
        <w:pageBreakBefore w:val="0"/>
        <w:widowControl w:val="0"/>
        <w:kinsoku/>
        <w:wordWrap/>
        <w:overflowPunct/>
        <w:topLinePunct w:val="0"/>
        <w:autoSpaceDE/>
        <w:autoSpaceDN/>
        <w:bidi w:val="0"/>
        <w:adjustRightInd/>
        <w:snapToGrid/>
        <w:spacing w:line="560" w:lineRule="exact"/>
        <w:textAlignment w:val="auto"/>
        <w:rPr>
          <w:rFonts w:hint="eastAsia" w:ascii="方正楷体_GBK" w:hAnsi="方正楷体_GBK" w:eastAsia="方正楷体_GBK" w:cs="方正楷体_GBK"/>
          <w:lang w:val="en-US" w:eastAsia="zh-CN"/>
        </w:rPr>
      </w:pPr>
      <w:bookmarkStart w:id="2" w:name="_Toc20487"/>
      <w:bookmarkStart w:id="3" w:name="_Toc21239"/>
      <w:r>
        <w:rPr>
          <w:rFonts w:hint="eastAsia" w:ascii="方正楷体_GBK" w:hAnsi="方正楷体_GBK" w:eastAsia="方正楷体_GBK" w:cs="方正楷体_GBK"/>
          <w:lang w:val="en-US" w:eastAsia="zh-CN"/>
        </w:rPr>
        <w:t>第一条 编制目的</w:t>
      </w:r>
      <w:bookmarkEnd w:id="2"/>
      <w:bookmarkEnd w:id="3"/>
    </w:p>
    <w:p>
      <w:pPr>
        <w:pStyle w:val="2"/>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按照《重庆市城市管理局关于规范制定建筑垃圾污染环境防治工作规划的通知》（渝城管局〔2024〕44号）</w:t>
      </w:r>
      <w:r>
        <w:rPr>
          <w:rFonts w:hint="default" w:ascii="Times New Roman" w:hAnsi="Times New Roman" w:eastAsia="方正仿宋_GBK" w:cs="Times New Roman"/>
          <w:color w:val="auto"/>
          <w:kern w:val="2"/>
          <w:sz w:val="32"/>
          <w:szCs w:val="40"/>
          <w:highlight w:val="none"/>
          <w:lang w:val="en-US" w:eastAsia="zh-CN" w:bidi="ar-SA"/>
        </w:rPr>
        <w:t>的工作要求，以“减量化、资源化、无害化”为目标，进一步有序推进垫江县建筑垃圾治理，建立有效的建筑垃圾治理</w:t>
      </w:r>
      <w:r>
        <w:rPr>
          <w:rFonts w:hint="default" w:ascii="Times New Roman" w:hAnsi="Times New Roman" w:eastAsia="方正仿宋_GBK" w:cs="Times New Roman"/>
          <w:color w:val="auto"/>
          <w:kern w:val="2"/>
          <w:sz w:val="32"/>
          <w:szCs w:val="40"/>
          <w:lang w:val="en-US" w:eastAsia="zh-CN" w:bidi="ar-SA"/>
        </w:rPr>
        <w:t>体系，结合垫江县实际情况，编制《垫江县建筑垃圾污染环境防治工作规划（2024—2035年）》。</w:t>
      </w:r>
    </w:p>
    <w:p>
      <w:pPr>
        <w:pStyle w:val="4"/>
        <w:pageBreakBefore w:val="0"/>
        <w:widowControl w:val="0"/>
        <w:kinsoku/>
        <w:wordWrap/>
        <w:overflowPunct/>
        <w:topLinePunct w:val="0"/>
        <w:autoSpaceDE/>
        <w:autoSpaceDN/>
        <w:bidi w:val="0"/>
        <w:adjustRightInd/>
        <w:snapToGrid/>
        <w:spacing w:line="560" w:lineRule="exact"/>
        <w:textAlignment w:val="auto"/>
        <w:rPr>
          <w:rFonts w:hint="default" w:ascii="方正楷体_GBK" w:hAnsi="方正楷体_GBK" w:eastAsia="方正楷体_GBK" w:cs="方正楷体_GBK"/>
          <w:lang w:val="en-US" w:eastAsia="zh-CN"/>
        </w:rPr>
      </w:pPr>
      <w:bookmarkStart w:id="4" w:name="_Toc24314"/>
      <w:r>
        <w:rPr>
          <w:rFonts w:hint="default" w:ascii="方正楷体_GBK" w:hAnsi="方正楷体_GBK" w:eastAsia="方正楷体_GBK" w:cs="方正楷体_GBK"/>
          <w:lang w:val="en-US" w:eastAsia="zh-CN"/>
        </w:rPr>
        <w:t>第二条 指导思想</w:t>
      </w:r>
      <w:bookmarkEnd w:id="4"/>
    </w:p>
    <w:p>
      <w:pPr>
        <w:pageBreakBefore w:val="0"/>
        <w:widowControl w:val="0"/>
        <w:kinsoku/>
        <w:wordWrap/>
        <w:overflowPunct/>
        <w:topLinePunct w:val="0"/>
        <w:bidi w:val="0"/>
        <w:snapToGrid/>
        <w:ind w:firstLine="640" w:firstLineChars="200"/>
        <w:textAlignment w:val="auto"/>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深入贯彻习近平生态文明思想，坚持创新、协调、绿色、开放、共享等发展理念，</w:t>
      </w:r>
      <w:r>
        <w:rPr>
          <w:rFonts w:hint="eastAsia" w:ascii="Times New Roman" w:hAnsi="Times New Roman" w:eastAsia="方正仿宋_GBK" w:cs="Times New Roman"/>
          <w:color w:val="auto"/>
          <w:kern w:val="2"/>
          <w:sz w:val="32"/>
          <w:szCs w:val="40"/>
          <w:lang w:val="en-US" w:eastAsia="zh-CN" w:bidi="ar-SA"/>
        </w:rPr>
        <w:t>推动</w:t>
      </w:r>
      <w:r>
        <w:rPr>
          <w:rFonts w:hint="default" w:ascii="Times New Roman" w:hAnsi="Times New Roman" w:eastAsia="方正仿宋_GBK" w:cs="Times New Roman"/>
          <w:color w:val="auto"/>
          <w:kern w:val="2"/>
          <w:sz w:val="32"/>
          <w:szCs w:val="40"/>
          <w:lang w:val="en-US" w:eastAsia="zh-CN" w:bidi="ar-SA"/>
        </w:rPr>
        <w:t>垫江县</w:t>
      </w:r>
      <w:r>
        <w:rPr>
          <w:rFonts w:hint="eastAsia" w:ascii="Times New Roman" w:hAnsi="Times New Roman" w:eastAsia="方正仿宋_GBK" w:cs="Times New Roman"/>
          <w:color w:val="auto"/>
          <w:kern w:val="2"/>
          <w:sz w:val="32"/>
          <w:szCs w:val="40"/>
          <w:lang w:val="en-US" w:eastAsia="zh-CN" w:bidi="ar-SA"/>
        </w:rPr>
        <w:t>“无废城市”建设，明</w:t>
      </w:r>
      <w:r>
        <w:rPr>
          <w:rFonts w:hint="default" w:ascii="Times New Roman" w:hAnsi="Times New Roman" w:eastAsia="方正仿宋_GBK" w:cs="Times New Roman"/>
          <w:color w:val="auto"/>
          <w:kern w:val="2"/>
          <w:sz w:val="32"/>
          <w:szCs w:val="40"/>
          <w:lang w:val="en-US" w:eastAsia="zh-CN" w:bidi="ar-SA"/>
        </w:rPr>
        <w:t>确建筑垃圾污染环境防治工作规划发展目标，以发展循环经济、推进生态文明建设、改善人居环境为原则，科学合理设置建筑垃圾收运处理设施，建立健全监管执法体系及相关日常工作机制，切实解决垫江县建筑垃圾治理与管理方面的突出问题，提高建筑垃圾减量化、资源化、无害化和安全处置水平，实现建筑垃圾处理工作经济效益、生态效益和社会效益的同步推进，促进循环经济和可持续发展。</w:t>
      </w:r>
    </w:p>
    <w:p>
      <w:pPr>
        <w:pStyle w:val="4"/>
        <w:pageBreakBefore w:val="0"/>
        <w:widowControl w:val="0"/>
        <w:kinsoku/>
        <w:wordWrap/>
        <w:overflowPunct/>
        <w:topLinePunct w:val="0"/>
        <w:autoSpaceDE/>
        <w:autoSpaceDN/>
        <w:bidi w:val="0"/>
        <w:adjustRightInd/>
        <w:snapToGrid/>
        <w:spacing w:line="560" w:lineRule="exact"/>
        <w:textAlignment w:val="auto"/>
        <w:rPr>
          <w:rFonts w:hint="default" w:ascii="方正楷体_GBK" w:hAnsi="方正楷体_GBK" w:eastAsia="方正楷体_GBK" w:cs="方正楷体_GBK"/>
          <w:lang w:val="en-US" w:eastAsia="zh-CN"/>
        </w:rPr>
      </w:pPr>
      <w:bookmarkStart w:id="5" w:name="_Toc16296"/>
      <w:r>
        <w:rPr>
          <w:rFonts w:hint="default" w:ascii="方正楷体_GBK" w:hAnsi="方正楷体_GBK" w:eastAsia="方正楷体_GBK" w:cs="方正楷体_GBK"/>
          <w:lang w:val="en-US" w:eastAsia="zh-CN"/>
        </w:rPr>
        <w:t>第三条 规划期限、范围与人口</w:t>
      </w:r>
      <w:bookmarkEnd w:id="5"/>
    </w:p>
    <w:p>
      <w:pPr>
        <w:pageBreakBefore w:val="0"/>
        <w:widowControl w:val="0"/>
        <w:tabs>
          <w:tab w:val="left" w:pos="3232"/>
        </w:tabs>
        <w:kinsoku/>
        <w:wordWrap/>
        <w:overflowPunct/>
        <w:topLinePunct w:val="0"/>
        <w:bidi w:val="0"/>
        <w:snapToGrid/>
        <w:ind w:firstLine="640" w:firstLineChars="200"/>
        <w:textAlignment w:val="auto"/>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w:t>
      </w:r>
      <w:r>
        <w:rPr>
          <w:rFonts w:hint="default" w:ascii="Times New Roman" w:hAnsi="Times New Roman" w:eastAsia="方正仿宋_GBK" w:cs="Times New Roman"/>
          <w:color w:val="auto"/>
          <w:kern w:val="2"/>
          <w:sz w:val="32"/>
          <w:szCs w:val="40"/>
          <w:lang w:val="en-US" w:eastAsia="zh-CN" w:bidi="ar-SA"/>
        </w:rPr>
        <w:t>规划期限：</w:t>
      </w:r>
      <w:r>
        <w:rPr>
          <w:rFonts w:hint="eastAsia" w:ascii="Times New Roman" w:hAnsi="Times New Roman" w:eastAsia="方正仿宋_GBK" w:cs="Times New Roman"/>
          <w:color w:val="auto"/>
          <w:kern w:val="2"/>
          <w:sz w:val="32"/>
          <w:szCs w:val="40"/>
          <w:lang w:val="en-US" w:eastAsia="zh-CN" w:bidi="ar-SA"/>
        </w:rPr>
        <w:t>2024</w:t>
      </w:r>
      <w:r>
        <w:rPr>
          <w:rFonts w:hint="eastAsia" w:cs="Times New Roman"/>
          <w:color w:val="auto"/>
          <w:kern w:val="2"/>
          <w:sz w:val="32"/>
          <w:szCs w:val="40"/>
          <w:lang w:val="en-US" w:eastAsia="zh-CN" w:bidi="ar-SA"/>
        </w:rPr>
        <w:t>—</w:t>
      </w:r>
      <w:r>
        <w:rPr>
          <w:rFonts w:hint="eastAsia" w:ascii="Times New Roman" w:hAnsi="Times New Roman" w:eastAsia="方正仿宋_GBK" w:cs="Times New Roman"/>
          <w:color w:val="auto"/>
          <w:kern w:val="2"/>
          <w:sz w:val="32"/>
          <w:szCs w:val="40"/>
          <w:lang w:val="en-US" w:eastAsia="zh-CN" w:bidi="ar-SA"/>
        </w:rPr>
        <w:t>2035年，近期为2024</w:t>
      </w:r>
      <w:r>
        <w:rPr>
          <w:rFonts w:hint="eastAsia" w:cs="Times New Roman"/>
          <w:color w:val="auto"/>
          <w:kern w:val="2"/>
          <w:sz w:val="32"/>
          <w:szCs w:val="40"/>
          <w:lang w:val="en-US" w:eastAsia="zh-CN" w:bidi="ar-SA"/>
        </w:rPr>
        <w:t>—</w:t>
      </w:r>
      <w:r>
        <w:rPr>
          <w:rFonts w:hint="eastAsia" w:ascii="Times New Roman" w:hAnsi="Times New Roman" w:eastAsia="方正仿宋_GBK" w:cs="Times New Roman"/>
          <w:color w:val="auto"/>
          <w:kern w:val="2"/>
          <w:sz w:val="32"/>
          <w:szCs w:val="40"/>
          <w:lang w:val="en-US" w:eastAsia="zh-CN" w:bidi="ar-SA"/>
        </w:rPr>
        <w:t>2027年，远期为2028</w:t>
      </w:r>
      <w:r>
        <w:rPr>
          <w:rFonts w:hint="eastAsia" w:cs="Times New Roman"/>
          <w:color w:val="auto"/>
          <w:kern w:val="2"/>
          <w:sz w:val="32"/>
          <w:szCs w:val="40"/>
          <w:lang w:val="en-US" w:eastAsia="zh-CN" w:bidi="ar-SA"/>
        </w:rPr>
        <w:t>—</w:t>
      </w:r>
      <w:r>
        <w:rPr>
          <w:rFonts w:hint="eastAsia" w:ascii="Times New Roman" w:hAnsi="Times New Roman" w:eastAsia="方正仿宋_GBK" w:cs="Times New Roman"/>
          <w:color w:val="auto"/>
          <w:kern w:val="2"/>
          <w:sz w:val="32"/>
          <w:szCs w:val="40"/>
          <w:lang w:val="en-US" w:eastAsia="zh-CN" w:bidi="ar-SA"/>
        </w:rPr>
        <w:t>2035年。基准年为2023年。</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w:t>
      </w:r>
      <w:r>
        <w:rPr>
          <w:rFonts w:hint="default" w:ascii="Times New Roman" w:hAnsi="Times New Roman" w:eastAsia="方正仿宋_GBK" w:cs="Times New Roman"/>
          <w:color w:val="auto"/>
          <w:kern w:val="2"/>
          <w:sz w:val="32"/>
          <w:szCs w:val="40"/>
          <w:lang w:val="en-US" w:eastAsia="zh-CN" w:bidi="ar-SA"/>
        </w:rPr>
        <w:t>规划范围：本次规划分为一般规划范围和重点规划范围。一般规划范围为重庆市垫江县县域面积1518平方公里，辖区26个乡镇（街道）、301个村（社区）。重点规划范围为垫江县中心城区，包括桂溪街道、桂阳街道、长龙镇的全部范围，还涉及太平镇、黄沙镇、新民镇的部分区域，规划面积35平方公里。</w:t>
      </w:r>
    </w:p>
    <w:p>
      <w:pPr>
        <w:keepNext w:val="0"/>
        <w:keepLines w:val="0"/>
        <w:pageBreakBefore w:val="0"/>
        <w:widowControl w:val="0"/>
        <w:tabs>
          <w:tab w:val="left" w:pos="1815"/>
        </w:tabs>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w:t>
      </w:r>
      <w:r>
        <w:rPr>
          <w:rFonts w:hint="default" w:ascii="Times New Roman" w:hAnsi="Times New Roman" w:eastAsia="方正仿宋_GBK" w:cs="Times New Roman"/>
          <w:color w:val="auto"/>
          <w:kern w:val="2"/>
          <w:sz w:val="32"/>
          <w:szCs w:val="40"/>
          <w:lang w:val="en-US" w:eastAsia="zh-CN" w:bidi="ar-SA"/>
        </w:rPr>
        <w:t>规划</w:t>
      </w:r>
      <w:r>
        <w:rPr>
          <w:rFonts w:hint="eastAsia" w:ascii="Times New Roman" w:hAnsi="Times New Roman" w:eastAsia="方正仿宋_GBK" w:cs="Times New Roman"/>
          <w:color w:val="auto"/>
          <w:kern w:val="2"/>
          <w:sz w:val="32"/>
          <w:szCs w:val="40"/>
          <w:lang w:val="en-US" w:eastAsia="zh-CN" w:bidi="ar-SA"/>
        </w:rPr>
        <w:t>常住</w:t>
      </w:r>
      <w:r>
        <w:rPr>
          <w:rFonts w:hint="default" w:ascii="Times New Roman" w:hAnsi="Times New Roman" w:eastAsia="方正仿宋_GBK" w:cs="Times New Roman"/>
          <w:color w:val="auto"/>
          <w:kern w:val="2"/>
          <w:sz w:val="32"/>
          <w:szCs w:val="40"/>
          <w:lang w:val="en-US" w:eastAsia="zh-CN" w:bidi="ar-SA"/>
        </w:rPr>
        <w:t>人口：</w:t>
      </w:r>
      <w:r>
        <w:rPr>
          <w:rFonts w:hint="eastAsia" w:ascii="Times New Roman" w:hAnsi="Times New Roman" w:eastAsia="方正仿宋_GBK" w:cs="Times New Roman"/>
          <w:color w:val="auto"/>
          <w:kern w:val="2"/>
          <w:sz w:val="32"/>
          <w:szCs w:val="40"/>
          <w:lang w:val="en-US" w:eastAsia="zh-CN" w:bidi="ar-SA"/>
        </w:rPr>
        <w:t>根据</w:t>
      </w:r>
      <w:r>
        <w:rPr>
          <w:rFonts w:hint="default" w:ascii="Times New Roman" w:hAnsi="Times New Roman" w:eastAsia="方正仿宋_GBK" w:cs="Times New Roman"/>
          <w:color w:val="auto"/>
          <w:kern w:val="2"/>
          <w:sz w:val="32"/>
          <w:szCs w:val="40"/>
          <w:lang w:val="en-US" w:eastAsia="zh-CN" w:bidi="ar-SA"/>
        </w:rPr>
        <w:t>《重庆市垫江县国土空间总体规划（2021</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2035年）》</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至2027年垫江县</w:t>
      </w:r>
      <w:r>
        <w:rPr>
          <w:rFonts w:hint="eastAsia" w:ascii="Times New Roman" w:hAnsi="Times New Roman" w:eastAsia="方正仿宋_GBK" w:cs="Times New Roman"/>
          <w:color w:val="auto"/>
          <w:kern w:val="2"/>
          <w:sz w:val="32"/>
          <w:szCs w:val="40"/>
          <w:lang w:val="en-US" w:eastAsia="zh-CN" w:bidi="ar-SA"/>
        </w:rPr>
        <w:t>规划城镇常住人口36.9</w:t>
      </w:r>
      <w:r>
        <w:rPr>
          <w:rFonts w:hint="default" w:ascii="Times New Roman" w:hAnsi="Times New Roman" w:eastAsia="方正仿宋_GBK" w:cs="Times New Roman"/>
          <w:color w:val="auto"/>
          <w:kern w:val="2"/>
          <w:sz w:val="32"/>
          <w:szCs w:val="40"/>
          <w:lang w:val="en-US" w:eastAsia="zh-CN" w:bidi="ar-SA"/>
        </w:rPr>
        <w:t>万人，</w:t>
      </w:r>
      <w:r>
        <w:rPr>
          <w:rFonts w:hint="eastAsia" w:ascii="Times New Roman" w:hAnsi="Times New Roman" w:eastAsia="方正仿宋_GBK" w:cs="Times New Roman"/>
          <w:color w:val="auto"/>
          <w:kern w:val="2"/>
          <w:sz w:val="32"/>
          <w:szCs w:val="40"/>
          <w:lang w:val="en-US" w:eastAsia="zh-CN" w:bidi="ar-SA"/>
        </w:rPr>
        <w:t>城镇化率达60.0%，</w:t>
      </w:r>
      <w:r>
        <w:rPr>
          <w:rFonts w:hint="default" w:ascii="Times New Roman" w:hAnsi="Times New Roman" w:eastAsia="方正仿宋_GBK" w:cs="Times New Roman"/>
          <w:color w:val="auto"/>
          <w:kern w:val="2"/>
          <w:sz w:val="32"/>
          <w:szCs w:val="40"/>
          <w:lang w:val="en-US" w:eastAsia="zh-CN" w:bidi="ar-SA"/>
        </w:rPr>
        <w:t>展望至2035年规划</w:t>
      </w:r>
      <w:r>
        <w:rPr>
          <w:rFonts w:hint="eastAsia" w:ascii="Times New Roman" w:hAnsi="Times New Roman" w:eastAsia="方正仿宋_GBK" w:cs="Times New Roman"/>
          <w:color w:val="auto"/>
          <w:kern w:val="2"/>
          <w:sz w:val="32"/>
          <w:szCs w:val="40"/>
          <w:lang w:val="en-US" w:eastAsia="zh-CN" w:bidi="ar-SA"/>
        </w:rPr>
        <w:t>城镇常住</w:t>
      </w:r>
      <w:r>
        <w:rPr>
          <w:rFonts w:hint="default" w:ascii="Times New Roman" w:hAnsi="Times New Roman" w:eastAsia="方正仿宋_GBK" w:cs="Times New Roman"/>
          <w:color w:val="auto"/>
          <w:kern w:val="2"/>
          <w:sz w:val="32"/>
          <w:szCs w:val="40"/>
          <w:lang w:val="en-US" w:eastAsia="zh-CN" w:bidi="ar-SA"/>
        </w:rPr>
        <w:t>人口</w:t>
      </w:r>
      <w:r>
        <w:rPr>
          <w:rFonts w:hint="eastAsia" w:ascii="Times New Roman" w:hAnsi="Times New Roman" w:eastAsia="方正仿宋_GBK" w:cs="Times New Roman"/>
          <w:color w:val="auto"/>
          <w:kern w:val="2"/>
          <w:sz w:val="32"/>
          <w:szCs w:val="40"/>
          <w:lang w:val="en-US" w:eastAsia="zh-CN" w:bidi="ar-SA"/>
        </w:rPr>
        <w:t>41.0</w:t>
      </w:r>
      <w:r>
        <w:rPr>
          <w:rFonts w:hint="default" w:ascii="Times New Roman" w:hAnsi="Times New Roman" w:eastAsia="方正仿宋_GBK" w:cs="Times New Roman"/>
          <w:color w:val="auto"/>
          <w:kern w:val="2"/>
          <w:sz w:val="32"/>
          <w:szCs w:val="40"/>
          <w:lang w:val="en-US" w:eastAsia="zh-CN" w:bidi="ar-SA"/>
        </w:rPr>
        <w:t>万人</w:t>
      </w:r>
      <w:r>
        <w:rPr>
          <w:rFonts w:hint="eastAsia" w:ascii="Times New Roman" w:hAnsi="Times New Roman" w:eastAsia="方正仿宋_GBK" w:cs="Times New Roman"/>
          <w:color w:val="auto"/>
          <w:kern w:val="2"/>
          <w:sz w:val="32"/>
          <w:szCs w:val="40"/>
          <w:lang w:val="en-US" w:eastAsia="zh-CN" w:bidi="ar-SA"/>
        </w:rPr>
        <w:t>，城镇化率达70.9%</w:t>
      </w:r>
      <w:r>
        <w:rPr>
          <w:rFonts w:hint="default" w:ascii="Times New Roman" w:hAnsi="Times New Roman" w:eastAsia="方正仿宋_GBK" w:cs="Times New Roman"/>
          <w:color w:val="auto"/>
          <w:kern w:val="2"/>
          <w:sz w:val="32"/>
          <w:szCs w:val="40"/>
          <w:lang w:val="en-US" w:eastAsia="zh-CN" w:bidi="ar-SA"/>
        </w:rPr>
        <w:t>。</w:t>
      </w:r>
    </w:p>
    <w:p>
      <w:pPr>
        <w:pStyle w:val="4"/>
        <w:pageBreakBefore w:val="0"/>
        <w:widowControl w:val="0"/>
        <w:kinsoku/>
        <w:wordWrap/>
        <w:overflowPunct/>
        <w:topLinePunct w:val="0"/>
        <w:autoSpaceDE/>
        <w:autoSpaceDN/>
        <w:bidi w:val="0"/>
        <w:adjustRightInd/>
        <w:snapToGrid/>
        <w:spacing w:line="560" w:lineRule="exact"/>
        <w:textAlignment w:val="auto"/>
        <w:rPr>
          <w:rFonts w:hint="default" w:ascii="方正楷体_GBK" w:hAnsi="方正楷体_GBK" w:eastAsia="方正楷体_GBK" w:cs="方正楷体_GBK"/>
          <w:lang w:val="en-US" w:eastAsia="zh-CN"/>
        </w:rPr>
      </w:pPr>
      <w:bookmarkStart w:id="6" w:name="_Toc13372"/>
      <w:r>
        <w:rPr>
          <w:rFonts w:hint="default" w:ascii="方正楷体_GBK" w:hAnsi="方正楷体_GBK" w:eastAsia="方正楷体_GBK" w:cs="方正楷体_GBK"/>
          <w:lang w:val="en-US" w:eastAsia="zh-CN"/>
        </w:rPr>
        <w:t>第四条 规划依据</w:t>
      </w:r>
      <w:bookmarkEnd w:id="6"/>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（一）法律法规</w:t>
      </w:r>
      <w:r>
        <w:rPr>
          <w:rFonts w:hint="default" w:ascii="Times New Roman" w:hAnsi="Times New Roman" w:eastAsia="方正仿宋_GBK" w:cs="Times New Roman"/>
          <w:color w:val="auto"/>
          <w:kern w:val="2"/>
          <w:sz w:val="32"/>
          <w:szCs w:val="40"/>
          <w:lang w:val="en-US" w:eastAsia="zh-CN" w:bidi="ar-SA"/>
        </w:rPr>
        <w:tab/>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《中华人民共和国城乡规划法》</w:t>
      </w:r>
      <w:r>
        <w:rPr>
          <w:rFonts w:hint="default" w:ascii="Times New Roman" w:hAnsi="Times New Roman" w:eastAsia="方正仿宋_GBK" w:cs="Times New Roman"/>
          <w:color w:val="auto"/>
          <w:kern w:val="2"/>
          <w:sz w:val="32"/>
          <w:szCs w:val="40"/>
          <w:lang w:val="en-US" w:eastAsia="zh-CN" w:bidi="ar-SA"/>
        </w:rPr>
        <w:t>（2019</w:t>
      </w:r>
      <w:r>
        <w:rPr>
          <w:rFonts w:hint="eastAsia" w:ascii="Times New Roman" w:hAnsi="Times New Roman" w:eastAsia="方正仿宋_GBK" w:cs="Times New Roman"/>
          <w:color w:val="auto"/>
          <w:kern w:val="2"/>
          <w:sz w:val="32"/>
          <w:szCs w:val="40"/>
          <w:lang w:val="en-US" w:eastAsia="zh-CN" w:bidi="ar-SA"/>
        </w:rPr>
        <w:t>）</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《中华人民共和国环境保护法》</w:t>
      </w:r>
      <w:r>
        <w:rPr>
          <w:rFonts w:hint="default" w:ascii="Times New Roman" w:hAnsi="Times New Roman" w:eastAsia="方正仿宋_GBK" w:cs="Times New Roman"/>
          <w:color w:val="auto"/>
          <w:kern w:val="2"/>
          <w:sz w:val="32"/>
          <w:szCs w:val="40"/>
          <w:lang w:val="en-US" w:eastAsia="zh-CN" w:bidi="ar-SA"/>
        </w:rPr>
        <w:t>（2015</w:t>
      </w:r>
      <w:r>
        <w:rPr>
          <w:rFonts w:hint="eastAsia" w:ascii="Times New Roman" w:hAnsi="Times New Roman" w:eastAsia="方正仿宋_GBK" w:cs="Times New Roman"/>
          <w:color w:val="auto"/>
          <w:kern w:val="2"/>
          <w:sz w:val="32"/>
          <w:szCs w:val="40"/>
          <w:lang w:val="en-US" w:eastAsia="zh-CN" w:bidi="ar-SA"/>
        </w:rPr>
        <w:t>）</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《中华人民共和国固体废物污染环境防治法》</w:t>
      </w:r>
      <w:r>
        <w:rPr>
          <w:rFonts w:hint="default" w:ascii="Times New Roman" w:hAnsi="Times New Roman" w:eastAsia="方正仿宋_GBK" w:cs="Times New Roman"/>
          <w:color w:val="auto"/>
          <w:kern w:val="2"/>
          <w:sz w:val="32"/>
          <w:szCs w:val="40"/>
          <w:lang w:val="en-US" w:eastAsia="zh-CN" w:bidi="ar-SA"/>
        </w:rPr>
        <w:t>（2020</w:t>
      </w:r>
      <w:r>
        <w:rPr>
          <w:rFonts w:hint="eastAsia" w:ascii="Times New Roman" w:hAnsi="Times New Roman" w:eastAsia="方正仿宋_GBK" w:cs="Times New Roman"/>
          <w:color w:val="auto"/>
          <w:kern w:val="2"/>
          <w:sz w:val="32"/>
          <w:szCs w:val="40"/>
          <w:lang w:val="en-US" w:eastAsia="zh-CN" w:bidi="ar-SA"/>
        </w:rPr>
        <w:t>）</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《城市规划编制办法》</w:t>
      </w:r>
      <w:r>
        <w:rPr>
          <w:rFonts w:hint="default" w:ascii="Times New Roman" w:hAnsi="Times New Roman" w:eastAsia="方正仿宋_GBK" w:cs="Times New Roman"/>
          <w:color w:val="auto"/>
          <w:kern w:val="2"/>
          <w:sz w:val="32"/>
          <w:szCs w:val="40"/>
          <w:lang w:val="en-US" w:eastAsia="zh-CN" w:bidi="ar-SA"/>
        </w:rPr>
        <w:t>（建设部令〔2005</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139</w:t>
      </w:r>
      <w:r>
        <w:rPr>
          <w:rFonts w:hint="eastAsia" w:ascii="Times New Roman" w:hAnsi="Times New Roman" w:eastAsia="方正仿宋_GBK" w:cs="Times New Roman"/>
          <w:color w:val="auto"/>
          <w:kern w:val="2"/>
          <w:sz w:val="32"/>
          <w:szCs w:val="40"/>
          <w:lang w:val="en-US" w:eastAsia="zh-CN" w:bidi="ar-SA"/>
        </w:rPr>
        <w:t>号）</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《城市建筑垃圾管理规定》</w:t>
      </w:r>
      <w:r>
        <w:rPr>
          <w:rFonts w:hint="default" w:ascii="Times New Roman" w:hAnsi="Times New Roman" w:eastAsia="方正仿宋_GBK" w:cs="Times New Roman"/>
          <w:color w:val="auto"/>
          <w:kern w:val="2"/>
          <w:sz w:val="32"/>
          <w:szCs w:val="40"/>
          <w:lang w:val="en-US" w:eastAsia="zh-CN" w:bidi="ar-SA"/>
        </w:rPr>
        <w:t>（建设部令〔2005</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139</w:t>
      </w:r>
      <w:r>
        <w:rPr>
          <w:rFonts w:hint="eastAsia" w:ascii="Times New Roman" w:hAnsi="Times New Roman" w:eastAsia="方正仿宋_GBK" w:cs="Times New Roman"/>
          <w:color w:val="auto"/>
          <w:kern w:val="2"/>
          <w:sz w:val="32"/>
          <w:szCs w:val="40"/>
          <w:lang w:val="en-US" w:eastAsia="zh-CN" w:bidi="ar-SA"/>
        </w:rPr>
        <w:t>号）</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《城市市容和环境保护管理条例》</w:t>
      </w:r>
      <w:r>
        <w:rPr>
          <w:rFonts w:hint="default" w:ascii="Times New Roman" w:hAnsi="Times New Roman" w:eastAsia="方正仿宋_GBK" w:cs="Times New Roman"/>
          <w:color w:val="auto"/>
          <w:kern w:val="2"/>
          <w:sz w:val="32"/>
          <w:szCs w:val="40"/>
          <w:lang w:val="en-US" w:eastAsia="zh-CN" w:bidi="ar-SA"/>
        </w:rPr>
        <w:t>（国务院令第101</w:t>
      </w:r>
      <w:r>
        <w:rPr>
          <w:rFonts w:hint="eastAsia" w:ascii="Times New Roman" w:hAnsi="Times New Roman" w:eastAsia="方正仿宋_GBK" w:cs="Times New Roman"/>
          <w:color w:val="auto"/>
          <w:kern w:val="2"/>
          <w:sz w:val="32"/>
          <w:szCs w:val="40"/>
          <w:lang w:val="en-US" w:eastAsia="zh-CN" w:bidi="ar-SA"/>
        </w:rPr>
        <w:t>号）</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（二）</w:t>
      </w:r>
      <w:r>
        <w:rPr>
          <w:rFonts w:hint="eastAsia" w:ascii="Times New Roman" w:hAnsi="Times New Roman" w:eastAsia="方正仿宋_GBK" w:cs="Times New Roman"/>
          <w:color w:val="auto"/>
          <w:kern w:val="2"/>
          <w:sz w:val="32"/>
          <w:szCs w:val="40"/>
          <w:lang w:val="en-US" w:eastAsia="zh-CN" w:bidi="ar-SA"/>
        </w:rPr>
        <w:t>政策性文件</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《中共中央国务院关于进一步加强城市规划建设管理工作的若干意见》（中发〔</w:t>
      </w:r>
      <w:r>
        <w:rPr>
          <w:rFonts w:hint="default" w:ascii="Times New Roman" w:hAnsi="Times New Roman" w:eastAsia="方正仿宋_GBK" w:cs="Times New Roman"/>
          <w:color w:val="auto"/>
          <w:kern w:val="2"/>
          <w:sz w:val="32"/>
          <w:szCs w:val="40"/>
          <w:lang w:val="en-US" w:eastAsia="zh-CN" w:bidi="ar-SA"/>
        </w:rPr>
        <w:t>2016</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6</w:t>
      </w:r>
      <w:r>
        <w:rPr>
          <w:rFonts w:hint="eastAsia" w:ascii="Times New Roman" w:hAnsi="Times New Roman" w:eastAsia="方正仿宋_GBK" w:cs="Times New Roman"/>
          <w:color w:val="auto"/>
          <w:kern w:val="2"/>
          <w:sz w:val="32"/>
          <w:szCs w:val="40"/>
          <w:lang w:val="en-US" w:eastAsia="zh-CN" w:bidi="ar-SA"/>
        </w:rPr>
        <w:t>号）</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《住房城乡建设部关于开展建筑垃圾治理试点工作的通知》（建城函〔</w:t>
      </w:r>
      <w:r>
        <w:rPr>
          <w:rFonts w:hint="default" w:ascii="Times New Roman" w:hAnsi="Times New Roman" w:eastAsia="方正仿宋_GBK" w:cs="Times New Roman"/>
          <w:color w:val="auto"/>
          <w:kern w:val="2"/>
          <w:sz w:val="32"/>
          <w:szCs w:val="40"/>
          <w:lang w:val="en-US" w:eastAsia="zh-CN" w:bidi="ar-SA"/>
        </w:rPr>
        <w:t>2018</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65</w:t>
      </w:r>
      <w:r>
        <w:rPr>
          <w:rFonts w:hint="eastAsia" w:ascii="Times New Roman" w:hAnsi="Times New Roman" w:eastAsia="方正仿宋_GBK" w:cs="Times New Roman"/>
          <w:color w:val="auto"/>
          <w:kern w:val="2"/>
          <w:sz w:val="32"/>
          <w:szCs w:val="40"/>
          <w:lang w:val="en-US" w:eastAsia="zh-CN" w:bidi="ar-SA"/>
        </w:rPr>
        <w:t>号）</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《住房城乡建设部关于推进建筑垃圾减量化的指导意见》（建质〔</w:t>
      </w:r>
      <w:r>
        <w:rPr>
          <w:rFonts w:hint="default" w:ascii="Times New Roman" w:hAnsi="Times New Roman" w:eastAsia="方正仿宋_GBK" w:cs="Times New Roman"/>
          <w:color w:val="auto"/>
          <w:kern w:val="2"/>
          <w:sz w:val="32"/>
          <w:szCs w:val="40"/>
          <w:lang w:val="en-US" w:eastAsia="zh-CN" w:bidi="ar-SA"/>
        </w:rPr>
        <w:t>2020</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46</w:t>
      </w:r>
      <w:r>
        <w:rPr>
          <w:rFonts w:hint="eastAsia" w:ascii="Times New Roman" w:hAnsi="Times New Roman" w:eastAsia="方正仿宋_GBK" w:cs="Times New Roman"/>
          <w:color w:val="auto"/>
          <w:kern w:val="2"/>
          <w:sz w:val="32"/>
          <w:szCs w:val="40"/>
          <w:lang w:val="en-US" w:eastAsia="zh-CN" w:bidi="ar-SA"/>
        </w:rPr>
        <w:t>号）</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《关</w:t>
      </w:r>
      <w:r>
        <w:rPr>
          <w:rFonts w:hint="eastAsia" w:ascii="方正仿宋_GBK" w:hAnsi="方正仿宋_GBK" w:eastAsia="方正仿宋_GBK" w:cs="方正仿宋_GBK"/>
          <w:color w:val="auto"/>
          <w:kern w:val="2"/>
          <w:sz w:val="32"/>
          <w:szCs w:val="40"/>
          <w:lang w:val="en-US" w:eastAsia="zh-CN" w:bidi="ar-SA"/>
        </w:rPr>
        <w:t>于“十四五”大</w:t>
      </w:r>
      <w:r>
        <w:rPr>
          <w:rFonts w:hint="eastAsia" w:ascii="Times New Roman" w:hAnsi="Times New Roman" w:eastAsia="方正仿宋_GBK" w:cs="Times New Roman"/>
          <w:color w:val="auto"/>
          <w:kern w:val="2"/>
          <w:sz w:val="32"/>
          <w:szCs w:val="40"/>
          <w:lang w:val="en-US" w:eastAsia="zh-CN" w:bidi="ar-SA"/>
        </w:rPr>
        <w:t>宗固体废弃物综合利用的指导意见》（发改环资〔</w:t>
      </w:r>
      <w:r>
        <w:rPr>
          <w:rFonts w:hint="default" w:ascii="Times New Roman" w:hAnsi="Times New Roman" w:eastAsia="方正仿宋_GBK" w:cs="Times New Roman"/>
          <w:color w:val="auto"/>
          <w:kern w:val="2"/>
          <w:sz w:val="32"/>
          <w:szCs w:val="40"/>
          <w:lang w:val="en-US" w:eastAsia="zh-CN" w:bidi="ar-SA"/>
        </w:rPr>
        <w:t>2021</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381</w:t>
      </w:r>
      <w:r>
        <w:rPr>
          <w:rFonts w:hint="eastAsia" w:ascii="Times New Roman" w:hAnsi="Times New Roman" w:eastAsia="方正仿宋_GBK" w:cs="Times New Roman"/>
          <w:color w:val="auto"/>
          <w:kern w:val="2"/>
          <w:sz w:val="32"/>
          <w:szCs w:val="40"/>
          <w:lang w:val="en-US" w:eastAsia="zh-CN" w:bidi="ar-SA"/>
        </w:rPr>
        <w:t>号）</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《建筑垃圾处理技术标准》（CJJ/T134-2019）</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（三）相关规划及其他</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《重庆市生态环境</w:t>
      </w:r>
      <w:r>
        <w:rPr>
          <w:rFonts w:hint="eastAsia" w:ascii="方正仿宋_GBK" w:hAnsi="方正仿宋_GBK" w:eastAsia="方正仿宋_GBK" w:cs="方正仿宋_GBK"/>
          <w:color w:val="auto"/>
          <w:kern w:val="2"/>
          <w:sz w:val="32"/>
          <w:szCs w:val="40"/>
          <w:lang w:val="en-US" w:eastAsia="zh-CN" w:bidi="ar-SA"/>
        </w:rPr>
        <w:t>保护“十四五”</w:t>
      </w:r>
      <w:r>
        <w:rPr>
          <w:rFonts w:hint="eastAsia" w:ascii="Times New Roman" w:hAnsi="Times New Roman" w:eastAsia="方正仿宋_GBK" w:cs="Times New Roman"/>
          <w:color w:val="auto"/>
          <w:kern w:val="2"/>
          <w:sz w:val="32"/>
          <w:szCs w:val="40"/>
          <w:lang w:val="en-US" w:eastAsia="zh-CN" w:bidi="ar-SA"/>
        </w:rPr>
        <w:t>规划（2021</w:t>
      </w:r>
      <w:r>
        <w:rPr>
          <w:rFonts w:hint="eastAsia" w:cs="Times New Roman"/>
          <w:color w:val="auto"/>
          <w:kern w:val="2"/>
          <w:sz w:val="32"/>
          <w:szCs w:val="40"/>
          <w:lang w:val="en-US" w:eastAsia="zh-CN" w:bidi="ar-SA"/>
        </w:rPr>
        <w:t>—</w:t>
      </w:r>
      <w:r>
        <w:rPr>
          <w:rFonts w:hint="eastAsia" w:ascii="Times New Roman" w:hAnsi="Times New Roman" w:eastAsia="方正仿宋_GBK" w:cs="Times New Roman"/>
          <w:color w:val="auto"/>
          <w:kern w:val="2"/>
          <w:sz w:val="32"/>
          <w:szCs w:val="40"/>
          <w:lang w:val="en-US" w:eastAsia="zh-CN" w:bidi="ar-SA"/>
        </w:rPr>
        <w:t>2025年）》（2022年）</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《重</w:t>
      </w:r>
      <w:r>
        <w:rPr>
          <w:rFonts w:hint="eastAsia" w:ascii="方正仿宋_GBK" w:hAnsi="方正仿宋_GBK" w:eastAsia="方正仿宋_GBK" w:cs="方正仿宋_GBK"/>
          <w:color w:val="auto"/>
          <w:kern w:val="2"/>
          <w:sz w:val="32"/>
          <w:szCs w:val="40"/>
          <w:lang w:val="en-US" w:eastAsia="zh-CN" w:bidi="ar-SA"/>
        </w:rPr>
        <w:t>庆市“十四五”时期“无废城市”建</w:t>
      </w:r>
      <w:r>
        <w:rPr>
          <w:rFonts w:hint="eastAsia" w:ascii="Times New Roman" w:hAnsi="Times New Roman" w:eastAsia="方正仿宋_GBK" w:cs="Times New Roman"/>
          <w:color w:val="auto"/>
          <w:kern w:val="2"/>
          <w:sz w:val="32"/>
          <w:szCs w:val="40"/>
          <w:lang w:val="en-US" w:eastAsia="zh-CN" w:bidi="ar-SA"/>
        </w:rPr>
        <w:t>设实施方案》（</w:t>
      </w:r>
      <w:r>
        <w:rPr>
          <w:rFonts w:hint="default" w:ascii="Times New Roman" w:hAnsi="Times New Roman" w:eastAsia="方正仿宋_GBK" w:cs="Times New Roman"/>
          <w:color w:val="auto"/>
          <w:kern w:val="2"/>
          <w:sz w:val="32"/>
          <w:szCs w:val="40"/>
          <w:lang w:val="en-US" w:eastAsia="zh-CN" w:bidi="ar-SA"/>
        </w:rPr>
        <w:t>2023</w:t>
      </w:r>
      <w:r>
        <w:rPr>
          <w:rFonts w:hint="eastAsia" w:ascii="Times New Roman" w:hAnsi="Times New Roman" w:eastAsia="方正仿宋_GBK" w:cs="Times New Roman"/>
          <w:color w:val="auto"/>
          <w:kern w:val="2"/>
          <w:sz w:val="32"/>
          <w:szCs w:val="40"/>
          <w:lang w:val="en-US" w:eastAsia="zh-CN" w:bidi="ar-SA"/>
        </w:rPr>
        <w:t>）</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《重庆市城乡环境卫生</w:t>
      </w:r>
      <w:r>
        <w:rPr>
          <w:rFonts w:hint="eastAsia" w:ascii="方正仿宋_GBK" w:hAnsi="方正仿宋_GBK" w:eastAsia="方正仿宋_GBK" w:cs="方正仿宋_GBK"/>
          <w:color w:val="auto"/>
          <w:kern w:val="2"/>
          <w:sz w:val="32"/>
          <w:szCs w:val="40"/>
          <w:lang w:val="en-US" w:eastAsia="zh-CN" w:bidi="ar-SA"/>
        </w:rPr>
        <w:t>发展“十四五”</w:t>
      </w:r>
      <w:r>
        <w:rPr>
          <w:rFonts w:hint="eastAsia" w:ascii="Times New Roman" w:hAnsi="Times New Roman" w:eastAsia="方正仿宋_GBK" w:cs="Times New Roman"/>
          <w:color w:val="auto"/>
          <w:kern w:val="2"/>
          <w:sz w:val="32"/>
          <w:szCs w:val="40"/>
          <w:lang w:val="en-US" w:eastAsia="zh-CN" w:bidi="ar-SA"/>
        </w:rPr>
        <w:t>规划（</w:t>
      </w:r>
      <w:r>
        <w:rPr>
          <w:rFonts w:hint="default" w:ascii="Times New Roman" w:hAnsi="Times New Roman" w:eastAsia="方正仿宋_GBK" w:cs="Times New Roman"/>
          <w:color w:val="auto"/>
          <w:kern w:val="2"/>
          <w:sz w:val="32"/>
          <w:szCs w:val="40"/>
          <w:lang w:val="en-US" w:eastAsia="zh-CN" w:bidi="ar-SA"/>
        </w:rPr>
        <w:t>2021</w:t>
      </w:r>
      <w:r>
        <w:rPr>
          <w:rFonts w:hint="eastAsia"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2025</w:t>
      </w:r>
      <w:r>
        <w:rPr>
          <w:rFonts w:hint="eastAsia" w:ascii="Times New Roman" w:hAnsi="Times New Roman" w:eastAsia="方正仿宋_GBK" w:cs="Times New Roman"/>
          <w:color w:val="auto"/>
          <w:kern w:val="2"/>
          <w:sz w:val="32"/>
          <w:szCs w:val="40"/>
          <w:lang w:val="en-US" w:eastAsia="zh-CN" w:bidi="ar-SA"/>
        </w:rPr>
        <w:t>年）》（</w:t>
      </w:r>
      <w:r>
        <w:rPr>
          <w:rFonts w:hint="default" w:ascii="Times New Roman" w:hAnsi="Times New Roman" w:eastAsia="方正仿宋_GBK" w:cs="Times New Roman"/>
          <w:color w:val="auto"/>
          <w:kern w:val="2"/>
          <w:sz w:val="32"/>
          <w:szCs w:val="40"/>
          <w:lang w:val="en-US" w:eastAsia="zh-CN" w:bidi="ar-SA"/>
        </w:rPr>
        <w:t>2022</w:t>
      </w:r>
      <w:r>
        <w:rPr>
          <w:rFonts w:hint="eastAsia" w:ascii="Times New Roman" w:hAnsi="Times New Roman" w:eastAsia="方正仿宋_GBK" w:cs="Times New Roman"/>
          <w:color w:val="auto"/>
          <w:kern w:val="2"/>
          <w:sz w:val="32"/>
          <w:szCs w:val="40"/>
          <w:lang w:val="en-US" w:eastAsia="zh-CN" w:bidi="ar-SA"/>
        </w:rPr>
        <w:t>）</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《重庆市中心城区建筑垃圾专项治理规划（2021</w:t>
      </w:r>
      <w:r>
        <w:rPr>
          <w:rFonts w:hint="eastAsia" w:cs="Times New Roman"/>
          <w:color w:val="auto"/>
          <w:kern w:val="2"/>
          <w:sz w:val="32"/>
          <w:szCs w:val="40"/>
          <w:lang w:val="en-US" w:eastAsia="zh-CN" w:bidi="ar-SA"/>
        </w:rPr>
        <w:t>—</w:t>
      </w:r>
      <w:r>
        <w:rPr>
          <w:rFonts w:hint="eastAsia" w:ascii="Times New Roman" w:hAnsi="Times New Roman" w:eastAsia="方正仿宋_GBK" w:cs="Times New Roman"/>
          <w:color w:val="auto"/>
          <w:kern w:val="2"/>
          <w:sz w:val="32"/>
          <w:szCs w:val="40"/>
          <w:lang w:val="en-US" w:eastAsia="zh-CN" w:bidi="ar-SA"/>
        </w:rPr>
        <w:t>2035年）》（</w:t>
      </w:r>
      <w:r>
        <w:rPr>
          <w:rFonts w:hint="default" w:ascii="Times New Roman" w:hAnsi="Times New Roman" w:eastAsia="方正仿宋_GBK" w:cs="Times New Roman"/>
          <w:color w:val="auto"/>
          <w:kern w:val="2"/>
          <w:sz w:val="32"/>
          <w:szCs w:val="40"/>
          <w:lang w:val="en-US" w:eastAsia="zh-CN" w:bidi="ar-SA"/>
        </w:rPr>
        <w:t>2021</w:t>
      </w:r>
      <w:r>
        <w:rPr>
          <w:rFonts w:hint="eastAsia" w:ascii="Times New Roman" w:hAnsi="Times New Roman" w:eastAsia="方正仿宋_GBK" w:cs="Times New Roman"/>
          <w:color w:val="auto"/>
          <w:kern w:val="2"/>
          <w:sz w:val="32"/>
          <w:szCs w:val="40"/>
          <w:lang w:val="en-US" w:eastAsia="zh-CN" w:bidi="ar-SA"/>
        </w:rPr>
        <w:t>年）</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《重庆市垫江县国土空间总体规划（2021</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2035年）》</w:t>
      </w:r>
    </w:p>
    <w:p>
      <w:pPr>
        <w:pStyle w:val="4"/>
        <w:pageBreakBefore w:val="0"/>
        <w:widowControl w:val="0"/>
        <w:kinsoku/>
        <w:wordWrap/>
        <w:overflowPunct/>
        <w:topLinePunct w:val="0"/>
        <w:autoSpaceDE/>
        <w:autoSpaceDN/>
        <w:bidi w:val="0"/>
        <w:adjustRightInd/>
        <w:snapToGrid/>
        <w:spacing w:line="560" w:lineRule="exact"/>
        <w:textAlignment w:val="auto"/>
        <w:rPr>
          <w:rFonts w:hint="default" w:ascii="方正楷体_GBK" w:hAnsi="方正楷体_GBK" w:eastAsia="方正楷体_GBK" w:cs="方正楷体_GBK"/>
          <w:lang w:val="en-US" w:eastAsia="zh-CN"/>
        </w:rPr>
      </w:pPr>
      <w:bookmarkStart w:id="7" w:name="_Toc5399"/>
      <w:r>
        <w:rPr>
          <w:rFonts w:hint="default" w:ascii="方正楷体_GBK" w:hAnsi="方正楷体_GBK" w:eastAsia="方正楷体_GBK" w:cs="方正楷体_GBK"/>
          <w:lang w:val="en-US" w:eastAsia="zh-CN"/>
        </w:rPr>
        <w:t>第五条 规划原则</w:t>
      </w:r>
      <w:bookmarkEnd w:id="7"/>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（一）源头减量</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通过预防性的措施和策略，从源头上减少建筑垃圾的产生。通过优化建筑项目的规划和设计方案，减少不必要的材料使用以及鼓励使用可再生、可循环的建筑材料；提倡实施绿色施工和管理策略，包括采用先进的施工技术和设备或实施严格的施工现场管理，以减少建筑垃圾的产生。</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（二）资源利用</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建立建筑垃圾资源化利用体系，对产生的建筑垃圾进行分类处理，将可回收、可利用的废弃物进行资源化利用；鼓励企业开展建筑垃圾资源化利用技术研发和产业化应用，推动建筑垃圾资源化利用市场的发展。</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（三）科学预测</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通过建立建筑垃圾统计和监测系统，定期收集建筑垃圾的产生量、种类、处理方式等数据，并利用数学、统计学和计算机技术等手段，构建建筑垃圾产生的预测模型，为制定建筑垃圾污染环境防治策略提供科学依据。</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（四）长远规划</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制定和实施建筑垃圾污染环境防治策略时，需要考虑到未来的发展趋势和长期影响，通过制定具有前瞻性、系统性、创新性和可操作性的长远规划，可以确保防治工作的可持续性和长期效益，为垫江县的</w:t>
      </w:r>
      <w:r>
        <w:rPr>
          <w:rFonts w:hint="eastAsia" w:ascii="Times New Roman" w:hAnsi="Times New Roman" w:eastAsia="方正仿宋_GBK" w:cs="Times New Roman"/>
          <w:color w:val="auto"/>
          <w:kern w:val="2"/>
          <w:sz w:val="32"/>
          <w:szCs w:val="40"/>
          <w:lang w:val="en-US" w:eastAsia="zh-CN" w:bidi="ar-SA"/>
        </w:rPr>
        <w:t>生态环境保护</w:t>
      </w:r>
      <w:r>
        <w:rPr>
          <w:rFonts w:hint="default" w:ascii="Times New Roman" w:hAnsi="Times New Roman" w:eastAsia="方正仿宋_GBK" w:cs="Times New Roman"/>
          <w:color w:val="auto"/>
          <w:kern w:val="2"/>
          <w:sz w:val="32"/>
          <w:szCs w:val="40"/>
          <w:lang w:val="en-US" w:eastAsia="zh-CN" w:bidi="ar-SA"/>
        </w:rPr>
        <w:t>和可持续发展做出贡献。</w:t>
      </w:r>
    </w:p>
    <w:p>
      <w:pPr>
        <w:pStyle w:val="4"/>
        <w:pageBreakBefore w:val="0"/>
        <w:widowControl w:val="0"/>
        <w:kinsoku/>
        <w:wordWrap/>
        <w:overflowPunct/>
        <w:topLinePunct w:val="0"/>
        <w:autoSpaceDE/>
        <w:autoSpaceDN/>
        <w:bidi w:val="0"/>
        <w:adjustRightInd/>
        <w:snapToGrid/>
        <w:spacing w:line="560" w:lineRule="exact"/>
        <w:textAlignment w:val="auto"/>
        <w:rPr>
          <w:rFonts w:hint="eastAsia" w:ascii="方正楷体_GBK" w:hAnsi="方正楷体_GBK" w:eastAsia="方正楷体_GBK" w:cs="方正楷体_GBK"/>
          <w:lang w:val="en-US" w:eastAsia="zh-CN"/>
        </w:rPr>
      </w:pPr>
      <w:bookmarkStart w:id="8" w:name="_Toc28532"/>
      <w:r>
        <w:rPr>
          <w:rFonts w:hint="eastAsia" w:ascii="方正楷体_GBK" w:hAnsi="方正楷体_GBK" w:eastAsia="方正楷体_GBK" w:cs="方正楷体_GBK"/>
          <w:lang w:val="en-US" w:eastAsia="zh-CN"/>
        </w:rPr>
        <w:t>第六条 治理目标</w:t>
      </w:r>
      <w:bookmarkEnd w:id="8"/>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参照《</w:t>
      </w:r>
      <w:r>
        <w:rPr>
          <w:rFonts w:hint="default" w:ascii="Times New Roman" w:hAnsi="Times New Roman" w:eastAsia="方正仿宋_GBK" w:cs="Times New Roman"/>
          <w:color w:val="auto"/>
          <w:kern w:val="2"/>
          <w:sz w:val="32"/>
          <w:szCs w:val="40"/>
          <w:lang w:val="en-US" w:eastAsia="zh-CN" w:bidi="ar-SA"/>
        </w:rPr>
        <w:t>重庆市中心城区建筑垃圾治理专项规划</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2021</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2035年</w:t>
      </w:r>
      <w:r>
        <w:rPr>
          <w:rFonts w:hint="eastAsia" w:ascii="Times New Roman" w:hAnsi="Times New Roman" w:eastAsia="方正仿宋_GBK" w:cs="Times New Roman"/>
          <w:color w:val="auto"/>
          <w:kern w:val="2"/>
          <w:sz w:val="32"/>
          <w:szCs w:val="40"/>
          <w:lang w:val="en-US" w:eastAsia="zh-CN" w:bidi="ar-SA"/>
        </w:rPr>
        <w:t>）》的</w:t>
      </w:r>
      <w:r>
        <w:rPr>
          <w:rFonts w:hint="default" w:ascii="Times New Roman" w:hAnsi="Times New Roman" w:eastAsia="方正仿宋_GBK" w:cs="Times New Roman"/>
          <w:color w:val="auto"/>
          <w:kern w:val="2"/>
          <w:sz w:val="32"/>
          <w:szCs w:val="40"/>
          <w:lang w:val="en-US" w:eastAsia="zh-CN" w:bidi="ar-SA"/>
        </w:rPr>
        <w:t>建筑垃圾处理规划指标</w:t>
      </w:r>
      <w:r>
        <w:rPr>
          <w:rFonts w:hint="eastAsia" w:ascii="Times New Roman" w:hAnsi="Times New Roman" w:eastAsia="方正仿宋_GBK" w:cs="Times New Roman"/>
          <w:color w:val="auto"/>
          <w:kern w:val="2"/>
          <w:sz w:val="32"/>
          <w:szCs w:val="40"/>
          <w:lang w:val="en-US" w:eastAsia="zh-CN" w:bidi="ar-SA"/>
        </w:rPr>
        <w:t>，结合垫江县内实际建筑垃圾管理情况和发展规划，制定</w:t>
      </w:r>
      <w:r>
        <w:rPr>
          <w:rFonts w:hint="default" w:ascii="Times New Roman" w:hAnsi="Times New Roman" w:eastAsia="方正仿宋_GBK" w:cs="Times New Roman"/>
          <w:color w:val="auto"/>
          <w:kern w:val="2"/>
          <w:sz w:val="32"/>
          <w:szCs w:val="40"/>
          <w:lang w:val="en-US" w:eastAsia="zh-CN" w:bidi="ar-SA"/>
        </w:rPr>
        <w:t>建筑垃圾处理</w:t>
      </w:r>
      <w:r>
        <w:rPr>
          <w:rFonts w:hint="eastAsia" w:ascii="Times New Roman" w:hAnsi="Times New Roman" w:eastAsia="方正仿宋_GBK" w:cs="Times New Roman"/>
          <w:color w:val="auto"/>
          <w:kern w:val="2"/>
          <w:sz w:val="32"/>
          <w:szCs w:val="40"/>
          <w:lang w:val="en-US" w:eastAsia="zh-CN" w:bidi="ar-SA"/>
        </w:rPr>
        <w:t>的近期和远期目标率。（详见</w:t>
      </w:r>
      <w:r>
        <w:rPr>
          <w:rFonts w:hint="eastAsia" w:cs="Times New Roman"/>
          <w:color w:val="auto"/>
          <w:kern w:val="2"/>
          <w:sz w:val="32"/>
          <w:szCs w:val="40"/>
          <w:lang w:val="en-US" w:eastAsia="zh-CN" w:bidi="ar-SA"/>
        </w:rPr>
        <w:t>表</w:t>
      </w:r>
      <w:r>
        <w:rPr>
          <w:rFonts w:hint="eastAsia" w:ascii="Times New Roman" w:hAnsi="Times New Roman" w:eastAsia="方正仿宋_GBK" w:cs="Times New Roman"/>
          <w:color w:val="auto"/>
          <w:kern w:val="2"/>
          <w:sz w:val="32"/>
          <w:szCs w:val="40"/>
          <w:lang w:val="en-US" w:eastAsia="zh-CN" w:bidi="ar-SA"/>
        </w:rPr>
        <w:t>1-1）</w:t>
      </w:r>
    </w:p>
    <w:p>
      <w:pPr>
        <w:pStyle w:val="2"/>
        <w:rPr>
          <w:rFonts w:hint="default" w:ascii="Times New Roman" w:hAnsi="Times New Roman" w:cs="方正仿宋_GBK"/>
          <w:b w:val="0"/>
          <w:bCs w:val="0"/>
          <w:kern w:val="2"/>
          <w:sz w:val="32"/>
          <w:szCs w:val="36"/>
          <w:highlight w:val="yellow"/>
          <w:lang w:val="en-US" w:eastAsia="zh-CN" w:bidi="ar-SA"/>
        </w:rPr>
      </w:pPr>
    </w:p>
    <w:p>
      <w:pPr>
        <w:pStyle w:val="2"/>
        <w:rPr>
          <w:rFonts w:hint="default" w:ascii="Times New Roman" w:hAnsi="Times New Roman" w:cs="方正仿宋_GBK"/>
          <w:b w:val="0"/>
          <w:bCs w:val="0"/>
          <w:kern w:val="2"/>
          <w:sz w:val="32"/>
          <w:szCs w:val="36"/>
          <w:highlight w:val="yellow"/>
          <w:lang w:val="en-US" w:eastAsia="zh-CN" w:bidi="ar-SA"/>
        </w:rPr>
      </w:pPr>
    </w:p>
    <w:p>
      <w:pPr>
        <w:pStyle w:val="2"/>
        <w:rPr>
          <w:rFonts w:hint="default" w:ascii="Times New Roman" w:hAnsi="Times New Roman" w:cs="方正仿宋_GBK"/>
          <w:b w:val="0"/>
          <w:bCs w:val="0"/>
          <w:kern w:val="2"/>
          <w:sz w:val="32"/>
          <w:szCs w:val="36"/>
          <w:highlight w:val="yellow"/>
          <w:lang w:val="en-US" w:eastAsia="zh-CN" w:bidi="ar-SA"/>
        </w:rPr>
      </w:pPr>
    </w:p>
    <w:p>
      <w:pPr>
        <w:pStyle w:val="2"/>
        <w:rPr>
          <w:rFonts w:hint="default" w:ascii="Times New Roman" w:hAnsi="Times New Roman" w:cs="方正仿宋_GBK"/>
          <w:b w:val="0"/>
          <w:bCs w:val="0"/>
          <w:kern w:val="2"/>
          <w:sz w:val="32"/>
          <w:szCs w:val="36"/>
          <w:highlight w:val="yellow"/>
          <w:lang w:val="en-US" w:eastAsia="zh-CN" w:bidi="ar-SA"/>
        </w:rPr>
      </w:pPr>
    </w:p>
    <w:p>
      <w:pPr>
        <w:pStyle w:val="2"/>
        <w:rPr>
          <w:rFonts w:hint="default" w:ascii="Times New Roman" w:hAnsi="Times New Roman" w:cs="方正仿宋_GBK"/>
          <w:b w:val="0"/>
          <w:bCs w:val="0"/>
          <w:kern w:val="2"/>
          <w:sz w:val="32"/>
          <w:szCs w:val="36"/>
          <w:highlight w:val="yellow"/>
          <w:lang w:val="en-US" w:eastAsia="zh-CN" w:bidi="ar-SA"/>
        </w:rPr>
      </w:pPr>
    </w:p>
    <w:p>
      <w:pPr>
        <w:pStyle w:val="2"/>
        <w:rPr>
          <w:rFonts w:hint="default" w:ascii="Times New Roman" w:hAnsi="Times New Roman" w:cs="方正仿宋_GBK"/>
          <w:b w:val="0"/>
          <w:bCs w:val="0"/>
          <w:kern w:val="2"/>
          <w:sz w:val="32"/>
          <w:szCs w:val="36"/>
          <w:highlight w:val="yellow"/>
          <w:lang w:val="en-US" w:eastAsia="zh-CN" w:bidi="ar-SA"/>
        </w:rPr>
      </w:pPr>
    </w:p>
    <w:p>
      <w:pPr>
        <w:spacing w:before="75" w:line="184" w:lineRule="auto"/>
        <w:jc w:val="center"/>
        <w:rPr>
          <w:rFonts w:hint="default" w:ascii="Times New Roman" w:hAnsi="Times New Roman" w:eastAsia="方正黑体_GBK" w:cs="Times New Roman"/>
          <w:spacing w:val="-17"/>
          <w:w w:val="97"/>
          <w:sz w:val="28"/>
          <w:szCs w:val="28"/>
          <w:lang w:val="en-US" w:eastAsia="zh-CN"/>
        </w:rPr>
      </w:pPr>
    </w:p>
    <w:p>
      <w:pPr>
        <w:spacing w:before="75" w:line="184" w:lineRule="auto"/>
        <w:jc w:val="center"/>
        <w:rPr>
          <w:rFonts w:hint="default" w:ascii="Times New Roman" w:hAnsi="Times New Roman" w:eastAsia="方正黑体_GBK" w:cs="Times New Roman"/>
          <w:spacing w:val="-17"/>
          <w:w w:val="97"/>
          <w:sz w:val="28"/>
          <w:szCs w:val="28"/>
        </w:rPr>
      </w:pPr>
      <w:r>
        <w:rPr>
          <w:rFonts w:hint="default" w:ascii="Times New Roman" w:hAnsi="Times New Roman" w:eastAsia="方正黑体_GBK" w:cs="Times New Roman"/>
          <w:spacing w:val="-17"/>
          <w:w w:val="97"/>
          <w:sz w:val="28"/>
          <w:szCs w:val="28"/>
          <w:lang w:val="en-US" w:eastAsia="zh-CN"/>
        </w:rPr>
        <w:t>表1</w:t>
      </w:r>
      <w:r>
        <w:rPr>
          <w:rFonts w:hint="eastAsia" w:ascii="Times New Roman" w:hAnsi="Times New Roman" w:eastAsia="方正黑体_GBK" w:cs="Times New Roman"/>
          <w:spacing w:val="-17"/>
          <w:w w:val="97"/>
          <w:sz w:val="28"/>
          <w:szCs w:val="28"/>
          <w:lang w:val="en-US" w:eastAsia="zh-CN"/>
        </w:rPr>
        <w:t>-1</w:t>
      </w:r>
      <w:r>
        <w:rPr>
          <w:rFonts w:hint="default" w:ascii="Times New Roman" w:hAnsi="Times New Roman" w:eastAsia="方正黑体_GBK" w:cs="Times New Roman"/>
          <w:spacing w:val="-17"/>
          <w:w w:val="97"/>
          <w:sz w:val="28"/>
          <w:szCs w:val="28"/>
          <w:lang w:val="en-US" w:eastAsia="zh-CN"/>
        </w:rPr>
        <w:t xml:space="preserve"> </w:t>
      </w:r>
      <w:r>
        <w:rPr>
          <w:rFonts w:hint="default" w:ascii="Times New Roman" w:hAnsi="Times New Roman" w:eastAsia="方正黑体_GBK" w:cs="Times New Roman"/>
          <w:spacing w:val="-17"/>
          <w:w w:val="97"/>
          <w:sz w:val="28"/>
          <w:szCs w:val="28"/>
        </w:rPr>
        <w:t>建筑垃圾处理规划指标一览表</w:t>
      </w:r>
    </w:p>
    <w:p>
      <w:pPr>
        <w:pStyle w:val="2"/>
        <w:rPr>
          <w:rFonts w:hint="default"/>
          <w:lang w:val="en-US" w:eastAsia="zh-CN"/>
        </w:rPr>
      </w:pPr>
    </w:p>
    <w:tbl>
      <w:tblPr>
        <w:tblStyle w:val="12"/>
        <w:tblW w:w="82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630"/>
        <w:gridCol w:w="2618"/>
        <w:gridCol w:w="1886"/>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951" w:type="dxa"/>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lang w:val="en-US" w:eastAsia="zh-CN"/>
              </w:rPr>
            </w:pPr>
            <w:r>
              <w:rPr>
                <w:rFonts w:hint="default" w:ascii="Times New Roman" w:hAnsi="Times New Roman" w:eastAsia="方正黑体_GBK" w:cs="Times New Roman"/>
                <w:sz w:val="24"/>
                <w:szCs w:val="24"/>
              </w:rPr>
              <w:t>序号</w:t>
            </w:r>
          </w:p>
        </w:tc>
        <w:tc>
          <w:tcPr>
            <w:tcW w:w="3248" w:type="dxa"/>
            <w:gridSpan w:val="2"/>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default" w:ascii="Times New Roman" w:hAnsi="Times New Roman" w:eastAsia="方正黑体_GBK" w:cs="Times New Roman"/>
                <w:sz w:val="24"/>
                <w:szCs w:val="24"/>
              </w:rPr>
              <w:t>指标类型</w:t>
            </w:r>
          </w:p>
        </w:tc>
        <w:tc>
          <w:tcPr>
            <w:tcW w:w="1886" w:type="dxa"/>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近期</w:t>
            </w:r>
          </w:p>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lang w:val="en-US" w:eastAsia="zh-CN"/>
              </w:rPr>
            </w:pPr>
            <w:r>
              <w:rPr>
                <w:rFonts w:hint="default" w:ascii="Times New Roman" w:hAnsi="Times New Roman" w:eastAsia="方正黑体_GBK" w:cs="Times New Roman"/>
                <w:sz w:val="24"/>
                <w:szCs w:val="24"/>
              </w:rPr>
              <w:t>（202</w:t>
            </w:r>
            <w:r>
              <w:rPr>
                <w:rFonts w:hint="default" w:ascii="Times New Roman" w:hAnsi="Times New Roman" w:eastAsia="方正黑体_GBK" w:cs="Times New Roman"/>
                <w:sz w:val="24"/>
                <w:szCs w:val="24"/>
                <w:lang w:val="en-US" w:eastAsia="zh-CN"/>
              </w:rPr>
              <w:t>7</w:t>
            </w:r>
            <w:r>
              <w:rPr>
                <w:rFonts w:hint="default" w:ascii="Times New Roman" w:hAnsi="Times New Roman" w:eastAsia="方正黑体_GBK" w:cs="Times New Roman"/>
                <w:sz w:val="24"/>
                <w:szCs w:val="24"/>
              </w:rPr>
              <w:t>年）</w:t>
            </w:r>
          </w:p>
        </w:tc>
        <w:tc>
          <w:tcPr>
            <w:tcW w:w="2192" w:type="dxa"/>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远期</w:t>
            </w:r>
          </w:p>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lang w:val="en-US" w:eastAsia="zh-CN"/>
              </w:rPr>
            </w:pPr>
            <w:r>
              <w:rPr>
                <w:rFonts w:hint="default" w:ascii="Times New Roman" w:hAnsi="Times New Roman" w:eastAsia="方正黑体_GBK" w:cs="Times New Roman"/>
                <w:sz w:val="24"/>
                <w:szCs w:val="24"/>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951" w:type="dxa"/>
            <w:vAlign w:val="center"/>
          </w:tcPr>
          <w:p>
            <w:pPr>
              <w:keepNext w:val="0"/>
              <w:keepLines w:val="0"/>
              <w:pageBreakBefore w:val="0"/>
              <w:widowControl w:val="0"/>
              <w:tabs>
                <w:tab w:val="left" w:pos="1404"/>
              </w:tabs>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1</w:t>
            </w:r>
          </w:p>
        </w:tc>
        <w:tc>
          <w:tcPr>
            <w:tcW w:w="3248" w:type="dxa"/>
            <w:gridSpan w:val="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eastAsia" w:ascii="方正仿宋_GBK" w:hAnsi="方正仿宋_GBK" w:eastAsia="方正仿宋_GBK" w:cs="方正仿宋_GBK"/>
                <w:b w:val="0"/>
                <w:bCs w:val="0"/>
                <w:color w:val="000000"/>
                <w:kern w:val="24"/>
                <w:sz w:val="24"/>
                <w:szCs w:val="24"/>
                <w:highlight w:val="none"/>
              </w:rPr>
            </w:pPr>
            <w:r>
              <w:rPr>
                <w:rFonts w:hint="eastAsia" w:ascii="方正仿宋_GBK" w:hAnsi="方正仿宋_GBK" w:eastAsia="方正仿宋_GBK" w:cs="方正仿宋_GBK"/>
                <w:b w:val="0"/>
                <w:bCs w:val="0"/>
                <w:color w:val="000000"/>
                <w:kern w:val="24"/>
                <w:sz w:val="24"/>
                <w:szCs w:val="24"/>
                <w:highlight w:val="none"/>
              </w:rPr>
              <w:t>工程垃圾、拆除垃圾、装修垃圾分类收集率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default" w:ascii="Times New Roman" w:hAnsi="Times New Roman" w:eastAsia="方正仿宋_GBK" w:cs="Times New Roman"/>
                <w:b w:val="0"/>
                <w:bCs w:val="0"/>
                <w:sz w:val="24"/>
                <w:szCs w:val="24"/>
                <w:highlight w:val="none"/>
                <w:vertAlign w:val="baseline"/>
                <w:lang w:val="en-US" w:eastAsia="zh-CN"/>
              </w:rPr>
            </w:pPr>
            <w:r>
              <w:rPr>
                <w:rFonts w:hint="eastAsia" w:ascii="Times New Roman" w:hAnsi="Times New Roman" w:eastAsia="方正仿宋_GB2312" w:cs="Times New Roman"/>
                <w:b w:val="0"/>
                <w:bCs w:val="0"/>
                <w:color w:val="000000"/>
                <w:kern w:val="24"/>
                <w:sz w:val="18"/>
                <w:szCs w:val="18"/>
                <w:highlight w:val="none"/>
                <w:lang w:eastAsia="zh-CN"/>
              </w:rPr>
              <w:t>（</w:t>
            </w:r>
            <w:r>
              <w:rPr>
                <w:rFonts w:hint="default" w:ascii="Times New Roman" w:hAnsi="Times New Roman" w:eastAsia="方正仿宋_GB2312" w:cs="Times New Roman"/>
                <w:kern w:val="2"/>
                <w:sz w:val="18"/>
                <w:szCs w:val="13"/>
                <w:lang w:val="en-US" w:eastAsia="zh-CN" w:bidi="ar-SA"/>
              </w:rPr>
              <w:t>工程垃圾、拆除垃圾、装修垃圾分类收集量占产生总量的比例</w:t>
            </w:r>
            <w:r>
              <w:rPr>
                <w:rFonts w:hint="eastAsia" w:ascii="Times New Roman" w:hAnsi="Times New Roman" w:eastAsia="方正仿宋_GB2312" w:cs="Times New Roman"/>
                <w:kern w:val="2"/>
                <w:sz w:val="18"/>
                <w:szCs w:val="13"/>
                <w:lang w:val="en-US" w:eastAsia="zh-CN" w:bidi="ar-SA"/>
              </w:rPr>
              <w:t>。</w:t>
            </w:r>
            <w:r>
              <w:rPr>
                <w:rFonts w:hint="eastAsia" w:ascii="Times New Roman" w:hAnsi="Times New Roman" w:eastAsia="方正仿宋_GB2312" w:cs="Times New Roman"/>
                <w:b w:val="0"/>
                <w:bCs w:val="0"/>
                <w:color w:val="000000"/>
                <w:kern w:val="24"/>
                <w:sz w:val="18"/>
                <w:szCs w:val="18"/>
                <w:highlight w:val="none"/>
                <w:lang w:eastAsia="zh-CN"/>
              </w:rPr>
              <w:t>）</w:t>
            </w:r>
          </w:p>
        </w:tc>
        <w:tc>
          <w:tcPr>
            <w:tcW w:w="188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219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951" w:type="dxa"/>
            <w:vAlign w:val="center"/>
          </w:tcPr>
          <w:p>
            <w:pPr>
              <w:keepNext w:val="0"/>
              <w:keepLines w:val="0"/>
              <w:pageBreakBefore w:val="0"/>
              <w:widowControl w:val="0"/>
              <w:tabs>
                <w:tab w:val="left" w:pos="1404"/>
              </w:tabs>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2</w:t>
            </w:r>
          </w:p>
        </w:tc>
        <w:tc>
          <w:tcPr>
            <w:tcW w:w="3248" w:type="dxa"/>
            <w:gridSpan w:val="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default" w:ascii="方正仿宋_GBK" w:hAnsi="方正仿宋_GBK" w:eastAsia="方正仿宋_GBK" w:cs="方正仿宋_GBK"/>
                <w:b w:val="0"/>
                <w:bCs w:val="0"/>
                <w:color w:val="000000"/>
                <w:kern w:val="24"/>
                <w:sz w:val="24"/>
                <w:szCs w:val="24"/>
                <w:highlight w:val="none"/>
              </w:rPr>
            </w:pPr>
            <w:r>
              <w:rPr>
                <w:rFonts w:hint="default" w:ascii="方正仿宋_GBK" w:hAnsi="方正仿宋_GBK" w:eastAsia="方正仿宋_GBK" w:cs="方正仿宋_GBK"/>
                <w:b w:val="0"/>
                <w:bCs w:val="0"/>
                <w:color w:val="000000"/>
                <w:kern w:val="24"/>
                <w:sz w:val="24"/>
                <w:szCs w:val="24"/>
                <w:highlight w:val="none"/>
              </w:rPr>
              <w:t>建筑垃圾资源化利用率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default" w:ascii="Times New Roman" w:hAnsi="Times New Roman" w:eastAsia="方正仿宋_GBK" w:cs="Times New Roman"/>
                <w:b w:val="0"/>
                <w:bCs w:val="0"/>
                <w:sz w:val="24"/>
                <w:szCs w:val="24"/>
                <w:highlight w:val="none"/>
                <w:vertAlign w:val="baseline"/>
                <w:lang w:val="en-US" w:eastAsia="zh-CN"/>
              </w:rPr>
            </w:pPr>
            <w:r>
              <w:rPr>
                <w:rFonts w:hint="eastAsia" w:ascii="Times New Roman" w:hAnsi="Times New Roman" w:eastAsia="方正仿宋_GB2312" w:cs="Times New Roman"/>
                <w:kern w:val="2"/>
                <w:sz w:val="18"/>
                <w:szCs w:val="13"/>
                <w:lang w:val="en-US" w:eastAsia="zh-CN" w:bidi="ar-SA"/>
              </w:rPr>
              <w:t>（</w:t>
            </w:r>
            <w:r>
              <w:rPr>
                <w:rFonts w:hint="default" w:ascii="Times New Roman" w:hAnsi="Times New Roman" w:eastAsia="方正仿宋_GB2312" w:cs="Times New Roman"/>
                <w:kern w:val="2"/>
                <w:sz w:val="18"/>
                <w:szCs w:val="13"/>
                <w:lang w:val="en-US" w:eastAsia="zh-CN" w:bidi="ar-SA"/>
              </w:rPr>
              <w:t>工程垃圾、拆除垃圾、装修垃圾资源化利用量</w:t>
            </w:r>
            <w:r>
              <w:rPr>
                <w:rFonts w:hint="eastAsia" w:ascii="Times New Roman" w:hAnsi="Times New Roman" w:eastAsia="方正仿宋_GB2312" w:cs="Times New Roman"/>
                <w:kern w:val="2"/>
                <w:sz w:val="18"/>
                <w:szCs w:val="13"/>
                <w:lang w:val="en-US" w:eastAsia="zh-CN" w:bidi="ar-SA"/>
              </w:rPr>
              <w:t>，</w:t>
            </w:r>
            <w:r>
              <w:rPr>
                <w:rFonts w:hint="default" w:ascii="Times New Roman" w:hAnsi="Times New Roman" w:eastAsia="方正仿宋_GB2312" w:cs="Times New Roman"/>
                <w:kern w:val="2"/>
                <w:sz w:val="18"/>
                <w:szCs w:val="13"/>
                <w:lang w:val="en-US" w:eastAsia="zh-CN" w:bidi="ar-SA"/>
              </w:rPr>
              <w:t>占工程垃圾、拆除垃圾、装修垃圾总量的比例。</w:t>
            </w:r>
            <w:r>
              <w:rPr>
                <w:rFonts w:hint="eastAsia" w:ascii="Times New Roman" w:hAnsi="Times New Roman" w:eastAsia="方正仿宋_GB2312" w:cs="Times New Roman"/>
                <w:kern w:val="2"/>
                <w:sz w:val="18"/>
                <w:szCs w:val="13"/>
                <w:lang w:val="en-US" w:eastAsia="zh-CN" w:bidi="ar-SA"/>
              </w:rPr>
              <w:t>）</w:t>
            </w:r>
          </w:p>
        </w:tc>
        <w:tc>
          <w:tcPr>
            <w:tcW w:w="188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≥55%</w:t>
            </w:r>
          </w:p>
        </w:tc>
        <w:tc>
          <w:tcPr>
            <w:tcW w:w="219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951" w:type="dxa"/>
            <w:vMerge w:val="restart"/>
            <w:vAlign w:val="center"/>
          </w:tcPr>
          <w:p>
            <w:pPr>
              <w:keepNext w:val="0"/>
              <w:keepLines w:val="0"/>
              <w:pageBreakBefore w:val="0"/>
              <w:widowControl w:val="0"/>
              <w:tabs>
                <w:tab w:val="left" w:pos="1404"/>
              </w:tabs>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3</w:t>
            </w:r>
          </w:p>
        </w:tc>
        <w:tc>
          <w:tcPr>
            <w:tcW w:w="3248" w:type="dxa"/>
            <w:gridSpan w:val="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default" w:ascii="方正仿宋_GBK" w:hAnsi="方正仿宋_GBK" w:eastAsia="方正仿宋_GBK" w:cs="方正仿宋_GBK"/>
                <w:b w:val="0"/>
                <w:bCs w:val="0"/>
                <w:color w:val="000000"/>
                <w:kern w:val="24"/>
                <w:sz w:val="24"/>
                <w:szCs w:val="24"/>
                <w:highlight w:val="none"/>
              </w:rPr>
            </w:pPr>
            <w:r>
              <w:rPr>
                <w:rFonts w:hint="default" w:ascii="方正仿宋_GBK" w:hAnsi="方正仿宋_GBK" w:eastAsia="方正仿宋_GBK" w:cs="方正仿宋_GBK"/>
                <w:b w:val="0"/>
                <w:bCs w:val="0"/>
                <w:color w:val="000000"/>
                <w:kern w:val="24"/>
                <w:sz w:val="24"/>
                <w:szCs w:val="24"/>
                <w:highlight w:val="none"/>
              </w:rPr>
              <w:t>建筑垃圾综合利用率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default" w:ascii="Times New Roman" w:hAnsi="Times New Roman" w:eastAsia="方正仿宋_GBK" w:cs="Times New Roman"/>
                <w:b w:val="0"/>
                <w:bCs w:val="0"/>
                <w:sz w:val="24"/>
                <w:szCs w:val="24"/>
                <w:highlight w:val="none"/>
                <w:vertAlign w:val="baseline"/>
                <w:lang w:val="en-US" w:eastAsia="zh-CN"/>
              </w:rPr>
            </w:pPr>
            <w:r>
              <w:rPr>
                <w:rFonts w:hint="eastAsia" w:ascii="Times New Roman" w:hAnsi="Times New Roman" w:eastAsia="方正仿宋_GB2312" w:cs="Times New Roman"/>
                <w:kern w:val="2"/>
                <w:sz w:val="18"/>
                <w:szCs w:val="13"/>
                <w:lang w:val="en-US" w:eastAsia="zh-CN" w:bidi="ar-SA"/>
              </w:rPr>
              <w:t>（</w:t>
            </w:r>
            <w:r>
              <w:rPr>
                <w:rFonts w:hint="default" w:ascii="Times New Roman" w:hAnsi="Times New Roman" w:eastAsia="方正仿宋_GB2312" w:cs="Times New Roman"/>
                <w:kern w:val="2"/>
                <w:sz w:val="18"/>
                <w:szCs w:val="13"/>
                <w:lang w:val="en-US" w:eastAsia="zh-CN" w:bidi="ar-SA"/>
              </w:rPr>
              <w:t>工程渣土、工程泥浆、工程垃圾、拆除垃圾、装修垃圾</w:t>
            </w:r>
            <w:r>
              <w:rPr>
                <w:rFonts w:hint="eastAsia" w:ascii="Times New Roman" w:hAnsi="Times New Roman" w:eastAsia="方正仿宋_GB2312" w:cs="Times New Roman"/>
                <w:kern w:val="2"/>
                <w:sz w:val="18"/>
                <w:szCs w:val="13"/>
                <w:lang w:val="en-US" w:eastAsia="zh-CN" w:bidi="ar-SA"/>
              </w:rPr>
              <w:t>等</w:t>
            </w:r>
            <w:r>
              <w:rPr>
                <w:rFonts w:hint="default" w:ascii="Times New Roman" w:hAnsi="Times New Roman" w:eastAsia="方正仿宋_GB2312" w:cs="Times New Roman"/>
                <w:kern w:val="2"/>
                <w:sz w:val="18"/>
                <w:szCs w:val="13"/>
                <w:lang w:val="en-US" w:eastAsia="zh-CN" w:bidi="ar-SA"/>
              </w:rPr>
              <w:t>工程回填、资源化利用的量占建筑垃圾总量的比例。</w:t>
            </w:r>
            <w:r>
              <w:rPr>
                <w:rFonts w:hint="eastAsia" w:ascii="Times New Roman" w:hAnsi="Times New Roman" w:eastAsia="方正仿宋_GB2312" w:cs="Times New Roman"/>
                <w:kern w:val="2"/>
                <w:sz w:val="18"/>
                <w:szCs w:val="13"/>
                <w:lang w:val="en-US" w:eastAsia="zh-CN" w:bidi="ar-SA"/>
              </w:rPr>
              <w:t>）</w:t>
            </w:r>
          </w:p>
        </w:tc>
        <w:tc>
          <w:tcPr>
            <w:tcW w:w="188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219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951" w:type="dxa"/>
            <w:vMerge w:val="continue"/>
            <w:vAlign w:val="center"/>
          </w:tcPr>
          <w:p>
            <w:pPr>
              <w:keepNext w:val="0"/>
              <w:keepLines w:val="0"/>
              <w:pageBreakBefore w:val="0"/>
              <w:widowControl w:val="0"/>
              <w:tabs>
                <w:tab w:val="left" w:pos="1404"/>
              </w:tabs>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sz w:val="24"/>
                <w:szCs w:val="24"/>
                <w:highlight w:val="none"/>
                <w:vertAlign w:val="baseline"/>
                <w:lang w:val="en-US" w:eastAsia="zh-CN"/>
              </w:rPr>
            </w:pPr>
          </w:p>
        </w:tc>
        <w:tc>
          <w:tcPr>
            <w:tcW w:w="630"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default" w:ascii="Times New Roman" w:hAnsi="Times New Roman" w:eastAsia="方正仿宋_GBK" w:cs="Times New Roman"/>
                <w:b w:val="0"/>
                <w:bCs w:val="0"/>
                <w:sz w:val="24"/>
                <w:szCs w:val="24"/>
                <w:highlight w:val="none"/>
                <w:vertAlign w:val="baseline"/>
                <w:lang w:val="en-US" w:eastAsia="zh-CN"/>
              </w:rPr>
            </w:pPr>
            <w:r>
              <w:rPr>
                <w:rFonts w:hint="default" w:ascii="方正仿宋_GBK" w:hAnsi="方正仿宋_GBK" w:eastAsia="方正仿宋_GBK" w:cs="方正仿宋_GBK"/>
                <w:b w:val="0"/>
                <w:bCs w:val="0"/>
                <w:color w:val="000000"/>
                <w:kern w:val="24"/>
                <w:sz w:val="24"/>
                <w:szCs w:val="24"/>
                <w:highlight w:val="none"/>
                <w:lang w:val="en-US" w:eastAsia="zh-CN"/>
              </w:rPr>
              <w:t>其中</w:t>
            </w:r>
          </w:p>
        </w:tc>
        <w:tc>
          <w:tcPr>
            <w:tcW w:w="2618"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default" w:ascii="方正仿宋_GBK" w:hAnsi="方正仿宋_GBK" w:eastAsia="方正仿宋_GBK" w:cs="方正仿宋_GBK"/>
                <w:b w:val="0"/>
                <w:bCs w:val="0"/>
                <w:color w:val="000000"/>
                <w:kern w:val="24"/>
                <w:sz w:val="24"/>
                <w:szCs w:val="24"/>
                <w:highlight w:val="none"/>
              </w:rPr>
            </w:pPr>
            <w:r>
              <w:rPr>
                <w:rFonts w:hint="default" w:ascii="方正仿宋_GBK" w:hAnsi="方正仿宋_GBK" w:eastAsia="方正仿宋_GBK" w:cs="方正仿宋_GBK"/>
                <w:b w:val="0"/>
                <w:bCs w:val="0"/>
                <w:color w:val="000000"/>
                <w:kern w:val="24"/>
                <w:sz w:val="24"/>
                <w:szCs w:val="24"/>
                <w:highlight w:val="none"/>
              </w:rPr>
              <w:t>工程渣土综合利用率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default" w:ascii="Times New Roman" w:hAnsi="Times New Roman" w:eastAsia="方正仿宋_GBK" w:cs="Times New Roman"/>
                <w:b w:val="0"/>
                <w:bCs w:val="0"/>
                <w:color w:val="000000"/>
                <w:sz w:val="24"/>
                <w:szCs w:val="24"/>
                <w:highlight w:val="none"/>
              </w:rPr>
            </w:pPr>
            <w:r>
              <w:rPr>
                <w:rFonts w:hint="eastAsia" w:ascii="Times New Roman" w:hAnsi="Times New Roman" w:eastAsia="方正仿宋_GB2312" w:cs="Times New Roman"/>
                <w:kern w:val="2"/>
                <w:sz w:val="18"/>
                <w:szCs w:val="13"/>
                <w:lang w:val="en-US" w:eastAsia="zh-CN" w:bidi="ar-SA"/>
              </w:rPr>
              <w:t>（</w:t>
            </w:r>
            <w:r>
              <w:rPr>
                <w:rFonts w:hint="default" w:ascii="Times New Roman" w:hAnsi="Times New Roman" w:eastAsia="方正仿宋_GB2312" w:cs="Times New Roman"/>
                <w:kern w:val="2"/>
                <w:sz w:val="18"/>
                <w:szCs w:val="13"/>
                <w:lang w:val="en-US" w:eastAsia="zh-CN" w:bidi="ar-SA"/>
              </w:rPr>
              <w:t>资源化回收、工程回填等综合利用的量占工程渣土总产生量的比例</w:t>
            </w:r>
            <w:r>
              <w:rPr>
                <w:rFonts w:hint="eastAsia" w:ascii="Times New Roman" w:hAnsi="Times New Roman" w:eastAsia="方正仿宋_GB2312" w:cs="Times New Roman"/>
                <w:kern w:val="2"/>
                <w:sz w:val="18"/>
                <w:szCs w:val="13"/>
                <w:lang w:val="en-US" w:eastAsia="zh-CN" w:bidi="ar-SA"/>
              </w:rPr>
              <w:t>。）</w:t>
            </w:r>
          </w:p>
        </w:tc>
        <w:tc>
          <w:tcPr>
            <w:tcW w:w="188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219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951" w:type="dxa"/>
            <w:vAlign w:val="center"/>
          </w:tcPr>
          <w:p>
            <w:pPr>
              <w:keepNext w:val="0"/>
              <w:keepLines w:val="0"/>
              <w:pageBreakBefore w:val="0"/>
              <w:widowControl w:val="0"/>
              <w:tabs>
                <w:tab w:val="left" w:pos="1404"/>
              </w:tabs>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4</w:t>
            </w:r>
          </w:p>
        </w:tc>
        <w:tc>
          <w:tcPr>
            <w:tcW w:w="3248" w:type="dxa"/>
            <w:gridSpan w:val="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firstLine="0" w:firstLineChars="0"/>
              <w:jc w:val="center"/>
              <w:rPr>
                <w:rFonts w:hint="default" w:ascii="方正仿宋_GBK" w:hAnsi="方正仿宋_GBK" w:eastAsia="方正仿宋_GBK" w:cs="方正仿宋_GBK"/>
                <w:b w:val="0"/>
                <w:bCs w:val="0"/>
                <w:color w:val="000000"/>
                <w:kern w:val="24"/>
                <w:sz w:val="24"/>
                <w:szCs w:val="24"/>
                <w:highlight w:val="none"/>
              </w:rPr>
            </w:pPr>
            <w:r>
              <w:rPr>
                <w:rFonts w:hint="default" w:ascii="方正仿宋_GBK" w:hAnsi="方正仿宋_GBK" w:eastAsia="方正仿宋_GBK" w:cs="方正仿宋_GBK"/>
                <w:b w:val="0"/>
                <w:bCs w:val="0"/>
                <w:color w:val="000000"/>
                <w:kern w:val="24"/>
                <w:sz w:val="24"/>
                <w:szCs w:val="24"/>
                <w:highlight w:val="none"/>
              </w:rPr>
              <w:t>区级智能监管平台应用比例</w:t>
            </w:r>
          </w:p>
          <w:p>
            <w:pPr>
              <w:pStyle w:val="10"/>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300" w:lineRule="exact"/>
              <w:ind w:left="0" w:firstLine="0" w:firstLineChars="0"/>
              <w:jc w:val="center"/>
              <w:textAlignment w:val="baseline"/>
              <w:rPr>
                <w:rFonts w:hint="default" w:ascii="Times New Roman" w:hAnsi="Times New Roman" w:eastAsia="方正仿宋_GBK" w:cs="Times New Roman"/>
                <w:b w:val="0"/>
                <w:bCs w:val="0"/>
                <w:sz w:val="24"/>
                <w:szCs w:val="24"/>
                <w:highlight w:val="none"/>
                <w:vertAlign w:val="baseline"/>
                <w:lang w:val="en-US" w:eastAsia="zh-CN"/>
              </w:rPr>
            </w:pPr>
            <w:r>
              <w:rPr>
                <w:rFonts w:hint="eastAsia" w:ascii="Times New Roman" w:hAnsi="Times New Roman" w:eastAsia="方正仿宋_GB2312" w:cs="Times New Roman"/>
                <w:kern w:val="2"/>
                <w:sz w:val="18"/>
                <w:szCs w:val="13"/>
                <w:lang w:val="en-US" w:eastAsia="zh-CN" w:bidi="ar-SA"/>
              </w:rPr>
              <w:t>（</w:t>
            </w:r>
            <w:r>
              <w:rPr>
                <w:rFonts w:hint="default" w:ascii="Times New Roman" w:hAnsi="Times New Roman" w:eastAsia="方正仿宋_GB2312" w:cs="Times New Roman"/>
                <w:kern w:val="2"/>
                <w:sz w:val="18"/>
                <w:szCs w:val="13"/>
                <w:lang w:val="en-US" w:eastAsia="zh-CN" w:bidi="ar-SA"/>
              </w:rPr>
              <w:t>已建成应用智能监管平台的行政区占中心城区所有行政区的比例</w:t>
            </w:r>
            <w:r>
              <w:rPr>
                <w:rFonts w:hint="eastAsia" w:ascii="Times New Roman" w:hAnsi="Times New Roman" w:eastAsia="方正仿宋_GB2312" w:cs="Times New Roman"/>
                <w:kern w:val="2"/>
                <w:sz w:val="18"/>
                <w:szCs w:val="13"/>
                <w:lang w:val="en-US" w:eastAsia="zh-CN" w:bidi="ar-SA"/>
              </w:rPr>
              <w:t>）</w:t>
            </w:r>
          </w:p>
        </w:tc>
        <w:tc>
          <w:tcPr>
            <w:tcW w:w="188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100%</w:t>
            </w:r>
          </w:p>
        </w:tc>
        <w:tc>
          <w:tcPr>
            <w:tcW w:w="219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firstLine="0" w:firstLineChars="0"/>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100%</w:t>
            </w:r>
          </w:p>
        </w:tc>
      </w:tr>
    </w:tbl>
    <w:p>
      <w:pPr>
        <w:pStyle w:val="3"/>
        <w:keepNext/>
        <w:keepLines/>
        <w:pageBreakBefore w:val="0"/>
        <w:widowControl w:val="0"/>
        <w:kinsoku/>
        <w:wordWrap/>
        <w:overflowPunct/>
        <w:topLinePunct w:val="0"/>
        <w:autoSpaceDE/>
        <w:autoSpaceDN/>
        <w:bidi w:val="0"/>
        <w:adjustRightInd/>
        <w:snapToGrid/>
        <w:ind w:left="0" w:leftChars="0" w:firstLine="0" w:firstLineChars="0"/>
        <w:textAlignment w:val="auto"/>
        <w:rPr>
          <w:rFonts w:hint="eastAsia"/>
          <w:sz w:val="32"/>
          <w:szCs w:val="21"/>
          <w:highlight w:val="red"/>
          <w:lang w:val="en-US" w:eastAsia="zh-CN"/>
        </w:rPr>
      </w:pPr>
    </w:p>
    <w:p>
      <w:pPr>
        <w:pStyle w:val="3"/>
        <w:keepNext/>
        <w:keepLines/>
        <w:pageBreakBefore w:val="0"/>
        <w:widowControl w:val="0"/>
        <w:kinsoku/>
        <w:wordWrap/>
        <w:overflowPunct/>
        <w:topLinePunct w:val="0"/>
        <w:autoSpaceDE/>
        <w:autoSpaceDN/>
        <w:bidi w:val="0"/>
        <w:adjustRightInd/>
        <w:snapToGrid/>
        <w:ind w:left="0" w:leftChars="0" w:firstLine="0" w:firstLineChars="0"/>
        <w:textAlignment w:val="auto"/>
        <w:rPr>
          <w:rFonts w:hint="default"/>
          <w:sz w:val="32"/>
          <w:szCs w:val="21"/>
          <w:highlight w:val="none"/>
          <w:lang w:val="en-US" w:eastAsia="zh-CN"/>
        </w:rPr>
      </w:pPr>
      <w:bookmarkStart w:id="9" w:name="_Toc32646"/>
      <w:r>
        <w:rPr>
          <w:rFonts w:hint="eastAsia"/>
          <w:sz w:val="32"/>
          <w:szCs w:val="21"/>
          <w:highlight w:val="none"/>
          <w:lang w:val="en-US" w:eastAsia="zh-CN"/>
        </w:rPr>
        <w:t>第二章 建筑垃圾产生量和处理量分析</w:t>
      </w:r>
      <w:bookmarkEnd w:id="9"/>
    </w:p>
    <w:p>
      <w:pPr>
        <w:pStyle w:val="4"/>
        <w:pageBreakBefore w:val="0"/>
        <w:widowControl w:val="0"/>
        <w:kinsoku/>
        <w:wordWrap/>
        <w:overflowPunct/>
        <w:topLinePunct w:val="0"/>
        <w:autoSpaceDE/>
        <w:autoSpaceDN/>
        <w:bidi w:val="0"/>
        <w:adjustRightInd/>
        <w:snapToGrid/>
        <w:textAlignment w:val="auto"/>
        <w:rPr>
          <w:rFonts w:hint="eastAsia" w:ascii="方正楷体_GBK" w:hAnsi="方正楷体_GBK" w:eastAsia="方正楷体_GBK" w:cs="方正楷体_GBK"/>
          <w:highlight w:val="none"/>
          <w:lang w:val="en-US" w:eastAsia="zh-CN"/>
        </w:rPr>
      </w:pPr>
      <w:bookmarkStart w:id="10" w:name="_Toc28675"/>
      <w:bookmarkStart w:id="11" w:name="_Toc13758"/>
      <w:bookmarkStart w:id="12" w:name="_Toc17876"/>
      <w:bookmarkStart w:id="13" w:name="_Toc30467"/>
      <w:r>
        <w:rPr>
          <w:rFonts w:hint="eastAsia" w:ascii="方正楷体_GBK" w:hAnsi="方正楷体_GBK" w:eastAsia="方正楷体_GBK" w:cs="方正楷体_GBK"/>
          <w:highlight w:val="none"/>
          <w:lang w:val="en-US" w:eastAsia="zh-CN"/>
        </w:rPr>
        <w:t>第七条 建筑垃圾处置现状</w:t>
      </w:r>
      <w:bookmarkEnd w:id="1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（一）建筑垃圾填埋场现状。区域现有4处建筑垃圾填埋场，规划总库容约294万m³，现已建成容量124万m</w:t>
      </w:r>
      <w:r>
        <w:rPr>
          <w:rFonts w:hint="default" w:ascii="Times New Roman" w:hAnsi="Times New Roman" w:eastAsia="方正仿宋_GBK" w:cs="Times New Roman"/>
          <w:color w:val="auto"/>
          <w:kern w:val="2"/>
          <w:sz w:val="32"/>
          <w:szCs w:val="40"/>
          <w:lang w:val="en-US" w:eastAsia="zh-CN" w:bidi="ar-SA"/>
        </w:rPr>
        <w:t>³</w:t>
      </w:r>
      <w:r>
        <w:rPr>
          <w:rFonts w:hint="eastAsia" w:ascii="Times New Roman" w:hAnsi="Times New Roman" w:eastAsia="方正仿宋_GBK" w:cs="Times New Roman"/>
          <w:color w:val="auto"/>
          <w:kern w:val="2"/>
          <w:sz w:val="32"/>
          <w:szCs w:val="40"/>
          <w:lang w:val="en-US" w:eastAsia="zh-CN" w:bidi="ar-SA"/>
        </w:rPr>
        <w:t>，已建成剩余容量49万m</w:t>
      </w:r>
      <w:r>
        <w:rPr>
          <w:rFonts w:hint="default" w:ascii="Times New Roman" w:hAnsi="Times New Roman" w:eastAsia="方正仿宋_GBK" w:cs="Times New Roman"/>
          <w:color w:val="auto"/>
          <w:kern w:val="2"/>
          <w:sz w:val="32"/>
          <w:szCs w:val="40"/>
          <w:lang w:val="en-US" w:eastAsia="zh-CN" w:bidi="ar-SA"/>
        </w:rPr>
        <w:t>³</w:t>
      </w:r>
      <w:r>
        <w:rPr>
          <w:rFonts w:hint="eastAsia" w:ascii="Times New Roman" w:hAnsi="Times New Roman" w:eastAsia="方正仿宋_GBK" w:cs="Times New Roman"/>
          <w:color w:val="auto"/>
          <w:kern w:val="2"/>
          <w:sz w:val="32"/>
          <w:szCs w:val="40"/>
          <w:lang w:val="en-US" w:eastAsia="zh-CN" w:bidi="ar-SA"/>
        </w:rPr>
        <w:t>，总体剩余容量219万m</w:t>
      </w:r>
      <w:r>
        <w:rPr>
          <w:rFonts w:hint="default" w:ascii="Times New Roman" w:hAnsi="Times New Roman" w:eastAsia="方正仿宋_GBK" w:cs="Times New Roman"/>
          <w:color w:val="auto"/>
          <w:kern w:val="2"/>
          <w:sz w:val="32"/>
          <w:szCs w:val="40"/>
          <w:lang w:val="en-US" w:eastAsia="zh-CN" w:bidi="ar-SA"/>
        </w:rPr>
        <w:t>³</w:t>
      </w:r>
      <w:r>
        <w:rPr>
          <w:rFonts w:hint="eastAsia" w:ascii="Times New Roman" w:hAnsi="Times New Roman" w:eastAsia="方正仿宋_GBK" w:cs="Times New Roman"/>
          <w:color w:val="auto"/>
          <w:kern w:val="2"/>
          <w:sz w:val="32"/>
          <w:szCs w:val="40"/>
          <w:lang w:val="en-US" w:eastAsia="zh-CN" w:bidi="ar-SA"/>
        </w:rPr>
        <w:t>（含待建</w:t>
      </w:r>
      <w:r>
        <w:rPr>
          <w:rFonts w:hint="default" w:ascii="Times New Roman" w:hAnsi="Times New Roman" w:eastAsia="方正仿宋_GBK" w:cs="Times New Roman"/>
          <w:color w:val="auto"/>
          <w:kern w:val="2"/>
          <w:sz w:val="32"/>
          <w:szCs w:val="40"/>
          <w:lang w:val="en-US" w:eastAsia="zh-CN" w:bidi="ar-SA"/>
        </w:rPr>
        <w:t>黄沙果园</w:t>
      </w:r>
      <w:r>
        <w:rPr>
          <w:rFonts w:hint="eastAsia" w:cs="Times New Roman"/>
          <w:color w:val="auto"/>
          <w:kern w:val="2"/>
          <w:sz w:val="32"/>
          <w:szCs w:val="40"/>
          <w:lang w:val="en-US" w:eastAsia="zh-CN" w:bidi="ar-SA"/>
        </w:rPr>
        <w:t>建筑弃土</w:t>
      </w:r>
      <w:r>
        <w:rPr>
          <w:rFonts w:hint="default" w:ascii="Times New Roman" w:hAnsi="Times New Roman" w:eastAsia="方正仿宋_GBK" w:cs="Times New Roman"/>
          <w:color w:val="auto"/>
          <w:kern w:val="2"/>
          <w:sz w:val="32"/>
          <w:szCs w:val="40"/>
          <w:lang w:val="en-US" w:eastAsia="zh-CN" w:bidi="ar-SA"/>
        </w:rPr>
        <w:t>消纳场</w:t>
      </w:r>
      <w:r>
        <w:rPr>
          <w:rFonts w:hint="eastAsia" w:ascii="Times New Roman" w:hAnsi="Times New Roman" w:eastAsia="方正仿宋_GBK" w:cs="Times New Roman"/>
          <w:color w:val="auto"/>
          <w:kern w:val="2"/>
          <w:sz w:val="32"/>
          <w:szCs w:val="40"/>
          <w:lang w:val="en-US" w:eastAsia="zh-CN" w:bidi="ar-SA"/>
        </w:rPr>
        <w:t>后期），其中桂东建筑垃圾消纳场和黄桷树弃土场容量已满，</w:t>
      </w:r>
      <w:r>
        <w:rPr>
          <w:rFonts w:hint="default" w:ascii="Times New Roman" w:hAnsi="Times New Roman" w:eastAsia="方正仿宋_GBK" w:cs="Times New Roman"/>
          <w:color w:val="auto"/>
          <w:kern w:val="2"/>
          <w:sz w:val="32"/>
          <w:szCs w:val="40"/>
          <w:lang w:val="en-US" w:eastAsia="zh-CN" w:bidi="ar-SA"/>
        </w:rPr>
        <w:t>高新区</w:t>
      </w:r>
      <w:r>
        <w:rPr>
          <w:rFonts w:hint="eastAsia" w:cs="Times New Roman"/>
          <w:color w:val="auto"/>
          <w:kern w:val="2"/>
          <w:sz w:val="32"/>
          <w:szCs w:val="40"/>
          <w:lang w:val="en-US" w:eastAsia="zh-CN" w:bidi="ar-SA"/>
        </w:rPr>
        <w:t>建筑垃圾</w:t>
      </w:r>
      <w:r>
        <w:rPr>
          <w:rFonts w:hint="default" w:ascii="Times New Roman" w:hAnsi="Times New Roman" w:eastAsia="方正仿宋_GBK" w:cs="Times New Roman"/>
          <w:color w:val="auto"/>
          <w:kern w:val="2"/>
          <w:sz w:val="32"/>
          <w:szCs w:val="40"/>
          <w:lang w:val="en-US" w:eastAsia="zh-CN" w:bidi="ar-SA"/>
        </w:rPr>
        <w:t>消纳场</w:t>
      </w:r>
      <w:r>
        <w:rPr>
          <w:rFonts w:hint="eastAsia" w:ascii="Times New Roman" w:hAnsi="Times New Roman" w:eastAsia="方正仿宋_GBK" w:cs="Times New Roman"/>
          <w:color w:val="auto"/>
          <w:kern w:val="2"/>
          <w:sz w:val="32"/>
          <w:szCs w:val="40"/>
          <w:lang w:val="en-US" w:eastAsia="zh-CN" w:bidi="ar-SA"/>
        </w:rPr>
        <w:t>剩余容量不足，区域现有建筑垃圾填埋场难以满足未来城市的发展需求。（详见表2-1、图2-1）</w:t>
      </w:r>
    </w:p>
    <w:p>
      <w:pPr>
        <w:pStyle w:val="15"/>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both"/>
        <w:textAlignment w:val="auto"/>
        <w:rPr>
          <w:rFonts w:hint="eastAsia" w:ascii="方正黑体_GBK" w:hAnsi="方正黑体_GBK" w:eastAsia="方正黑体_GBK" w:cs="方正黑体_GBK"/>
          <w:kern w:val="2"/>
          <w:sz w:val="28"/>
          <w:szCs w:val="21"/>
          <w:lang w:val="en-US" w:eastAsia="zh-CN" w:bidi="ar-SA"/>
        </w:rPr>
      </w:pPr>
    </w:p>
    <w:p>
      <w:pPr>
        <w:pStyle w:val="15"/>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方正黑体_GBK" w:hAnsi="方正黑体_GBK" w:eastAsia="方正黑体_GBK" w:cs="方正黑体_GBK"/>
          <w:kern w:val="2"/>
          <w:sz w:val="28"/>
          <w:szCs w:val="21"/>
          <w:lang w:val="en-US" w:eastAsia="zh-CN" w:bidi="ar-SA"/>
        </w:rPr>
      </w:pPr>
      <w:r>
        <w:rPr>
          <w:rFonts w:hint="eastAsia" w:ascii="方正黑体_GBK" w:hAnsi="方正黑体_GBK" w:eastAsia="方正黑体_GBK" w:cs="方正黑体_GBK"/>
          <w:kern w:val="2"/>
          <w:sz w:val="28"/>
          <w:szCs w:val="21"/>
          <w:lang w:val="en-US" w:eastAsia="zh-CN" w:bidi="ar-SA"/>
        </w:rPr>
        <w:t>表2-1 垫江县现状建筑垃圾填埋场一览表</w:t>
      </w:r>
    </w:p>
    <w:tbl>
      <w:tblPr>
        <w:tblStyle w:val="11"/>
        <w:tblpPr w:leftFromText="180" w:rightFromText="180" w:vertAnchor="text" w:horzAnchor="page" w:tblpX="1824" w:tblpY="547"/>
        <w:tblOverlap w:val="never"/>
        <w:tblW w:w="8585" w:type="dxa"/>
        <w:tblInd w:w="0" w:type="dxa"/>
        <w:tblLayout w:type="fixed"/>
        <w:tblCellMar>
          <w:top w:w="0" w:type="dxa"/>
          <w:left w:w="108" w:type="dxa"/>
          <w:bottom w:w="0" w:type="dxa"/>
          <w:right w:w="108" w:type="dxa"/>
        </w:tblCellMar>
      </w:tblPr>
      <w:tblGrid>
        <w:gridCol w:w="1050"/>
        <w:gridCol w:w="1419"/>
        <w:gridCol w:w="2007"/>
        <w:gridCol w:w="1034"/>
        <w:gridCol w:w="1050"/>
        <w:gridCol w:w="976"/>
        <w:gridCol w:w="960"/>
        <w:gridCol w:w="89"/>
      </w:tblGrid>
      <w:tr>
        <w:tblPrEx>
          <w:tblLayout w:type="fixed"/>
          <w:tblCellMar>
            <w:top w:w="0" w:type="dxa"/>
            <w:left w:w="108" w:type="dxa"/>
            <w:bottom w:w="0" w:type="dxa"/>
            <w:right w:w="108" w:type="dxa"/>
          </w:tblCellMar>
        </w:tblPrEx>
        <w:trPr>
          <w:gridAfter w:val="1"/>
          <w:wAfter w:w="89" w:type="dxa"/>
          <w:trHeight w:val="583" w:hRule="atLeast"/>
          <w:tblHeader/>
        </w:trPr>
        <w:tc>
          <w:tcPr>
            <w:tcW w:w="1050" w:type="dxa"/>
            <w:vMerge w:val="restart"/>
            <w:tcBorders>
              <w:top w:val="single" w:color="auto" w:sz="4" w:space="0"/>
              <w:left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lang w:val="en-US" w:eastAsia="zh-CN"/>
              </w:rPr>
            </w:pPr>
            <w:r>
              <w:rPr>
                <w:rFonts w:hint="default" w:ascii="Times New Roman" w:hAnsi="Times New Roman" w:eastAsia="方正黑体_GBK" w:cs="Times New Roman"/>
                <w:sz w:val="24"/>
                <w:szCs w:val="24"/>
                <w:lang w:val="en-US" w:eastAsia="zh-CN"/>
              </w:rPr>
              <w:t>序号</w:t>
            </w:r>
          </w:p>
        </w:tc>
        <w:tc>
          <w:tcPr>
            <w:tcW w:w="1419" w:type="dxa"/>
            <w:vMerge w:val="restar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项目名称</w:t>
            </w:r>
          </w:p>
        </w:tc>
        <w:tc>
          <w:tcPr>
            <w:tcW w:w="2007" w:type="dxa"/>
            <w:vMerge w:val="restar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项目位置</w:t>
            </w:r>
          </w:p>
        </w:tc>
        <w:tc>
          <w:tcPr>
            <w:tcW w:w="1034" w:type="dxa"/>
            <w:vMerge w:val="restar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投运时间</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总库容</w:t>
            </w:r>
          </w:p>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（万</w:t>
            </w:r>
            <w:r>
              <w:rPr>
                <w:rFonts w:hint="eastAsia" w:ascii="Times New Roman" w:hAnsi="Times New Roman" w:eastAsia="方正黑体_GBK" w:cs="Times New Roman"/>
                <w:sz w:val="24"/>
                <w:szCs w:val="24"/>
                <w:lang w:eastAsia="zh-CN"/>
              </w:rPr>
              <w:t>m³</w:t>
            </w:r>
            <w:r>
              <w:rPr>
                <w:rFonts w:hint="default" w:ascii="Times New Roman" w:hAnsi="Times New Roman" w:eastAsia="方正黑体_GBK" w:cs="Times New Roman"/>
                <w:sz w:val="24"/>
                <w:szCs w:val="24"/>
              </w:rPr>
              <w:t>）</w:t>
            </w:r>
          </w:p>
        </w:tc>
        <w:tc>
          <w:tcPr>
            <w:tcW w:w="976" w:type="dxa"/>
            <w:vMerge w:val="restar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剩余容量（万</w:t>
            </w:r>
            <w:r>
              <w:rPr>
                <w:rFonts w:hint="eastAsia" w:ascii="Times New Roman" w:hAnsi="Times New Roman" w:eastAsia="方正黑体_GBK" w:cs="Times New Roman"/>
                <w:sz w:val="24"/>
                <w:szCs w:val="24"/>
                <w:lang w:eastAsia="zh-CN"/>
              </w:rPr>
              <w:t>m³</w:t>
            </w:r>
            <w:r>
              <w:rPr>
                <w:rFonts w:hint="default" w:ascii="Times New Roman" w:hAnsi="Times New Roman" w:eastAsia="方正黑体_GBK" w:cs="Times New Roman"/>
                <w:sz w:val="24"/>
                <w:szCs w:val="24"/>
              </w:rPr>
              <w:t>）</w:t>
            </w:r>
          </w:p>
        </w:tc>
        <w:tc>
          <w:tcPr>
            <w:tcW w:w="960" w:type="dxa"/>
            <w:vMerge w:val="restar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存续状态</w:t>
            </w:r>
          </w:p>
        </w:tc>
      </w:tr>
      <w:tr>
        <w:tblPrEx>
          <w:tblLayout w:type="fixed"/>
          <w:tblCellMar>
            <w:top w:w="0" w:type="dxa"/>
            <w:left w:w="108" w:type="dxa"/>
            <w:bottom w:w="0" w:type="dxa"/>
            <w:right w:w="108" w:type="dxa"/>
          </w:tblCellMar>
        </w:tblPrEx>
        <w:trPr>
          <w:trHeight w:val="795" w:hRule="atLeast"/>
          <w:tblHeader/>
        </w:trPr>
        <w:tc>
          <w:tcPr>
            <w:tcW w:w="1050" w:type="dxa"/>
            <w:vMerge w:val="continue"/>
            <w:tcBorders>
              <w:left w:val="single" w:color="auto" w:sz="4" w:space="0"/>
              <w:bottom w:val="single" w:color="auto" w:sz="4" w:space="0"/>
              <w:right w:val="single" w:color="auto" w:sz="4" w:space="0"/>
            </w:tcBorders>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方正黑体_GBK" w:hAnsi="方正黑体_GBK" w:eastAsia="方正黑体_GBK" w:cs="方正黑体_GBK"/>
                <w:sz w:val="24"/>
                <w:szCs w:val="24"/>
              </w:rPr>
            </w:pPr>
          </w:p>
        </w:tc>
        <w:tc>
          <w:tcPr>
            <w:tcW w:w="1419"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方正黑体_GBK" w:hAnsi="方正黑体_GBK" w:eastAsia="方正黑体_GBK" w:cs="方正黑体_GBK"/>
                <w:sz w:val="24"/>
                <w:szCs w:val="24"/>
              </w:rPr>
            </w:pPr>
          </w:p>
        </w:tc>
        <w:tc>
          <w:tcPr>
            <w:tcW w:w="200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方正黑体_GBK" w:hAnsi="方正黑体_GBK" w:eastAsia="方正黑体_GBK" w:cs="方正黑体_GBK"/>
                <w:sz w:val="24"/>
                <w:szCs w:val="24"/>
              </w:rPr>
            </w:pPr>
          </w:p>
        </w:tc>
        <w:tc>
          <w:tcPr>
            <w:tcW w:w="1034"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方正黑体_GBK" w:hAnsi="方正黑体_GBK" w:eastAsia="方正黑体_GBK" w:cs="方正黑体_GBK"/>
                <w:sz w:val="24"/>
                <w:szCs w:val="24"/>
              </w:rPr>
            </w:pPr>
          </w:p>
        </w:tc>
        <w:tc>
          <w:tcPr>
            <w:tcW w:w="1050"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方正黑体_GBK" w:hAnsi="方正黑体_GBK" w:eastAsia="方正黑体_GBK" w:cs="方正黑体_GBK"/>
                <w:sz w:val="24"/>
                <w:szCs w:val="24"/>
              </w:rPr>
            </w:pPr>
          </w:p>
        </w:tc>
        <w:tc>
          <w:tcPr>
            <w:tcW w:w="976"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方正黑体_GBK" w:hAnsi="方正黑体_GBK" w:eastAsia="方正黑体_GBK" w:cs="方正黑体_GBK"/>
                <w:sz w:val="24"/>
                <w:szCs w:val="24"/>
              </w:rPr>
            </w:pPr>
          </w:p>
        </w:tc>
        <w:tc>
          <w:tcPr>
            <w:tcW w:w="960"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方正黑体_GBK" w:hAnsi="方正黑体_GBK" w:eastAsia="方正黑体_GBK" w:cs="方正黑体_GBK"/>
                <w:sz w:val="24"/>
                <w:szCs w:val="24"/>
              </w:rPr>
            </w:pPr>
          </w:p>
        </w:tc>
        <w:tc>
          <w:tcPr>
            <w:tcW w:w="89" w:type="dxa"/>
            <w:tcBorders>
              <w:top w:val="nil"/>
              <w:left w:val="nil"/>
              <w:bottom w:val="nil"/>
              <w:right w:val="nil"/>
            </w:tcBorders>
            <w:shd w:val="clear" w:color="auto" w:fill="auto"/>
            <w:tcMar>
              <w:left w:w="0" w:type="dxa"/>
              <w:right w:w="0" w:type="dxa"/>
            </w:tcMar>
            <w:vAlign w:val="bottom"/>
          </w:tcPr>
          <w:p>
            <w:pPr>
              <w:pStyle w:val="14"/>
              <w:keepNext w:val="0"/>
              <w:keepLines w:val="0"/>
              <w:pageBreakBefore w:val="0"/>
              <w:widowControl/>
              <w:kinsoku/>
              <w:wordWrap/>
              <w:overflowPunct/>
              <w:topLinePunct w:val="0"/>
              <w:autoSpaceDE/>
              <w:autoSpaceDN/>
              <w:bidi w:val="0"/>
              <w:spacing w:line="300" w:lineRule="exact"/>
              <w:rPr>
                <w:rFonts w:hint="eastAsia" w:ascii="方正黑体_GBK" w:hAnsi="方正黑体_GBK" w:eastAsia="方正黑体_GBK" w:cs="方正黑体_GBK"/>
                <w:sz w:val="24"/>
                <w:szCs w:val="24"/>
              </w:rPr>
            </w:pPr>
          </w:p>
        </w:tc>
      </w:tr>
      <w:tr>
        <w:tblPrEx>
          <w:tblLayout w:type="fixed"/>
          <w:tblCellMar>
            <w:top w:w="0" w:type="dxa"/>
            <w:left w:w="108" w:type="dxa"/>
            <w:bottom w:w="0" w:type="dxa"/>
            <w:right w:w="108" w:type="dxa"/>
          </w:tblCellMar>
        </w:tblPrEx>
        <w:trPr>
          <w:trHeight w:val="1629" w:hRule="atLeast"/>
        </w:trPr>
        <w:tc>
          <w:tcPr>
            <w:tcW w:w="1050"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w:t>
            </w:r>
          </w:p>
        </w:tc>
        <w:tc>
          <w:tcPr>
            <w:tcW w:w="1419"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i w:val="0"/>
                <w:iCs w:val="0"/>
                <w:color w:val="000000"/>
                <w:kern w:val="0"/>
                <w:sz w:val="24"/>
                <w:szCs w:val="24"/>
                <w:u w:val="none"/>
                <w:lang w:val="en-US" w:eastAsia="zh-CN" w:bidi="ar"/>
              </w:rPr>
              <w:t>垫江县高新区建筑垃圾消纳场</w:t>
            </w:r>
          </w:p>
        </w:tc>
        <w:tc>
          <w:tcPr>
            <w:tcW w:w="2007"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i w:val="0"/>
                <w:iCs w:val="0"/>
                <w:color w:val="000000"/>
                <w:kern w:val="0"/>
                <w:sz w:val="24"/>
                <w:szCs w:val="24"/>
                <w:u w:val="none"/>
                <w:lang w:val="en-US" w:eastAsia="zh-CN" w:bidi="ar"/>
              </w:rPr>
              <w:t>垫江县高新区桂阳组团003-02/02M2地块</w:t>
            </w:r>
          </w:p>
        </w:tc>
        <w:tc>
          <w:tcPr>
            <w:tcW w:w="1034"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i w:val="0"/>
                <w:iCs w:val="0"/>
                <w:color w:val="000000"/>
                <w:kern w:val="0"/>
                <w:sz w:val="24"/>
                <w:szCs w:val="24"/>
                <w:u w:val="none"/>
                <w:lang w:val="en-US" w:eastAsia="zh-CN" w:bidi="ar"/>
              </w:rPr>
              <w:t>2022年7月18日</w:t>
            </w:r>
          </w:p>
        </w:tc>
        <w:tc>
          <w:tcPr>
            <w:tcW w:w="1050"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lang w:val="en-US"/>
              </w:rPr>
            </w:pPr>
            <w:r>
              <w:rPr>
                <w:rFonts w:hint="eastAsia" w:ascii="Times New Roman" w:hAnsi="Times New Roman" w:eastAsia="方正仿宋_GBK" w:cs="Times New Roman"/>
                <w:i w:val="0"/>
                <w:iCs w:val="0"/>
                <w:color w:val="000000"/>
                <w:kern w:val="0"/>
                <w:sz w:val="24"/>
                <w:szCs w:val="24"/>
                <w:u w:val="none"/>
                <w:lang w:val="en-US" w:eastAsia="zh-CN" w:bidi="ar"/>
              </w:rPr>
              <w:t>46.73</w:t>
            </w:r>
          </w:p>
        </w:tc>
        <w:tc>
          <w:tcPr>
            <w:tcW w:w="976" w:type="dxa"/>
            <w:tcBorders>
              <w:top w:val="nil"/>
              <w:left w:val="nil"/>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rPr>
              <w:t>2</w:t>
            </w:r>
            <w:r>
              <w:rPr>
                <w:rFonts w:hint="eastAsia" w:ascii="Times New Roman" w:hAnsi="Times New Roman" w:eastAsia="方正仿宋_GBK" w:cs="Times New Roman"/>
                <w:sz w:val="24"/>
                <w:szCs w:val="24"/>
                <w:lang w:val="en-US" w:eastAsia="zh-CN"/>
              </w:rPr>
              <w:t>0</w:t>
            </w:r>
          </w:p>
        </w:tc>
        <w:tc>
          <w:tcPr>
            <w:tcW w:w="960"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rPr>
              <w:t>正常</w:t>
            </w:r>
            <w:r>
              <w:rPr>
                <w:rFonts w:hint="eastAsia" w:ascii="Times New Roman" w:hAnsi="Times New Roman" w:eastAsia="方正仿宋_GBK" w:cs="Times New Roman"/>
                <w:sz w:val="24"/>
                <w:szCs w:val="24"/>
                <w:lang w:val="en-US" w:eastAsia="zh-CN"/>
              </w:rPr>
              <w:t>运营</w:t>
            </w:r>
          </w:p>
        </w:tc>
        <w:tc>
          <w:tcPr>
            <w:tcW w:w="89" w:type="dxa"/>
            <w:tcMar>
              <w:left w:w="0" w:type="dxa"/>
              <w:right w:w="0" w:type="dxa"/>
            </w:tcMar>
            <w:vAlign w:val="center"/>
          </w:tcPr>
          <w:p>
            <w:pPr>
              <w:pStyle w:val="14"/>
              <w:keepNext w:val="0"/>
              <w:keepLines w:val="0"/>
              <w:pageBreakBefore w:val="0"/>
              <w:widowControl/>
              <w:kinsoku/>
              <w:wordWrap/>
              <w:overflowPunct/>
              <w:topLinePunct w:val="0"/>
              <w:autoSpaceDE/>
              <w:autoSpaceDN/>
              <w:bidi w:val="0"/>
              <w:spacing w:line="300" w:lineRule="exact"/>
              <w:jc w:val="left"/>
              <w:rPr>
                <w:rFonts w:hAnsi="Times New Roman"/>
                <w:szCs w:val="21"/>
              </w:rPr>
            </w:pPr>
          </w:p>
        </w:tc>
      </w:tr>
      <w:tr>
        <w:tblPrEx>
          <w:tblLayout w:type="fixed"/>
          <w:tblCellMar>
            <w:top w:w="0" w:type="dxa"/>
            <w:left w:w="108" w:type="dxa"/>
            <w:bottom w:w="0" w:type="dxa"/>
            <w:right w:w="108" w:type="dxa"/>
          </w:tblCellMar>
        </w:tblPrEx>
        <w:trPr>
          <w:trHeight w:val="1629" w:hRule="atLeast"/>
        </w:trPr>
        <w:tc>
          <w:tcPr>
            <w:tcW w:w="1050"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w:t>
            </w:r>
          </w:p>
        </w:tc>
        <w:tc>
          <w:tcPr>
            <w:tcW w:w="1419"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黄沙果园建筑弃土消纳场</w:t>
            </w:r>
          </w:p>
        </w:tc>
        <w:tc>
          <w:tcPr>
            <w:tcW w:w="2007"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i w:val="0"/>
                <w:iCs w:val="0"/>
                <w:color w:val="000000"/>
                <w:kern w:val="0"/>
                <w:sz w:val="24"/>
                <w:szCs w:val="24"/>
                <w:u w:val="none"/>
                <w:lang w:val="en-US" w:eastAsia="zh-CN" w:bidi="ar"/>
              </w:rPr>
              <w:t>黄沙镇永进村10组</w:t>
            </w:r>
          </w:p>
        </w:tc>
        <w:tc>
          <w:tcPr>
            <w:tcW w:w="1034"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i w:val="0"/>
                <w:iCs w:val="0"/>
                <w:color w:val="000000"/>
                <w:kern w:val="0"/>
                <w:sz w:val="24"/>
                <w:szCs w:val="24"/>
                <w:u w:val="none"/>
                <w:lang w:val="en-US" w:eastAsia="zh-CN" w:bidi="ar"/>
              </w:rPr>
              <w:t>2023年11月3日</w:t>
            </w:r>
          </w:p>
        </w:tc>
        <w:tc>
          <w:tcPr>
            <w:tcW w:w="1050" w:type="dxa"/>
            <w:tcBorders>
              <w:top w:val="nil"/>
              <w:left w:val="nil"/>
              <w:bottom w:val="single" w:color="auto" w:sz="4" w:space="0"/>
              <w:right w:val="single" w:color="auto" w:sz="4" w:space="0"/>
            </w:tcBorders>
            <w:shd w:val="clear" w:color="auto" w:fill="auto"/>
            <w:tcMar>
              <w:left w:w="0" w:type="dxa"/>
              <w:right w:w="0" w:type="dxa"/>
            </w:tcMar>
            <w:vAlign w:val="center"/>
          </w:tcPr>
          <w:p>
            <w:pPr>
              <w:pStyle w:val="2"/>
              <w:keepNext w:val="0"/>
              <w:keepLines w:val="0"/>
              <w:pageBreakBefore w:val="0"/>
              <w:widowControl/>
              <w:kinsoku/>
              <w:wordWrap/>
              <w:overflowPunct/>
              <w:topLinePunct w:val="0"/>
              <w:bidi w:val="0"/>
              <w:spacing w:line="300" w:lineRule="exact"/>
              <w:jc w:val="center"/>
              <w:rPr>
                <w:rFonts w:hint="eastAsia"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一期30</w:t>
            </w:r>
          </w:p>
          <w:p>
            <w:pPr>
              <w:pStyle w:val="2"/>
              <w:keepNext w:val="0"/>
              <w:keepLines w:val="0"/>
              <w:pageBreakBefore w:val="0"/>
              <w:widowControl/>
              <w:kinsoku/>
              <w:wordWrap/>
              <w:overflowPunct/>
              <w:topLinePunct w:val="0"/>
              <w:bidi w:val="0"/>
              <w:spacing w:line="300" w:lineRule="exact"/>
              <w:jc w:val="center"/>
              <w:rPr>
                <w:rFonts w:hint="default"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（总规划200）</w:t>
            </w:r>
          </w:p>
        </w:tc>
        <w:tc>
          <w:tcPr>
            <w:tcW w:w="976" w:type="dxa"/>
            <w:tcBorders>
              <w:top w:val="nil"/>
              <w:left w:val="nil"/>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一期29</w:t>
            </w:r>
          </w:p>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仿宋_GBK" w:cs="Times New Roman"/>
                <w:sz w:val="24"/>
                <w:szCs w:val="24"/>
                <w:lang w:val="en-US" w:eastAsia="zh-CN"/>
              </w:rPr>
            </w:pPr>
            <w:r>
              <w:rPr>
                <w:rFonts w:hint="eastAsia" w:ascii="Times New Roman" w:hAnsi="Times New Roman" w:cs="Times New Roman"/>
                <w:sz w:val="24"/>
                <w:szCs w:val="24"/>
                <w:lang w:val="en-US" w:eastAsia="zh-CN"/>
              </w:rPr>
              <w:t>（</w:t>
            </w:r>
            <w:r>
              <w:rPr>
                <w:rFonts w:hint="eastAsia" w:ascii="Times New Roman" w:hAnsi="Times New Roman" w:eastAsia="方正仿宋_GBK" w:cs="Times New Roman"/>
                <w:sz w:val="24"/>
                <w:szCs w:val="24"/>
                <w:lang w:val="en-US" w:eastAsia="zh-CN"/>
              </w:rPr>
              <w:t>总规划</w:t>
            </w:r>
            <w:r>
              <w:rPr>
                <w:rFonts w:hint="eastAsia" w:ascii="Times New Roman" w:hAnsi="Times New Roman" w:cs="Times New Roman"/>
                <w:sz w:val="24"/>
                <w:szCs w:val="24"/>
                <w:lang w:val="en-US" w:eastAsia="zh-CN"/>
              </w:rPr>
              <w:t>199)</w:t>
            </w:r>
          </w:p>
        </w:tc>
        <w:tc>
          <w:tcPr>
            <w:tcW w:w="960"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正常</w:t>
            </w:r>
            <w:r>
              <w:rPr>
                <w:rFonts w:hint="eastAsia" w:ascii="Times New Roman" w:hAnsi="Times New Roman" w:eastAsia="方正仿宋_GBK" w:cs="Times New Roman"/>
                <w:sz w:val="24"/>
                <w:szCs w:val="24"/>
                <w:lang w:val="en-US" w:eastAsia="zh-CN"/>
              </w:rPr>
              <w:t>运营</w:t>
            </w:r>
          </w:p>
        </w:tc>
        <w:tc>
          <w:tcPr>
            <w:tcW w:w="89" w:type="dxa"/>
            <w:tcMar>
              <w:left w:w="0" w:type="dxa"/>
              <w:right w:w="0" w:type="dxa"/>
            </w:tcMar>
            <w:vAlign w:val="center"/>
          </w:tcPr>
          <w:p>
            <w:pPr>
              <w:pStyle w:val="14"/>
              <w:keepNext w:val="0"/>
              <w:keepLines w:val="0"/>
              <w:pageBreakBefore w:val="0"/>
              <w:widowControl/>
              <w:kinsoku/>
              <w:wordWrap/>
              <w:overflowPunct/>
              <w:topLinePunct w:val="0"/>
              <w:autoSpaceDE/>
              <w:autoSpaceDN/>
              <w:bidi w:val="0"/>
              <w:spacing w:line="300" w:lineRule="exact"/>
              <w:jc w:val="left"/>
              <w:rPr>
                <w:rFonts w:hAnsi="Times New Roman"/>
                <w:szCs w:val="21"/>
              </w:rPr>
            </w:pPr>
          </w:p>
        </w:tc>
      </w:tr>
      <w:tr>
        <w:tblPrEx>
          <w:tblLayout w:type="fixed"/>
          <w:tblCellMar>
            <w:top w:w="0" w:type="dxa"/>
            <w:left w:w="108" w:type="dxa"/>
            <w:bottom w:w="0" w:type="dxa"/>
            <w:right w:w="108" w:type="dxa"/>
          </w:tblCellMar>
        </w:tblPrEx>
        <w:trPr>
          <w:trHeight w:val="1405" w:hRule="atLeast"/>
        </w:trPr>
        <w:tc>
          <w:tcPr>
            <w:tcW w:w="1050"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w:t>
            </w:r>
          </w:p>
        </w:tc>
        <w:tc>
          <w:tcPr>
            <w:tcW w:w="1419"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桂东建筑垃圾消纳场</w:t>
            </w:r>
          </w:p>
        </w:tc>
        <w:tc>
          <w:tcPr>
            <w:tcW w:w="2007"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eastAsia" w:ascii="Times New Roman" w:hAnsi="Times New Roman" w:eastAsia="方正仿宋_GBK" w:cs="Times New Roman"/>
                <w:i w:val="0"/>
                <w:iCs w:val="0"/>
                <w:color w:val="000000"/>
                <w:kern w:val="0"/>
                <w:sz w:val="24"/>
                <w:szCs w:val="24"/>
                <w:u w:val="none"/>
                <w:lang w:val="en-US" w:eastAsia="zh-CN" w:bidi="ar"/>
              </w:rPr>
              <w:t>三合大道与人民东路交叉路口200m处</w:t>
            </w:r>
          </w:p>
        </w:tc>
        <w:tc>
          <w:tcPr>
            <w:tcW w:w="1034"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eastAsia" w:ascii="Times New Roman" w:hAnsi="Times New Roman" w:eastAsia="方正仿宋_GBK" w:cs="Times New Roman"/>
                <w:i w:val="0"/>
                <w:iCs w:val="0"/>
                <w:color w:val="000000"/>
                <w:kern w:val="0"/>
                <w:sz w:val="24"/>
                <w:szCs w:val="24"/>
                <w:u w:val="none"/>
                <w:lang w:val="en-US" w:eastAsia="zh-CN" w:bidi="ar"/>
              </w:rPr>
              <w:t>-</w:t>
            </w:r>
          </w:p>
        </w:tc>
        <w:tc>
          <w:tcPr>
            <w:tcW w:w="1050"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lang w:val="en-US"/>
              </w:rPr>
            </w:pPr>
            <w:r>
              <w:rPr>
                <w:rFonts w:hint="eastAsia" w:ascii="Times New Roman" w:hAnsi="Times New Roman" w:eastAsia="方正仿宋_GBK" w:cs="Times New Roman"/>
                <w:i w:val="0"/>
                <w:iCs w:val="0"/>
                <w:color w:val="000000"/>
                <w:kern w:val="0"/>
                <w:sz w:val="24"/>
                <w:szCs w:val="24"/>
                <w:u w:val="none"/>
                <w:lang w:val="en-US" w:eastAsia="zh-CN" w:bidi="ar"/>
              </w:rPr>
              <w:t>30</w:t>
            </w:r>
          </w:p>
        </w:tc>
        <w:tc>
          <w:tcPr>
            <w:tcW w:w="976" w:type="dxa"/>
            <w:tcBorders>
              <w:top w:val="nil"/>
              <w:left w:val="nil"/>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0</w:t>
            </w:r>
          </w:p>
        </w:tc>
        <w:tc>
          <w:tcPr>
            <w:tcW w:w="960"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封场</w:t>
            </w:r>
          </w:p>
        </w:tc>
        <w:tc>
          <w:tcPr>
            <w:tcW w:w="89" w:type="dxa"/>
            <w:tcMar>
              <w:left w:w="0" w:type="dxa"/>
              <w:right w:w="0" w:type="dxa"/>
            </w:tcMar>
            <w:vAlign w:val="center"/>
          </w:tcPr>
          <w:p>
            <w:pPr>
              <w:pStyle w:val="14"/>
              <w:keepNext w:val="0"/>
              <w:keepLines w:val="0"/>
              <w:pageBreakBefore w:val="0"/>
              <w:widowControl/>
              <w:kinsoku/>
              <w:wordWrap/>
              <w:overflowPunct/>
              <w:topLinePunct w:val="0"/>
              <w:autoSpaceDE/>
              <w:autoSpaceDN/>
              <w:bidi w:val="0"/>
              <w:spacing w:line="300" w:lineRule="exact"/>
              <w:jc w:val="left"/>
              <w:rPr>
                <w:rFonts w:hAnsi="Times New Roman"/>
                <w:szCs w:val="21"/>
              </w:rPr>
            </w:pPr>
          </w:p>
        </w:tc>
      </w:tr>
      <w:tr>
        <w:tblPrEx>
          <w:tblLayout w:type="fixed"/>
          <w:tblCellMar>
            <w:top w:w="0" w:type="dxa"/>
            <w:left w:w="108" w:type="dxa"/>
            <w:bottom w:w="0" w:type="dxa"/>
            <w:right w:w="108" w:type="dxa"/>
          </w:tblCellMar>
        </w:tblPrEx>
        <w:trPr>
          <w:trHeight w:val="1659" w:hRule="atLeast"/>
        </w:trPr>
        <w:tc>
          <w:tcPr>
            <w:tcW w:w="1050"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4</w:t>
            </w:r>
          </w:p>
        </w:tc>
        <w:tc>
          <w:tcPr>
            <w:tcW w:w="1419"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i w:val="0"/>
                <w:iCs w:val="0"/>
                <w:color w:val="000000"/>
                <w:kern w:val="0"/>
                <w:sz w:val="24"/>
                <w:szCs w:val="24"/>
                <w:u w:val="none"/>
                <w:lang w:val="en-US" w:eastAsia="zh-CN" w:bidi="ar"/>
              </w:rPr>
              <w:t>黄桷树弃土场</w:t>
            </w:r>
          </w:p>
        </w:tc>
        <w:tc>
          <w:tcPr>
            <w:tcW w:w="2007"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i w:val="0"/>
                <w:iCs w:val="0"/>
                <w:color w:val="000000"/>
                <w:kern w:val="0"/>
                <w:sz w:val="24"/>
                <w:szCs w:val="24"/>
                <w:u w:val="none"/>
                <w:lang w:val="en-US" w:eastAsia="zh-CN" w:bidi="ar"/>
              </w:rPr>
              <w:t>重庆市垫江县东部新区三合大道与健康路交界</w:t>
            </w:r>
          </w:p>
        </w:tc>
        <w:tc>
          <w:tcPr>
            <w:tcW w:w="1034"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i w:val="0"/>
                <w:iCs w:val="0"/>
                <w:color w:val="000000"/>
                <w:kern w:val="0"/>
                <w:sz w:val="24"/>
                <w:szCs w:val="24"/>
                <w:u w:val="none"/>
                <w:lang w:val="en-US" w:eastAsia="zh-CN" w:bidi="ar"/>
              </w:rPr>
              <w:t>2022年7月19日</w:t>
            </w:r>
          </w:p>
        </w:tc>
        <w:tc>
          <w:tcPr>
            <w:tcW w:w="1050"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sz w:val="24"/>
                <w:szCs w:val="24"/>
                <w:lang w:val="en-US"/>
              </w:rPr>
            </w:pPr>
            <w:r>
              <w:rPr>
                <w:rFonts w:hint="eastAsia" w:ascii="Times New Roman" w:hAnsi="Times New Roman" w:eastAsia="方正仿宋_GBK" w:cs="Times New Roman"/>
                <w:i w:val="0"/>
                <w:iCs w:val="0"/>
                <w:color w:val="000000"/>
                <w:kern w:val="0"/>
                <w:sz w:val="24"/>
                <w:szCs w:val="24"/>
                <w:u w:val="none"/>
                <w:lang w:val="en-US" w:eastAsia="zh-CN" w:bidi="ar"/>
              </w:rPr>
              <w:t>17</w:t>
            </w:r>
          </w:p>
        </w:tc>
        <w:tc>
          <w:tcPr>
            <w:tcW w:w="976" w:type="dxa"/>
            <w:tcBorders>
              <w:top w:val="nil"/>
              <w:left w:val="nil"/>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0</w:t>
            </w:r>
          </w:p>
        </w:tc>
        <w:tc>
          <w:tcPr>
            <w:tcW w:w="960"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封场</w:t>
            </w:r>
          </w:p>
        </w:tc>
        <w:tc>
          <w:tcPr>
            <w:tcW w:w="89" w:type="dxa"/>
            <w:tcMar>
              <w:left w:w="0" w:type="dxa"/>
              <w:right w:w="0" w:type="dxa"/>
            </w:tcMar>
            <w:vAlign w:val="center"/>
          </w:tcPr>
          <w:p>
            <w:pPr>
              <w:pStyle w:val="14"/>
              <w:keepNext w:val="0"/>
              <w:keepLines w:val="0"/>
              <w:pageBreakBefore w:val="0"/>
              <w:widowControl/>
              <w:kinsoku/>
              <w:wordWrap/>
              <w:overflowPunct/>
              <w:topLinePunct w:val="0"/>
              <w:autoSpaceDE/>
              <w:autoSpaceDN/>
              <w:bidi w:val="0"/>
              <w:spacing w:line="300" w:lineRule="exact"/>
              <w:jc w:val="left"/>
              <w:rPr>
                <w:rFonts w:hAnsi="Times New Roman"/>
                <w:szCs w:val="21"/>
              </w:rPr>
            </w:pPr>
          </w:p>
        </w:tc>
      </w:tr>
    </w:tbl>
    <w:p>
      <w:pPr>
        <w:pStyle w:val="2"/>
        <w:keepNext w:val="0"/>
        <w:keepLines w:val="0"/>
        <w:pageBreakBefore w:val="0"/>
        <w:widowControl w:val="0"/>
        <w:kinsoku/>
        <w:wordWrap/>
        <w:overflowPunct/>
        <w:topLinePunct w:val="0"/>
        <w:autoSpaceDE w:val="0"/>
        <w:autoSpaceDN w:val="0"/>
        <w:bidi w:val="0"/>
        <w:adjustRightInd w:val="0"/>
        <w:snapToGrid/>
        <w:spacing w:line="560" w:lineRule="exact"/>
        <w:jc w:val="both"/>
        <w:textAlignment w:val="auto"/>
        <w:rPr>
          <w:rFonts w:hint="eastAsia" w:ascii="方正黑体_GBK" w:hAnsi="方正黑体_GBK" w:eastAsia="方正黑体_GBK" w:cs="方正黑体_GBK"/>
          <w:b w:val="0"/>
          <w:bCs w:val="0"/>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黑体_GBK" w:hAnsi="方正黑体_GBK" w:eastAsia="方正黑体_GBK" w:cs="方正黑体_GBK"/>
          <w:b w:val="0"/>
          <w:bCs w:val="0"/>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黑体_GBK" w:hAnsi="方正黑体_GBK" w:eastAsia="方正黑体_GBK" w:cs="方正黑体_GBK"/>
          <w:b w:val="0"/>
          <w:bCs w:val="0"/>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黑体_GBK" w:hAnsi="方正黑体_GBK" w:eastAsia="方正黑体_GBK" w:cs="方正黑体_GBK"/>
          <w:b w:val="0"/>
          <w:bCs w:val="0"/>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黑体_GBK" w:hAnsi="方正黑体_GBK" w:eastAsia="方正黑体_GBK" w:cs="方正黑体_GBK"/>
          <w:b w:val="0"/>
          <w:bCs w:val="0"/>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黑体_GBK" w:hAnsi="方正黑体_GBK" w:eastAsia="方正黑体_GBK" w:cs="方正黑体_GBK"/>
          <w:b w:val="0"/>
          <w:bCs w:val="0"/>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黑体_GBK" w:hAnsi="方正黑体_GBK" w:eastAsia="方正黑体_GBK" w:cs="方正黑体_GBK"/>
          <w:b w:val="0"/>
          <w:bCs w:val="0"/>
          <w:color w:val="auto"/>
          <w:kern w:val="2"/>
          <w:sz w:val="28"/>
          <w:szCs w:val="28"/>
          <w:highlight w:val="none"/>
          <w:lang w:val="en-US" w:eastAsia="zh-CN" w:bidi="ar-SA"/>
        </w:rPr>
      </w:pPr>
      <w:r>
        <w:rPr>
          <w:rFonts w:hint="eastAsia" w:ascii="方正黑体_GBK" w:hAnsi="方正黑体_GBK" w:eastAsia="方正黑体_GBK" w:cs="方正黑体_GBK"/>
          <w:b w:val="0"/>
          <w:bCs w:val="0"/>
          <w:color w:val="auto"/>
          <w:kern w:val="2"/>
          <w:sz w:val="28"/>
          <w:szCs w:val="28"/>
          <w:highlight w:val="none"/>
          <w:lang w:val="en-US" w:eastAsia="zh-CN" w:bidi="ar-SA"/>
        </w:rPr>
        <w:t>图2-1 垫江县现状建筑垃圾填埋场区位图</w:t>
      </w: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黑体_GBK" w:hAnsi="方正黑体_GBK" w:eastAsia="方正黑体_GBK" w:cs="方正黑体_GBK"/>
          <w:b w:val="0"/>
          <w:bCs w:val="0"/>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方正黑体_GBK" w:hAnsi="方正黑体_GBK" w:eastAsia="方正黑体_GBK" w:cs="方正黑体_GBK"/>
          <w:b w:val="0"/>
          <w:bCs w:val="0"/>
          <w:color w:val="auto"/>
          <w:kern w:val="2"/>
          <w:sz w:val="28"/>
          <w:szCs w:val="28"/>
          <w:highlight w:val="none"/>
          <w:lang w:val="en-US" w:eastAsia="zh-CN" w:bidi="ar-SA"/>
        </w:rPr>
      </w:pPr>
      <w:r>
        <w:drawing>
          <wp:anchor distT="0" distB="0" distL="114300" distR="114300" simplePos="0" relativeHeight="251659264" behindDoc="0" locked="0" layoutInCell="1" allowOverlap="1">
            <wp:simplePos x="0" y="0"/>
            <wp:positionH relativeFrom="column">
              <wp:posOffset>291465</wp:posOffset>
            </wp:positionH>
            <wp:positionV relativeFrom="paragraph">
              <wp:posOffset>35560</wp:posOffset>
            </wp:positionV>
            <wp:extent cx="5224145" cy="4130040"/>
            <wp:effectExtent l="0" t="0" r="14605" b="381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24145" cy="4130040"/>
                    </a:xfrm>
                    <a:prstGeom prst="rect">
                      <a:avLst/>
                    </a:prstGeom>
                    <a:noFill/>
                    <a:ln>
                      <a:noFill/>
                    </a:ln>
                  </pic:spPr>
                </pic:pic>
              </a:graphicData>
            </a:graphic>
          </wp:anchor>
        </w:drawing>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（二）建筑垃圾综合资源化利用厂现状。</w:t>
      </w:r>
    </w:p>
    <w:p>
      <w:pPr>
        <w:keepNext w:val="0"/>
        <w:keepLines w:val="0"/>
        <w:widowControl/>
        <w:suppressLineNumbers w:val="0"/>
        <w:jc w:val="left"/>
        <w:rPr>
          <w:rFonts w:hint="eastAsia"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目前，垫江县暂未建设专门的装修垃圾分选场、建筑垃圾资源化利用厂，回收资源化利用市场尚处于空白，导致</w:t>
      </w:r>
      <w:r>
        <w:rPr>
          <w:rFonts w:hint="eastAsia" w:cs="Times New Roman"/>
          <w:color w:val="auto"/>
          <w:kern w:val="2"/>
          <w:sz w:val="32"/>
          <w:szCs w:val="40"/>
          <w:lang w:val="en-US" w:eastAsia="zh-CN" w:bidi="ar-SA"/>
        </w:rPr>
        <w:t>整体</w:t>
      </w:r>
      <w:r>
        <w:rPr>
          <w:rFonts w:hint="eastAsia" w:ascii="Times New Roman" w:hAnsi="Times New Roman" w:eastAsia="方正仿宋_GBK" w:cs="Times New Roman"/>
          <w:color w:val="auto"/>
          <w:kern w:val="2"/>
          <w:sz w:val="32"/>
          <w:szCs w:val="40"/>
          <w:lang w:val="en-US" w:eastAsia="zh-CN" w:bidi="ar-SA"/>
        </w:rPr>
        <w:t>资源化利用程度不高</w:t>
      </w:r>
      <w:r>
        <w:rPr>
          <w:rFonts w:hint="eastAsia" w:cs="Times New Roman"/>
          <w:color w:val="auto"/>
          <w:kern w:val="2"/>
          <w:sz w:val="32"/>
          <w:szCs w:val="40"/>
          <w:lang w:val="en-US" w:eastAsia="zh-CN" w:bidi="ar-SA"/>
        </w:rPr>
        <w:t>。</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cs="Times New Roman"/>
          <w:color w:val="auto"/>
          <w:kern w:val="2"/>
          <w:sz w:val="32"/>
          <w:szCs w:val="40"/>
          <w:lang w:val="en-US" w:eastAsia="zh-CN" w:bidi="ar-SA"/>
        </w:rPr>
        <w:t>垫江县</w:t>
      </w:r>
      <w:r>
        <w:rPr>
          <w:rFonts w:hint="eastAsia" w:ascii="Times New Roman" w:hAnsi="Times New Roman" w:eastAsia="方正仿宋_GBK" w:cs="Times New Roman"/>
          <w:color w:val="auto"/>
          <w:kern w:val="2"/>
          <w:sz w:val="32"/>
          <w:szCs w:val="40"/>
          <w:lang w:val="en-US" w:eastAsia="zh-CN" w:bidi="ar-SA"/>
        </w:rPr>
        <w:t>装修垃圾主要通过前端分类后处置</w:t>
      </w:r>
      <w:r>
        <w:rPr>
          <w:rFonts w:hint="eastAsia" w:cs="Times New Roman"/>
          <w:color w:val="auto"/>
          <w:kern w:val="2"/>
          <w:sz w:val="32"/>
          <w:szCs w:val="40"/>
          <w:lang w:val="en-US" w:eastAsia="zh-CN" w:bidi="ar-SA"/>
        </w:rPr>
        <w:t>：</w:t>
      </w:r>
      <w:r>
        <w:rPr>
          <w:rFonts w:hint="eastAsia" w:ascii="Times New Roman" w:hAnsi="Times New Roman" w:eastAsia="方正仿宋_GBK" w:cs="Times New Roman"/>
          <w:color w:val="auto"/>
          <w:kern w:val="2"/>
          <w:sz w:val="32"/>
          <w:szCs w:val="40"/>
          <w:lang w:val="en-US" w:eastAsia="zh-CN" w:bidi="ar-SA"/>
        </w:rPr>
        <w:t>可燃烧物参照其他垃圾</w:t>
      </w:r>
      <w:r>
        <w:rPr>
          <w:rFonts w:hint="eastAsia" w:cs="Times New Roman"/>
          <w:color w:val="auto"/>
          <w:kern w:val="2"/>
          <w:sz w:val="32"/>
          <w:szCs w:val="40"/>
          <w:lang w:val="en-US" w:eastAsia="zh-CN" w:bidi="ar-SA"/>
        </w:rPr>
        <w:t>，通过</w:t>
      </w:r>
      <w:r>
        <w:rPr>
          <w:rFonts w:hint="eastAsia" w:ascii="Times New Roman" w:hAnsi="Times New Roman" w:eastAsia="方正仿宋_GBK" w:cs="Times New Roman"/>
          <w:color w:val="auto"/>
          <w:kern w:val="2"/>
          <w:sz w:val="32"/>
          <w:szCs w:val="40"/>
          <w:lang w:val="en-US" w:eastAsia="zh-CN" w:bidi="ar-SA"/>
        </w:rPr>
        <w:t>焚烧发电厂焚烧处置，可回收物进入再生资源回收系统回收，分捡后剩余弃土、砖石等建筑垃圾，运至黄沙果园建筑弃土</w:t>
      </w:r>
      <w:r>
        <w:rPr>
          <w:rFonts w:hint="eastAsia" w:cs="Times New Roman"/>
          <w:color w:val="auto"/>
          <w:kern w:val="2"/>
          <w:sz w:val="32"/>
          <w:szCs w:val="40"/>
          <w:lang w:val="en-US" w:eastAsia="zh-CN" w:bidi="ar-SA"/>
        </w:rPr>
        <w:t>消纳</w:t>
      </w:r>
      <w:r>
        <w:rPr>
          <w:rFonts w:hint="eastAsia" w:ascii="Times New Roman" w:hAnsi="Times New Roman" w:eastAsia="方正仿宋_GBK" w:cs="Times New Roman"/>
          <w:color w:val="auto"/>
          <w:kern w:val="2"/>
          <w:sz w:val="32"/>
          <w:szCs w:val="40"/>
          <w:lang w:val="en-US" w:eastAsia="zh-CN" w:bidi="ar-SA"/>
        </w:rPr>
        <w:t>场进行填埋处置。</w:t>
      </w:r>
    </w:p>
    <w:p>
      <w:pPr>
        <w:pStyle w:val="4"/>
        <w:pageBreakBefore w:val="0"/>
        <w:widowControl w:val="0"/>
        <w:numPr>
          <w:ilvl w:val="0"/>
          <w:numId w:val="0"/>
        </w:numPr>
        <w:kinsoku/>
        <w:wordWrap/>
        <w:overflowPunct/>
        <w:topLinePunct w:val="0"/>
        <w:autoSpaceDE/>
        <w:autoSpaceDN/>
        <w:bidi w:val="0"/>
        <w:adjustRightInd/>
        <w:snapToGrid/>
        <w:textAlignment w:val="auto"/>
        <w:rPr>
          <w:rFonts w:hint="eastAsia" w:ascii="方正楷体_GBK" w:hAnsi="方正楷体_GBK" w:eastAsia="方正楷体_GBK" w:cs="方正楷体_GBK"/>
          <w:highlight w:val="none"/>
          <w:lang w:val="en-US" w:eastAsia="zh-CN"/>
        </w:rPr>
      </w:pPr>
      <w:bookmarkStart w:id="14" w:name="_Toc484"/>
      <w:r>
        <w:rPr>
          <w:rFonts w:hint="eastAsia" w:ascii="方正楷体_GBK" w:hAnsi="方正楷体_GBK" w:eastAsia="方正楷体_GBK" w:cs="方正楷体_GBK"/>
          <w:highlight w:val="none"/>
          <w:lang w:val="en-US" w:eastAsia="zh-CN"/>
        </w:rPr>
        <w:t>第八条 产生量和处理量预测</w:t>
      </w:r>
      <w:bookmarkEnd w:id="14"/>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数据测算参照《建筑垃圾处理技术标准》（CJJ/T134-2019）</w:t>
      </w:r>
      <w:r>
        <w:rPr>
          <w:rFonts w:hint="default" w:ascii="Times New Roman" w:hAnsi="Times New Roman" w:eastAsia="方正仿宋_GBK" w:cs="Times New Roman"/>
          <w:color w:val="auto"/>
          <w:kern w:val="2"/>
          <w:sz w:val="32"/>
          <w:szCs w:val="40"/>
          <w:lang w:val="en-US" w:eastAsia="zh-CN" w:bidi="ar-SA"/>
        </w:rPr>
        <w:t>《重庆市垫江县国土空间总体规划（2021</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2035年）》</w:t>
      </w:r>
      <w:r>
        <w:rPr>
          <w:rFonts w:hint="eastAsia" w:ascii="Times New Roman" w:hAnsi="Times New Roman" w:eastAsia="方正仿宋_GBK" w:cs="Times New Roman"/>
          <w:color w:val="auto"/>
          <w:kern w:val="2"/>
          <w:sz w:val="32"/>
          <w:szCs w:val="40"/>
          <w:lang w:val="en-US" w:eastAsia="zh-CN" w:bidi="ar-SA"/>
        </w:rPr>
        <w:t>等文件，通过科学合理预测规划范围内的人口和新增建筑面积等指标，预测规划期的建筑垃圾产生量和处理量。</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规划期内，随着垫江县城镇化率增速放缓，未来建筑垃圾的产生量呈走低趋势。（产生量和处理量见表2-2、2-3、2-4）</w:t>
      </w:r>
    </w:p>
    <w:p>
      <w:pPr>
        <w:pStyle w:val="2"/>
        <w:jc w:val="center"/>
        <w:rPr>
          <w:rFonts w:hint="eastAsia" w:ascii="Times New Roman" w:hAnsi="Times New Roman" w:eastAsia="方正黑体_GBK" w:cs="Times New Roman"/>
          <w:color w:val="auto"/>
          <w:spacing w:val="-17"/>
          <w:w w:val="97"/>
          <w:kern w:val="2"/>
          <w:sz w:val="24"/>
          <w:szCs w:val="24"/>
          <w:lang w:val="en-US" w:eastAsia="zh-CN" w:bidi="ar-SA"/>
        </w:rPr>
      </w:pPr>
      <w:r>
        <w:rPr>
          <w:rFonts w:hint="eastAsia" w:ascii="Times New Roman" w:hAnsi="Times New Roman" w:eastAsia="方正黑体_GBK" w:cs="Times New Roman"/>
          <w:color w:val="auto"/>
          <w:spacing w:val="-17"/>
          <w:w w:val="97"/>
          <w:kern w:val="2"/>
          <w:sz w:val="28"/>
          <w:szCs w:val="28"/>
          <w:lang w:val="en-US" w:eastAsia="zh-CN" w:bidi="ar-SA"/>
        </w:rPr>
        <w:t>表2-2 垫江县建筑垃圾（最高）“产生量”预测一览表</w:t>
      </w:r>
    </w:p>
    <w:tbl>
      <w:tblPr>
        <w:tblStyle w:val="11"/>
        <w:tblpPr w:leftFromText="180" w:rightFromText="180" w:vertAnchor="text" w:horzAnchor="page" w:tblpX="2247" w:tblpY="293"/>
        <w:tblOverlap w:val="never"/>
        <w:tblW w:w="8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864"/>
        <w:gridCol w:w="1864"/>
        <w:gridCol w:w="1672"/>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127" w:type="dxa"/>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序号</w:t>
            </w:r>
          </w:p>
        </w:tc>
        <w:tc>
          <w:tcPr>
            <w:tcW w:w="1864" w:type="dxa"/>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垃圾种类</w:t>
            </w:r>
          </w:p>
        </w:tc>
        <w:tc>
          <w:tcPr>
            <w:tcW w:w="1864" w:type="dxa"/>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单位</w:t>
            </w:r>
          </w:p>
        </w:tc>
        <w:tc>
          <w:tcPr>
            <w:tcW w:w="1672" w:type="dxa"/>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2027年</w:t>
            </w:r>
          </w:p>
        </w:tc>
        <w:tc>
          <w:tcPr>
            <w:tcW w:w="1672" w:type="dxa"/>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127"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工程渣土</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万m³/年</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274.3</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127"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工程泥浆</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万m³/年</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2.7</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127"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工程垃圾</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万m³/年</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10.3</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127"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拆除垃圾</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万m³/年</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1127"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装修垃圾</w:t>
            </w:r>
          </w:p>
        </w:tc>
        <w:tc>
          <w:tcPr>
            <w:tcW w:w="1864" w:type="dxa"/>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万m³/年</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5.1</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trPr>
        <w:tc>
          <w:tcPr>
            <w:tcW w:w="4855" w:type="dxa"/>
            <w:gridSpan w:val="3"/>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合计</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299.2</w:t>
            </w:r>
          </w:p>
        </w:tc>
        <w:tc>
          <w:tcPr>
            <w:tcW w:w="1672"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243.4</w:t>
            </w:r>
          </w:p>
        </w:tc>
      </w:tr>
    </w:tbl>
    <w:p>
      <w:pPr>
        <w:pStyle w:val="15"/>
        <w:ind w:left="0" w:leftChars="0" w:firstLine="0" w:firstLineChars="0"/>
        <w:jc w:val="center"/>
        <w:rPr>
          <w:rFonts w:hint="eastAsia"/>
          <w:lang w:val="en-US" w:eastAsia="zh-CN"/>
        </w:rPr>
      </w:pPr>
      <w:r>
        <w:rPr>
          <w:rFonts w:hint="eastAsia" w:ascii="Times New Roman" w:hAnsi="Times New Roman" w:eastAsia="方正黑体_GBK" w:cs="Times New Roman"/>
          <w:color w:val="auto"/>
          <w:spacing w:val="-17"/>
          <w:w w:val="97"/>
          <w:kern w:val="2"/>
          <w:sz w:val="28"/>
          <w:szCs w:val="28"/>
          <w:lang w:val="en-US" w:eastAsia="zh-CN" w:bidi="ar-SA"/>
        </w:rPr>
        <w:t>表2-3 垫江县建筑垃圾（最高）待填埋量预测表</w:t>
      </w:r>
    </w:p>
    <w:tbl>
      <w:tblPr>
        <w:tblStyle w:val="11"/>
        <w:tblpPr w:leftFromText="180" w:rightFromText="180" w:vertAnchor="text" w:horzAnchor="page" w:tblpX="2134" w:tblpY="300"/>
        <w:tblOverlap w:val="never"/>
        <w:tblW w:w="83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0"/>
        <w:gridCol w:w="1763"/>
        <w:gridCol w:w="1365"/>
        <w:gridCol w:w="1371"/>
        <w:gridCol w:w="1383"/>
        <w:gridCol w:w="13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1" w:hRule="atLeast"/>
        </w:trPr>
        <w:tc>
          <w:tcPr>
            <w:tcW w:w="10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序号</w:t>
            </w:r>
          </w:p>
        </w:tc>
        <w:tc>
          <w:tcPr>
            <w:tcW w:w="17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垃圾种类</w:t>
            </w:r>
          </w:p>
        </w:tc>
        <w:tc>
          <w:tcPr>
            <w:tcW w:w="2736" w:type="dxa"/>
            <w:gridSpan w:val="2"/>
            <w:tcBorders>
              <w:top w:val="single" w:color="auto" w:sz="4" w:space="0"/>
              <w:left w:val="nil"/>
              <w:bottom w:val="single" w:color="auto" w:sz="4" w:space="0"/>
              <w:right w:val="single" w:color="auto"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填埋率（100%）</w:t>
            </w:r>
          </w:p>
        </w:tc>
        <w:tc>
          <w:tcPr>
            <w:tcW w:w="2768" w:type="dxa"/>
            <w:gridSpan w:val="2"/>
            <w:tcBorders>
              <w:top w:val="single" w:color="auto" w:sz="4" w:space="0"/>
              <w:left w:val="nil"/>
              <w:bottom w:val="single" w:color="auto" w:sz="4" w:space="0"/>
              <w:right w:val="single" w:color="auto"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填埋量（万m³/年）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10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p>
        </w:tc>
        <w:tc>
          <w:tcPr>
            <w:tcW w:w="17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p>
        </w:tc>
        <w:tc>
          <w:tcPr>
            <w:tcW w:w="1365" w:type="dxa"/>
            <w:tcBorders>
              <w:top w:val="nil"/>
              <w:left w:val="nil"/>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2027年</w:t>
            </w:r>
          </w:p>
        </w:tc>
        <w:tc>
          <w:tcPr>
            <w:tcW w:w="1371" w:type="dxa"/>
            <w:tcBorders>
              <w:top w:val="nil"/>
              <w:left w:val="nil"/>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2035年</w:t>
            </w:r>
          </w:p>
        </w:tc>
        <w:tc>
          <w:tcPr>
            <w:tcW w:w="1383" w:type="dxa"/>
            <w:tcBorders>
              <w:top w:val="nil"/>
              <w:left w:val="nil"/>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2027年</w:t>
            </w:r>
          </w:p>
        </w:tc>
        <w:tc>
          <w:tcPr>
            <w:tcW w:w="1385" w:type="dxa"/>
            <w:tcBorders>
              <w:top w:val="nil"/>
              <w:left w:val="nil"/>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109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w:t>
            </w:r>
          </w:p>
        </w:tc>
        <w:tc>
          <w:tcPr>
            <w:tcW w:w="176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工程渣土</w:t>
            </w:r>
          </w:p>
        </w:tc>
        <w:tc>
          <w:tcPr>
            <w:tcW w:w="136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30%</w:t>
            </w:r>
          </w:p>
        </w:tc>
        <w:tc>
          <w:tcPr>
            <w:tcW w:w="137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20%</w:t>
            </w:r>
          </w:p>
        </w:tc>
        <w:tc>
          <w:tcPr>
            <w:tcW w:w="13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82.3</w:t>
            </w:r>
          </w:p>
        </w:tc>
        <w:tc>
          <w:tcPr>
            <w:tcW w:w="138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109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w:t>
            </w:r>
          </w:p>
        </w:tc>
        <w:tc>
          <w:tcPr>
            <w:tcW w:w="176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工程泥浆</w:t>
            </w:r>
          </w:p>
        </w:tc>
        <w:tc>
          <w:tcPr>
            <w:tcW w:w="136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30%</w:t>
            </w:r>
          </w:p>
        </w:tc>
        <w:tc>
          <w:tcPr>
            <w:tcW w:w="137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20%</w:t>
            </w:r>
          </w:p>
        </w:tc>
        <w:tc>
          <w:tcPr>
            <w:tcW w:w="13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0.8</w:t>
            </w:r>
          </w:p>
        </w:tc>
        <w:tc>
          <w:tcPr>
            <w:tcW w:w="138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109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w:t>
            </w:r>
          </w:p>
        </w:tc>
        <w:tc>
          <w:tcPr>
            <w:tcW w:w="176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工程垃圾</w:t>
            </w:r>
          </w:p>
        </w:tc>
        <w:tc>
          <w:tcPr>
            <w:tcW w:w="136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35%</w:t>
            </w:r>
          </w:p>
        </w:tc>
        <w:tc>
          <w:tcPr>
            <w:tcW w:w="137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25%</w:t>
            </w:r>
          </w:p>
        </w:tc>
        <w:tc>
          <w:tcPr>
            <w:tcW w:w="13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3.6</w:t>
            </w:r>
          </w:p>
        </w:tc>
        <w:tc>
          <w:tcPr>
            <w:tcW w:w="138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109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4</w:t>
            </w:r>
          </w:p>
        </w:tc>
        <w:tc>
          <w:tcPr>
            <w:tcW w:w="176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拆除垃圾</w:t>
            </w:r>
          </w:p>
        </w:tc>
        <w:tc>
          <w:tcPr>
            <w:tcW w:w="136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35%</w:t>
            </w:r>
          </w:p>
        </w:tc>
        <w:tc>
          <w:tcPr>
            <w:tcW w:w="137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25%</w:t>
            </w:r>
          </w:p>
        </w:tc>
        <w:tc>
          <w:tcPr>
            <w:tcW w:w="13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2.4</w:t>
            </w:r>
          </w:p>
        </w:tc>
        <w:tc>
          <w:tcPr>
            <w:tcW w:w="138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109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5</w:t>
            </w:r>
          </w:p>
        </w:tc>
        <w:tc>
          <w:tcPr>
            <w:tcW w:w="176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装修垃圾</w:t>
            </w:r>
          </w:p>
        </w:tc>
        <w:tc>
          <w:tcPr>
            <w:tcW w:w="136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35%</w:t>
            </w:r>
          </w:p>
        </w:tc>
        <w:tc>
          <w:tcPr>
            <w:tcW w:w="137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25%</w:t>
            </w:r>
          </w:p>
        </w:tc>
        <w:tc>
          <w:tcPr>
            <w:tcW w:w="13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1.8</w:t>
            </w:r>
          </w:p>
        </w:tc>
        <w:tc>
          <w:tcPr>
            <w:tcW w:w="138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3" w:hRule="atLeast"/>
        </w:trPr>
        <w:tc>
          <w:tcPr>
            <w:tcW w:w="5589"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合计</w:t>
            </w:r>
          </w:p>
        </w:tc>
        <w:tc>
          <w:tcPr>
            <w:tcW w:w="13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90.9</w:t>
            </w:r>
          </w:p>
        </w:tc>
        <w:tc>
          <w:tcPr>
            <w:tcW w:w="138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49.5</w:t>
            </w:r>
          </w:p>
        </w:tc>
      </w:tr>
    </w:tbl>
    <w:p>
      <w:pPr>
        <w:pStyle w:val="2"/>
        <w:widowControl w:val="0"/>
        <w:numPr>
          <w:ilvl w:val="0"/>
          <w:numId w:val="0"/>
        </w:numPr>
        <w:autoSpaceDE w:val="0"/>
        <w:autoSpaceDN w:val="0"/>
        <w:adjustRightInd w:val="0"/>
        <w:rPr>
          <w:rFonts w:hint="eastAsia"/>
          <w:lang w:val="en-US" w:eastAsia="zh-CN"/>
        </w:rPr>
      </w:pPr>
    </w:p>
    <w:p>
      <w:pPr>
        <w:pStyle w:val="2"/>
        <w:widowControl w:val="0"/>
        <w:numPr>
          <w:ilvl w:val="0"/>
          <w:numId w:val="0"/>
        </w:numPr>
        <w:autoSpaceDE w:val="0"/>
        <w:autoSpaceDN w:val="0"/>
        <w:adjustRightInd w:val="0"/>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Times New Roman" w:hAnsi="Times New Roman" w:eastAsia="方正黑体_GBK" w:cs="Times New Roman"/>
          <w:color w:val="auto"/>
          <w:spacing w:val="-17"/>
          <w:w w:val="97"/>
          <w:kern w:val="2"/>
          <w:sz w:val="28"/>
          <w:szCs w:val="28"/>
          <w:lang w:val="en-US" w:eastAsia="zh-CN" w:bidi="ar-SA"/>
        </w:rPr>
      </w:pPr>
      <w:r>
        <w:rPr>
          <w:rFonts w:hint="eastAsia" w:ascii="Times New Roman" w:hAnsi="Times New Roman" w:eastAsia="方正黑体_GBK" w:cs="Times New Roman"/>
          <w:color w:val="auto"/>
          <w:spacing w:val="-17"/>
          <w:w w:val="97"/>
          <w:kern w:val="2"/>
          <w:sz w:val="28"/>
          <w:szCs w:val="28"/>
          <w:lang w:val="en-US" w:eastAsia="zh-CN" w:bidi="ar-SA"/>
        </w:rPr>
        <w:t>表2-4 垫江县建筑垃圾待资源化利用量（工程垃圾、拆除垃圾、装修垃圾）</w:t>
      </w:r>
    </w:p>
    <w:p>
      <w:pPr>
        <w:pStyle w:val="2"/>
        <w:widowControl w:val="0"/>
        <w:numPr>
          <w:ilvl w:val="0"/>
          <w:numId w:val="0"/>
        </w:numPr>
        <w:autoSpaceDE w:val="0"/>
        <w:autoSpaceDN w:val="0"/>
        <w:adjustRightInd w:val="0"/>
        <w:rPr>
          <w:rFonts w:hint="eastAsia"/>
          <w:lang w:val="en-US" w:eastAsia="zh-CN"/>
        </w:rPr>
      </w:pPr>
    </w:p>
    <w:tbl>
      <w:tblPr>
        <w:tblStyle w:val="11"/>
        <w:tblpPr w:leftFromText="180" w:rightFromText="180" w:vertAnchor="text" w:horzAnchor="page" w:tblpX="1891" w:tblpY="238"/>
        <w:tblOverlap w:val="never"/>
        <w:tblW w:w="867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5"/>
        <w:gridCol w:w="1160"/>
        <w:gridCol w:w="1097"/>
        <w:gridCol w:w="1087"/>
        <w:gridCol w:w="999"/>
        <w:gridCol w:w="1043"/>
        <w:gridCol w:w="1485"/>
        <w:gridCol w:w="12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79" w:hRule="atLeast"/>
          <w:jc w:val="center"/>
        </w:trPr>
        <w:tc>
          <w:tcPr>
            <w:tcW w:w="5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序号</w:t>
            </w:r>
          </w:p>
        </w:tc>
        <w:tc>
          <w:tcPr>
            <w:tcW w:w="11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垃圾种类</w:t>
            </w:r>
          </w:p>
        </w:tc>
        <w:tc>
          <w:tcPr>
            <w:tcW w:w="218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产生量预测</w:t>
            </w:r>
          </w:p>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（万吨/年）</w:t>
            </w:r>
          </w:p>
        </w:tc>
        <w:tc>
          <w:tcPr>
            <w:tcW w:w="204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资源化利用率目标</w:t>
            </w:r>
          </w:p>
        </w:tc>
        <w:tc>
          <w:tcPr>
            <w:tcW w:w="273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待资源化利用量</w:t>
            </w:r>
          </w:p>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（万吨/年）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6" w:hRule="atLeast"/>
          <w:jc w:val="center"/>
        </w:trPr>
        <w:tc>
          <w:tcPr>
            <w:tcW w:w="5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p>
        </w:tc>
        <w:tc>
          <w:tcPr>
            <w:tcW w:w="11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2027年</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2035年</w:t>
            </w:r>
          </w:p>
        </w:tc>
        <w:tc>
          <w:tcPr>
            <w:tcW w:w="99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2027年</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2035年</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2027年</w:t>
            </w:r>
          </w:p>
        </w:tc>
        <w:tc>
          <w:tcPr>
            <w:tcW w:w="12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9" w:hRule="atLeast"/>
          <w:jc w:val="center"/>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工程垃圾</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15.4</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11</w:t>
            </w: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55</w:t>
            </w:r>
            <w:r>
              <w:rPr>
                <w:rFonts w:hint="default" w:ascii="Times New Roman" w:hAnsi="Times New Roman" w:eastAsia="方正仿宋_GBK" w:cs="Times New Roman"/>
                <w:i w:val="0"/>
                <w:iCs w:val="0"/>
                <w:color w:val="000000"/>
                <w:kern w:val="0"/>
                <w:sz w:val="24"/>
                <w:szCs w:val="24"/>
                <w:u w:val="none"/>
                <w:lang w:val="en-US" w:eastAsia="zh-CN" w:bidi="ar"/>
              </w:rPr>
              <w:t>%</w:t>
            </w: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80</w:t>
            </w:r>
            <w:r>
              <w:rPr>
                <w:rFonts w:hint="default" w:ascii="Times New Roman" w:hAnsi="Times New Roman" w:eastAsia="方正仿宋_GBK" w:cs="Times New Roman"/>
                <w:i w:val="0"/>
                <w:iCs w:val="0"/>
                <w:color w:val="000000"/>
                <w:kern w:val="0"/>
                <w:sz w:val="24"/>
                <w:szCs w:val="24"/>
                <w:u w:val="none"/>
                <w:lang w:val="en-US" w:eastAsia="zh-CN" w:bidi="ar"/>
              </w:rPr>
              <w:t>%</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8.5</w:t>
            </w:r>
          </w:p>
        </w:tc>
        <w:tc>
          <w:tcPr>
            <w:tcW w:w="125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9" w:hRule="atLeast"/>
          <w:jc w:val="center"/>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拆除垃圾</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10.3</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7.0</w:t>
            </w: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55</w:t>
            </w:r>
            <w:r>
              <w:rPr>
                <w:rFonts w:hint="default" w:ascii="Times New Roman" w:hAnsi="Times New Roman" w:eastAsia="方正仿宋_GBK" w:cs="Times New Roman"/>
                <w:i w:val="0"/>
                <w:iCs w:val="0"/>
                <w:color w:val="000000"/>
                <w:kern w:val="0"/>
                <w:sz w:val="24"/>
                <w:szCs w:val="24"/>
                <w:u w:val="none"/>
                <w:lang w:val="en-US" w:eastAsia="zh-CN" w:bidi="ar"/>
              </w:rPr>
              <w:t>%</w:t>
            </w: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80</w:t>
            </w:r>
            <w:r>
              <w:rPr>
                <w:rFonts w:hint="default" w:ascii="Times New Roman" w:hAnsi="Times New Roman" w:eastAsia="方正仿宋_GBK" w:cs="Times New Roman"/>
                <w:i w:val="0"/>
                <w:iCs w:val="0"/>
                <w:color w:val="000000"/>
                <w:kern w:val="0"/>
                <w:sz w:val="24"/>
                <w:szCs w:val="24"/>
                <w:u w:val="none"/>
                <w:lang w:val="en-US" w:eastAsia="zh-CN" w:bidi="ar"/>
              </w:rPr>
              <w:t>%</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5.7</w:t>
            </w:r>
          </w:p>
        </w:tc>
        <w:tc>
          <w:tcPr>
            <w:tcW w:w="125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9" w:hRule="atLeast"/>
          <w:jc w:val="center"/>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装修垃圾</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55</w:t>
            </w:r>
            <w:r>
              <w:rPr>
                <w:rFonts w:hint="default" w:ascii="Times New Roman" w:hAnsi="Times New Roman" w:eastAsia="方正仿宋_GBK" w:cs="Times New Roman"/>
                <w:i w:val="0"/>
                <w:iCs w:val="0"/>
                <w:color w:val="000000"/>
                <w:kern w:val="0"/>
                <w:sz w:val="24"/>
                <w:szCs w:val="24"/>
                <w:u w:val="none"/>
                <w:lang w:val="en-US" w:eastAsia="zh-CN" w:bidi="ar"/>
              </w:rPr>
              <w:t>%</w:t>
            </w: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80</w:t>
            </w:r>
            <w:r>
              <w:rPr>
                <w:rFonts w:hint="default" w:ascii="Times New Roman" w:hAnsi="Times New Roman" w:eastAsia="方正仿宋_GBK" w:cs="Times New Roman"/>
                <w:i w:val="0"/>
                <w:iCs w:val="0"/>
                <w:color w:val="000000"/>
                <w:kern w:val="0"/>
                <w:sz w:val="24"/>
                <w:szCs w:val="24"/>
                <w:u w:val="none"/>
                <w:lang w:val="en-US" w:eastAsia="zh-CN" w:bidi="ar"/>
              </w:rPr>
              <w:t>%</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4.2</w:t>
            </w:r>
          </w:p>
        </w:tc>
        <w:tc>
          <w:tcPr>
            <w:tcW w:w="125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8" w:hRule="atLeast"/>
          <w:jc w:val="center"/>
        </w:trPr>
        <w:tc>
          <w:tcPr>
            <w:tcW w:w="5941"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合计</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18.3</w:t>
            </w:r>
          </w:p>
        </w:tc>
        <w:tc>
          <w:tcPr>
            <w:tcW w:w="125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w:t>
            </w:r>
          </w:p>
        </w:tc>
      </w:tr>
    </w:tbl>
    <w:p>
      <w:pPr>
        <w:pStyle w:val="2"/>
        <w:widowControl w:val="0"/>
        <w:numPr>
          <w:ilvl w:val="0"/>
          <w:numId w:val="0"/>
        </w:numPr>
        <w:autoSpaceDE w:val="0"/>
        <w:autoSpaceDN w:val="0"/>
        <w:adjustRightInd w:val="0"/>
        <w:rPr>
          <w:rFonts w:hint="eastAsia"/>
          <w:lang w:val="en-US" w:eastAsia="zh-CN"/>
        </w:rPr>
      </w:pPr>
    </w:p>
    <w:p>
      <w:pPr>
        <w:pStyle w:val="4"/>
        <w:pageBreakBefore w:val="0"/>
        <w:widowControl w:val="0"/>
        <w:numPr>
          <w:ilvl w:val="0"/>
          <w:numId w:val="0"/>
        </w:numPr>
        <w:kinsoku/>
        <w:wordWrap/>
        <w:overflowPunct/>
        <w:topLinePunct w:val="0"/>
        <w:autoSpaceDE/>
        <w:autoSpaceDN/>
        <w:bidi w:val="0"/>
        <w:adjustRightInd/>
        <w:snapToGrid/>
        <w:ind w:leftChars="0"/>
        <w:textAlignment w:val="auto"/>
        <w:rPr>
          <w:rFonts w:hint="eastAsia" w:ascii="方正楷体_GBK" w:hAnsi="方正楷体_GBK" w:eastAsia="方正楷体_GBK" w:cs="方正楷体_GBK"/>
          <w:highlight w:val="none"/>
          <w:lang w:val="en-US" w:eastAsia="zh-CN"/>
        </w:rPr>
      </w:pPr>
      <w:bookmarkStart w:id="15" w:name="_Toc4582"/>
      <w:r>
        <w:rPr>
          <w:rFonts w:hint="eastAsia" w:ascii="方正楷体_GBK" w:hAnsi="方正楷体_GBK" w:eastAsia="方正楷体_GBK" w:cs="方正楷体_GBK"/>
          <w:highlight w:val="none"/>
          <w:lang w:val="en-US" w:eastAsia="zh-CN"/>
        </w:rPr>
        <w:t>第九条 重点规划方向</w:t>
      </w:r>
      <w:bookmarkEnd w:id="15"/>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cs="Times New Roman"/>
          <w:color w:val="auto"/>
          <w:kern w:val="2"/>
          <w:sz w:val="32"/>
          <w:szCs w:val="40"/>
          <w:lang w:val="en-US" w:eastAsia="zh-CN" w:bidi="ar-SA"/>
        </w:rPr>
        <w:t>（一）</w:t>
      </w:r>
      <w:r>
        <w:rPr>
          <w:rFonts w:hint="eastAsia" w:ascii="Times New Roman" w:hAnsi="Times New Roman" w:eastAsia="方正仿宋_GBK" w:cs="Times New Roman"/>
          <w:color w:val="auto"/>
          <w:kern w:val="2"/>
          <w:sz w:val="32"/>
          <w:szCs w:val="40"/>
          <w:lang w:val="en-US" w:eastAsia="zh-CN" w:bidi="ar-SA"/>
        </w:rPr>
        <w:t>基于建筑垃圾综合利用率目标。目标率将持续走高，源头减量、资源化利用、工程回填等将是重点突破方向。</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cs="Times New Roman"/>
          <w:color w:val="auto"/>
          <w:kern w:val="2"/>
          <w:sz w:val="32"/>
          <w:szCs w:val="40"/>
          <w:lang w:val="en-US" w:eastAsia="zh-CN" w:bidi="ar-SA"/>
        </w:rPr>
        <w:t>（二）</w:t>
      </w:r>
      <w:r>
        <w:rPr>
          <w:rFonts w:hint="eastAsia" w:ascii="Times New Roman" w:hAnsi="Times New Roman" w:eastAsia="方正仿宋_GBK" w:cs="Times New Roman"/>
          <w:color w:val="auto"/>
          <w:kern w:val="2"/>
          <w:sz w:val="32"/>
          <w:szCs w:val="40"/>
          <w:lang w:val="en-US" w:eastAsia="zh-CN" w:bidi="ar-SA"/>
        </w:rPr>
        <w:t>基于建筑垃圾处置设施现状。目前处置设施不足，待处理量缺口大，建筑垃圾填埋场和综合资源利用厂亟需新增补充。</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cs="Times New Roman"/>
          <w:color w:val="auto"/>
          <w:kern w:val="2"/>
          <w:sz w:val="32"/>
          <w:szCs w:val="40"/>
          <w:lang w:val="en-US" w:eastAsia="zh-CN" w:bidi="ar-SA"/>
        </w:rPr>
        <w:t>（三）</w:t>
      </w:r>
      <w:r>
        <w:rPr>
          <w:rFonts w:hint="eastAsia" w:ascii="Times New Roman" w:hAnsi="Times New Roman" w:eastAsia="方正仿宋_GBK" w:cs="Times New Roman"/>
          <w:color w:val="auto"/>
          <w:kern w:val="2"/>
          <w:sz w:val="32"/>
          <w:szCs w:val="40"/>
          <w:lang w:val="en-US" w:eastAsia="zh-CN" w:bidi="ar-SA"/>
        </w:rPr>
        <w:t>基于垫江县建筑垃圾污染防治。建筑垃圾污染防治工作不可松懈，完善建筑垃圾分类、</w:t>
      </w:r>
      <w:r>
        <w:rPr>
          <w:rFonts w:hint="default" w:ascii="Times New Roman" w:hAnsi="Times New Roman" w:eastAsia="方正仿宋_GBK" w:cs="Times New Roman"/>
          <w:color w:val="auto"/>
          <w:kern w:val="2"/>
          <w:sz w:val="32"/>
          <w:szCs w:val="40"/>
          <w:lang w:val="en-US" w:eastAsia="zh-CN" w:bidi="ar-SA"/>
        </w:rPr>
        <w:t>规范建筑垃圾</w:t>
      </w:r>
      <w:r>
        <w:rPr>
          <w:rFonts w:hint="eastAsia" w:ascii="Times New Roman" w:hAnsi="Times New Roman" w:eastAsia="方正仿宋_GBK" w:cs="Times New Roman"/>
          <w:color w:val="auto"/>
          <w:kern w:val="2"/>
          <w:sz w:val="32"/>
          <w:szCs w:val="40"/>
          <w:lang w:val="en-US" w:eastAsia="zh-CN" w:bidi="ar-SA"/>
        </w:rPr>
        <w:t>收集、严控</w:t>
      </w:r>
      <w:r>
        <w:rPr>
          <w:rFonts w:hint="default" w:ascii="Times New Roman" w:hAnsi="Times New Roman" w:eastAsia="方正仿宋_GBK" w:cs="Times New Roman"/>
          <w:color w:val="auto"/>
          <w:kern w:val="2"/>
          <w:sz w:val="32"/>
          <w:szCs w:val="40"/>
          <w:lang w:val="en-US" w:eastAsia="zh-CN" w:bidi="ar-SA"/>
        </w:rPr>
        <w:t>运输过程</w:t>
      </w:r>
      <w:r>
        <w:rPr>
          <w:rFonts w:hint="eastAsia" w:ascii="Times New Roman" w:hAnsi="Times New Roman" w:eastAsia="方正仿宋_GBK" w:cs="Times New Roman"/>
          <w:color w:val="auto"/>
          <w:kern w:val="2"/>
          <w:sz w:val="32"/>
          <w:szCs w:val="40"/>
          <w:lang w:val="en-US" w:eastAsia="zh-CN" w:bidi="ar-SA"/>
        </w:rPr>
        <w:t>和垃圾处理等管理工作将持续加强。</w:t>
      </w:r>
    </w:p>
    <w:p>
      <w:pPr>
        <w:pStyle w:val="3"/>
        <w:keepNext/>
        <w:keepLines/>
        <w:pageBreakBefore w:val="0"/>
        <w:widowControl w:val="0"/>
        <w:kinsoku/>
        <w:wordWrap/>
        <w:overflowPunct/>
        <w:topLinePunct w:val="0"/>
        <w:autoSpaceDE/>
        <w:autoSpaceDN/>
        <w:bidi w:val="0"/>
        <w:adjustRightInd/>
        <w:snapToGrid/>
        <w:ind w:left="0" w:leftChars="0" w:firstLine="0" w:firstLineChars="0"/>
        <w:textAlignment w:val="auto"/>
        <w:rPr>
          <w:rFonts w:hint="eastAsia"/>
          <w:sz w:val="32"/>
          <w:szCs w:val="21"/>
          <w:highlight w:val="none"/>
          <w:lang w:val="en-US" w:eastAsia="zh-CN"/>
        </w:rPr>
      </w:pPr>
      <w:bookmarkStart w:id="16" w:name="_Toc475"/>
      <w:r>
        <w:rPr>
          <w:rFonts w:hint="eastAsia"/>
          <w:sz w:val="32"/>
          <w:szCs w:val="21"/>
          <w:highlight w:val="none"/>
          <w:lang w:val="en-US" w:eastAsia="zh-CN"/>
        </w:rPr>
        <w:fldChar w:fldCharType="begin"/>
      </w:r>
      <w:r>
        <w:rPr>
          <w:rFonts w:hint="eastAsia"/>
          <w:sz w:val="32"/>
          <w:szCs w:val="21"/>
          <w:highlight w:val="none"/>
          <w:lang w:val="en-US" w:eastAsia="zh-CN"/>
        </w:rPr>
        <w:instrText xml:space="preserve"> HYPERLINK \l "_Toc24552688" </w:instrText>
      </w:r>
      <w:r>
        <w:rPr>
          <w:rFonts w:hint="eastAsia"/>
          <w:sz w:val="32"/>
          <w:szCs w:val="21"/>
          <w:highlight w:val="none"/>
          <w:lang w:val="en-US" w:eastAsia="zh-CN"/>
        </w:rPr>
        <w:fldChar w:fldCharType="separate"/>
      </w:r>
      <w:bookmarkStart w:id="17" w:name="_Toc92730577"/>
      <w:r>
        <w:rPr>
          <w:rFonts w:hint="eastAsia"/>
          <w:sz w:val="32"/>
          <w:szCs w:val="21"/>
          <w:highlight w:val="none"/>
          <w:lang w:val="en-US" w:eastAsia="zh-CN"/>
        </w:rPr>
        <w:t>第三章 建筑垃圾减量化</w:t>
      </w:r>
      <w:bookmarkEnd w:id="17"/>
      <w:r>
        <w:rPr>
          <w:rFonts w:hint="eastAsia"/>
          <w:sz w:val="32"/>
          <w:szCs w:val="21"/>
          <w:highlight w:val="none"/>
          <w:lang w:val="en-US" w:eastAsia="zh-CN"/>
        </w:rPr>
        <w:t>发展</w:t>
      </w:r>
      <w:r>
        <w:rPr>
          <w:rFonts w:hint="eastAsia"/>
          <w:sz w:val="32"/>
          <w:szCs w:val="21"/>
          <w:highlight w:val="none"/>
          <w:lang w:val="en-US" w:eastAsia="zh-CN"/>
        </w:rPr>
        <w:fldChar w:fldCharType="end"/>
      </w:r>
      <w:bookmarkEnd w:id="16"/>
    </w:p>
    <w:p>
      <w:pPr>
        <w:pStyle w:val="4"/>
        <w:pageBreakBefore w:val="0"/>
        <w:widowControl w:val="0"/>
        <w:kinsoku/>
        <w:wordWrap/>
        <w:overflowPunct/>
        <w:topLinePunct w:val="0"/>
        <w:autoSpaceDE/>
        <w:autoSpaceDN/>
        <w:bidi w:val="0"/>
        <w:adjustRightInd/>
        <w:snapToGrid/>
        <w:jc w:val="left"/>
        <w:textAlignment w:val="auto"/>
        <w:rPr>
          <w:rFonts w:hint="eastAsia"/>
          <w:lang w:val="en-US" w:eastAsia="zh-CN"/>
        </w:rPr>
      </w:pPr>
      <w:bookmarkStart w:id="18" w:name="_Toc16193"/>
      <w:r>
        <w:rPr>
          <w:rFonts w:hint="eastAsia" w:ascii="方正楷体_GBK" w:hAnsi="方正楷体_GBK" w:eastAsia="方正楷体_GBK" w:cs="方正楷体_GBK"/>
          <w:sz w:val="32"/>
          <w:szCs w:val="21"/>
          <w:highlight w:val="none"/>
          <w:lang w:val="en-US" w:eastAsia="zh-CN"/>
        </w:rPr>
        <w:t>第十条</w:t>
      </w:r>
      <w:r>
        <w:rPr>
          <w:rFonts w:hint="eastAsia" w:ascii="方正楷体_GBK" w:hAnsi="方正楷体_GBK" w:eastAsia="方正楷体_GBK" w:cs="方正楷体_GBK"/>
          <w:sz w:val="32"/>
          <w:szCs w:val="21"/>
          <w:highlight w:val="none"/>
          <w:lang w:val="en-US" w:eastAsia="zh-CN"/>
        </w:rPr>
        <w:fldChar w:fldCharType="begin"/>
      </w:r>
      <w:r>
        <w:rPr>
          <w:rFonts w:hint="eastAsia" w:ascii="方正楷体_GBK" w:hAnsi="方正楷体_GBK" w:eastAsia="方正楷体_GBK" w:cs="方正楷体_GBK"/>
          <w:sz w:val="32"/>
          <w:szCs w:val="21"/>
          <w:highlight w:val="none"/>
          <w:lang w:val="en-US" w:eastAsia="zh-CN"/>
        </w:rPr>
        <w:instrText xml:space="preserve"> HYPERLINK \l "_Toc24552688" </w:instrText>
      </w:r>
      <w:r>
        <w:rPr>
          <w:rFonts w:hint="eastAsia" w:ascii="方正楷体_GBK" w:hAnsi="方正楷体_GBK" w:eastAsia="方正楷体_GBK" w:cs="方正楷体_GBK"/>
          <w:sz w:val="32"/>
          <w:szCs w:val="21"/>
          <w:highlight w:val="none"/>
          <w:lang w:val="en-US" w:eastAsia="zh-CN"/>
        </w:rPr>
        <w:fldChar w:fldCharType="separate"/>
      </w:r>
      <w:r>
        <w:rPr>
          <w:rFonts w:hint="eastAsia" w:ascii="方正楷体_GBK" w:hAnsi="方正楷体_GBK" w:eastAsia="方正楷体_GBK" w:cs="方正楷体_GBK"/>
          <w:sz w:val="32"/>
          <w:szCs w:val="21"/>
          <w:highlight w:val="none"/>
          <w:lang w:val="en-US" w:eastAsia="zh-CN"/>
        </w:rPr>
        <w:t xml:space="preserve"> </w:t>
      </w:r>
      <w:r>
        <w:rPr>
          <w:rFonts w:hint="eastAsia" w:ascii="方正楷体_GBK" w:hAnsi="方正楷体_GBK" w:eastAsia="方正楷体_GBK" w:cs="方正楷体_GBK"/>
          <w:kern w:val="2"/>
          <w:sz w:val="32"/>
          <w:szCs w:val="22"/>
          <w:lang w:val="en-US" w:eastAsia="zh-CN" w:bidi="ar-SA"/>
        </w:rPr>
        <w:t>源头减量</w:t>
      </w:r>
      <w:r>
        <w:rPr>
          <w:rFonts w:hint="eastAsia" w:ascii="方正楷体_GBK" w:hAnsi="方正楷体_GBK" w:eastAsia="方正楷体_GBK" w:cs="方正楷体_GBK"/>
          <w:sz w:val="32"/>
          <w:szCs w:val="21"/>
          <w:highlight w:val="none"/>
          <w:lang w:val="en-US" w:eastAsia="zh-CN"/>
        </w:rPr>
        <w:fldChar w:fldCharType="end"/>
      </w:r>
      <w:bookmarkEnd w:id="18"/>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优化场地及建筑设计。优化场地竖向设计，加强场地管理，以场地土方（含地下空间土方）自平衡的原则确定场地周边路面标高，充分利用现状地形特征，尊重自然，避免大挖大填。选用可减少建筑垃圾产生的结构设计及建材，考虑建筑物在将来拆除时建筑材料和构件的再生问题，将建筑渣土减排纳入待开发区各层次规划及建设过程中。</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实施新型建造方式。大力发展装配式建筑，积极推广钢结构装配式住宅，推行工厂化预制、装配化施工、信息化管理的建造模式。鼓励创新设计、施工技术与装备，优先选用绿色建材，实行全装修交付，减少施工现场建筑垃圾的产生。在建设单位主导下，推进建筑信息模型（BIM）等技术在工程设计和施工中的应用，减少设计中的“错漏碰缺”，辅助施工现场管理，提高资源利用率。根据</w:t>
      </w:r>
      <w:r>
        <w:rPr>
          <w:rFonts w:hint="default" w:ascii="Times New Roman" w:hAnsi="Times New Roman" w:eastAsia="方正仿宋_GBK" w:cs="Times New Roman"/>
          <w:color w:val="auto"/>
          <w:kern w:val="2"/>
          <w:sz w:val="32"/>
          <w:szCs w:val="40"/>
          <w:lang w:val="en-US" w:eastAsia="zh-CN" w:bidi="ar-SA"/>
        </w:rPr>
        <w:t>重庆市《质量强市建设实施方案》，到2027年，</w:t>
      </w:r>
      <w:r>
        <w:rPr>
          <w:rFonts w:hint="eastAsia" w:ascii="Times New Roman" w:hAnsi="Times New Roman" w:eastAsia="方正仿宋_GBK" w:cs="Times New Roman"/>
          <w:color w:val="auto"/>
          <w:kern w:val="2"/>
          <w:sz w:val="32"/>
          <w:szCs w:val="40"/>
          <w:lang w:val="en-US" w:eastAsia="zh-CN" w:bidi="ar-SA"/>
        </w:rPr>
        <w:t>全市</w:t>
      </w:r>
      <w:r>
        <w:rPr>
          <w:rFonts w:hint="default" w:ascii="Times New Roman" w:hAnsi="Times New Roman" w:eastAsia="方正仿宋_GBK" w:cs="Times New Roman"/>
          <w:color w:val="auto"/>
          <w:kern w:val="2"/>
          <w:sz w:val="32"/>
          <w:szCs w:val="40"/>
          <w:lang w:val="en-US" w:eastAsia="zh-CN" w:bidi="ar-SA"/>
        </w:rPr>
        <w:t>装配式建筑面积占新建建筑面积的比例达到35%以上，新建绿色建筑占比达到100%。</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（三）保证建筑物的质量和耐久性。杜绝偷工减料、以次充好，降低工程质量的现象。建立行之有效的工程管理体制，明确设计、施工、监理、验收单位的资质要求和经济以及法律责任，保证建筑工程的质量。</w:t>
      </w:r>
    </w:p>
    <w:p>
      <w:pPr>
        <w:pStyle w:val="4"/>
        <w:pageBreakBefore w:val="0"/>
        <w:widowControl w:val="0"/>
        <w:kinsoku/>
        <w:wordWrap/>
        <w:overflowPunct/>
        <w:topLinePunct w:val="0"/>
        <w:autoSpaceDE/>
        <w:autoSpaceDN/>
        <w:bidi w:val="0"/>
        <w:adjustRightInd/>
        <w:snapToGrid/>
        <w:jc w:val="both"/>
        <w:textAlignment w:val="auto"/>
        <w:rPr>
          <w:rFonts w:hint="eastAsia"/>
          <w:lang w:val="en-US" w:eastAsia="zh-CN"/>
        </w:rPr>
      </w:pPr>
      <w:bookmarkStart w:id="19" w:name="_Toc22452"/>
      <w:r>
        <w:rPr>
          <w:rFonts w:hint="eastAsia" w:ascii="方正楷体_GBK" w:hAnsi="方正楷体_GBK" w:eastAsia="方正楷体_GBK" w:cs="方正楷体_GBK"/>
          <w:sz w:val="32"/>
          <w:szCs w:val="21"/>
          <w:highlight w:val="none"/>
          <w:lang w:val="en-US" w:eastAsia="zh-CN"/>
        </w:rPr>
        <w:t>第十一条</w:t>
      </w:r>
      <w:r>
        <w:rPr>
          <w:rFonts w:hint="eastAsia" w:ascii="方正楷体_GBK" w:hAnsi="方正楷体_GBK" w:eastAsia="方正楷体_GBK" w:cs="方正楷体_GBK"/>
          <w:sz w:val="32"/>
          <w:szCs w:val="21"/>
          <w:highlight w:val="none"/>
          <w:lang w:val="en-US" w:eastAsia="zh-CN"/>
        </w:rPr>
        <w:fldChar w:fldCharType="begin"/>
      </w:r>
      <w:r>
        <w:rPr>
          <w:rFonts w:hint="eastAsia" w:ascii="方正楷体_GBK" w:hAnsi="方正楷体_GBK" w:eastAsia="方正楷体_GBK" w:cs="方正楷体_GBK"/>
          <w:sz w:val="32"/>
          <w:szCs w:val="21"/>
          <w:highlight w:val="none"/>
          <w:lang w:val="en-US" w:eastAsia="zh-CN"/>
        </w:rPr>
        <w:instrText xml:space="preserve"> HYPERLINK \l "_Toc24552688" </w:instrText>
      </w:r>
      <w:r>
        <w:rPr>
          <w:rFonts w:hint="eastAsia" w:ascii="方正楷体_GBK" w:hAnsi="方正楷体_GBK" w:eastAsia="方正楷体_GBK" w:cs="方正楷体_GBK"/>
          <w:sz w:val="32"/>
          <w:szCs w:val="21"/>
          <w:highlight w:val="none"/>
          <w:lang w:val="en-US" w:eastAsia="zh-CN"/>
        </w:rPr>
        <w:fldChar w:fldCharType="separate"/>
      </w:r>
      <w:r>
        <w:rPr>
          <w:rFonts w:hint="eastAsia" w:ascii="方正楷体_GBK" w:hAnsi="方正楷体_GBK" w:eastAsia="方正楷体_GBK" w:cs="方正楷体_GBK"/>
          <w:sz w:val="32"/>
          <w:szCs w:val="21"/>
          <w:highlight w:val="none"/>
          <w:lang w:val="en-US" w:eastAsia="zh-CN"/>
        </w:rPr>
        <w:t xml:space="preserve"> </w:t>
      </w:r>
      <w:r>
        <w:rPr>
          <w:rFonts w:hint="eastAsia" w:ascii="方正楷体_GBK" w:hAnsi="方正楷体_GBK" w:eastAsia="方正楷体_GBK" w:cs="方正楷体_GBK"/>
          <w:sz w:val="32"/>
          <w:szCs w:val="21"/>
          <w:highlight w:val="none"/>
          <w:lang w:val="en-US" w:eastAsia="zh-CN"/>
        </w:rPr>
        <w:fldChar w:fldCharType="end"/>
      </w:r>
      <w:r>
        <w:rPr>
          <w:rFonts w:hint="eastAsia" w:ascii="方正楷体_GBK" w:hAnsi="方正楷体_GBK" w:eastAsia="方正楷体_GBK" w:cs="方正楷体_GBK"/>
          <w:kern w:val="2"/>
          <w:sz w:val="32"/>
          <w:szCs w:val="22"/>
          <w:lang w:val="en-US" w:eastAsia="zh-CN" w:bidi="ar-SA"/>
        </w:rPr>
        <w:t>过程管控</w:t>
      </w:r>
      <w:bookmarkEnd w:id="19"/>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（一）加强施工管理。加强建筑施工的组织和管理工作，减少因施工质量原因造成返工产生的建筑垃圾。</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（二）推广施工新技术。推广新的施工技术，避免建筑材料在运输、储存、安装时损伤和破坏所产生的建筑垃圾；提高结构的施工精度，避免凿除或修补而产生的建筑垃圾；避免不必要的建筑产品包装。</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（三）增强施工环保意识。在施工过程中做到工完场清，多余材料做到及时回收再利用。</w:t>
      </w:r>
    </w:p>
    <w:p>
      <w:pPr>
        <w:pStyle w:val="4"/>
        <w:pageBreakBefore w:val="0"/>
        <w:widowControl w:val="0"/>
        <w:kinsoku/>
        <w:wordWrap/>
        <w:overflowPunct/>
        <w:topLinePunct w:val="0"/>
        <w:autoSpaceDE/>
        <w:autoSpaceDN/>
        <w:bidi w:val="0"/>
        <w:adjustRightInd/>
        <w:snapToGrid/>
        <w:jc w:val="both"/>
        <w:textAlignment w:val="auto"/>
        <w:rPr>
          <w:rFonts w:hint="eastAsia"/>
          <w:lang w:val="en-US" w:eastAsia="zh-CN"/>
        </w:rPr>
      </w:pPr>
      <w:bookmarkStart w:id="20" w:name="_Toc29464"/>
      <w:r>
        <w:rPr>
          <w:rFonts w:hint="eastAsia" w:ascii="方正楷体_GBK" w:hAnsi="方正楷体_GBK" w:eastAsia="方正楷体_GBK" w:cs="方正楷体_GBK"/>
          <w:sz w:val="32"/>
          <w:szCs w:val="21"/>
          <w:highlight w:val="none"/>
          <w:lang w:val="en-US" w:eastAsia="zh-CN"/>
        </w:rPr>
        <w:t>第十二条</w:t>
      </w:r>
      <w:r>
        <w:rPr>
          <w:rFonts w:hint="eastAsia" w:ascii="方正楷体_GBK" w:hAnsi="方正楷体_GBK" w:eastAsia="方正楷体_GBK" w:cs="方正楷体_GBK"/>
          <w:sz w:val="32"/>
          <w:szCs w:val="21"/>
          <w:highlight w:val="none"/>
          <w:lang w:val="en-US" w:eastAsia="zh-CN"/>
        </w:rPr>
        <w:fldChar w:fldCharType="begin"/>
      </w:r>
      <w:r>
        <w:rPr>
          <w:rFonts w:hint="eastAsia" w:ascii="方正楷体_GBK" w:hAnsi="方正楷体_GBK" w:eastAsia="方正楷体_GBK" w:cs="方正楷体_GBK"/>
          <w:sz w:val="32"/>
          <w:szCs w:val="21"/>
          <w:highlight w:val="none"/>
          <w:lang w:val="en-US" w:eastAsia="zh-CN"/>
        </w:rPr>
        <w:instrText xml:space="preserve"> HYPERLINK \l "_Toc24552688" </w:instrText>
      </w:r>
      <w:r>
        <w:rPr>
          <w:rFonts w:hint="eastAsia" w:ascii="方正楷体_GBK" w:hAnsi="方正楷体_GBK" w:eastAsia="方正楷体_GBK" w:cs="方正楷体_GBK"/>
          <w:sz w:val="32"/>
          <w:szCs w:val="21"/>
          <w:highlight w:val="none"/>
          <w:lang w:val="en-US" w:eastAsia="zh-CN"/>
        </w:rPr>
        <w:fldChar w:fldCharType="separate"/>
      </w:r>
      <w:r>
        <w:rPr>
          <w:rFonts w:hint="eastAsia" w:ascii="方正楷体_GBK" w:hAnsi="方正楷体_GBK" w:eastAsia="方正楷体_GBK" w:cs="方正楷体_GBK"/>
          <w:sz w:val="32"/>
          <w:szCs w:val="21"/>
          <w:highlight w:val="none"/>
          <w:lang w:val="en-US" w:eastAsia="zh-CN"/>
        </w:rPr>
        <w:t xml:space="preserve"> </w:t>
      </w:r>
      <w:r>
        <w:rPr>
          <w:rFonts w:hint="eastAsia" w:ascii="方正楷体_GBK" w:hAnsi="方正楷体_GBK" w:eastAsia="方正楷体_GBK" w:cs="方正楷体_GBK"/>
          <w:sz w:val="32"/>
          <w:szCs w:val="21"/>
          <w:highlight w:val="none"/>
          <w:lang w:val="en-US" w:eastAsia="zh-CN"/>
        </w:rPr>
        <w:fldChar w:fldCharType="end"/>
      </w:r>
      <w:r>
        <w:rPr>
          <w:rFonts w:hint="eastAsia" w:ascii="方正楷体_GBK" w:hAnsi="方正楷体_GBK" w:eastAsia="方正楷体_GBK" w:cs="方正楷体_GBK"/>
          <w:sz w:val="32"/>
          <w:szCs w:val="21"/>
          <w:highlight w:val="none"/>
          <w:lang w:val="en-US" w:eastAsia="zh-CN"/>
        </w:rPr>
        <w:t>强化利用</w:t>
      </w:r>
      <w:bookmarkEnd w:id="20"/>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（一）工程渣土、工程泥浆的直接利用。工程渣土、工程泥浆的直接利用方式主要有：堆土造景、矿坑修复、公路路基及工程项目回填等。</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工程垃圾、拆除垃圾的直接利用。工程垃圾、拆除垃圾的直接利用方式主要有：用作渣土桩填料，用作夯扩桩填料，建筑物拆除垃圾中完整尺寸的砖块经收集整理一般用于建筑施工工地的围墙、公路防护墙建设等，在城市兴建大型建筑、广场、市政设施时，将其作为回填材料来使用。</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（三）装修垃圾的直接利用。装修垃圾成分复杂，一般需要经过垃圾分类之后才能进行直接利用。其中主要能够直接利用的材料有砖块、混凝土、竹木、金属等。</w:t>
      </w:r>
    </w:p>
    <w:p>
      <w:pPr>
        <w:pStyle w:val="4"/>
        <w:pageBreakBefore w:val="0"/>
        <w:widowControl w:val="0"/>
        <w:kinsoku/>
        <w:wordWrap/>
        <w:overflowPunct/>
        <w:topLinePunct w:val="0"/>
        <w:autoSpaceDE/>
        <w:autoSpaceDN/>
        <w:bidi w:val="0"/>
        <w:adjustRightInd/>
        <w:snapToGrid/>
        <w:jc w:val="both"/>
        <w:textAlignment w:val="auto"/>
        <w:rPr>
          <w:rFonts w:hint="eastAsia"/>
          <w:lang w:val="en-US" w:eastAsia="zh-CN"/>
        </w:rPr>
      </w:pPr>
      <w:bookmarkStart w:id="21" w:name="_Toc11936"/>
      <w:r>
        <w:rPr>
          <w:rFonts w:hint="eastAsia" w:ascii="方正楷体_GBK" w:hAnsi="方正楷体_GBK" w:eastAsia="方正楷体_GBK" w:cs="方正楷体_GBK"/>
          <w:sz w:val="32"/>
          <w:szCs w:val="21"/>
          <w:highlight w:val="none"/>
          <w:lang w:val="en-US" w:eastAsia="zh-CN"/>
        </w:rPr>
        <w:t>第十三条</w:t>
      </w:r>
      <w:r>
        <w:rPr>
          <w:rFonts w:hint="eastAsia" w:ascii="方正楷体_GBK" w:hAnsi="方正楷体_GBK" w:eastAsia="方正楷体_GBK" w:cs="方正楷体_GBK"/>
          <w:sz w:val="32"/>
          <w:szCs w:val="21"/>
          <w:highlight w:val="none"/>
          <w:lang w:val="en-US" w:eastAsia="zh-CN"/>
        </w:rPr>
        <w:fldChar w:fldCharType="begin"/>
      </w:r>
      <w:r>
        <w:rPr>
          <w:rFonts w:hint="eastAsia" w:ascii="方正楷体_GBK" w:hAnsi="方正楷体_GBK" w:eastAsia="方正楷体_GBK" w:cs="方正楷体_GBK"/>
          <w:sz w:val="32"/>
          <w:szCs w:val="21"/>
          <w:highlight w:val="none"/>
          <w:lang w:val="en-US" w:eastAsia="zh-CN"/>
        </w:rPr>
        <w:instrText xml:space="preserve"> HYPERLINK \l "_Toc24552688" </w:instrText>
      </w:r>
      <w:r>
        <w:rPr>
          <w:rFonts w:hint="eastAsia" w:ascii="方正楷体_GBK" w:hAnsi="方正楷体_GBK" w:eastAsia="方正楷体_GBK" w:cs="方正楷体_GBK"/>
          <w:sz w:val="32"/>
          <w:szCs w:val="21"/>
          <w:highlight w:val="none"/>
          <w:lang w:val="en-US" w:eastAsia="zh-CN"/>
        </w:rPr>
        <w:fldChar w:fldCharType="separate"/>
      </w:r>
      <w:r>
        <w:rPr>
          <w:rFonts w:hint="eastAsia" w:ascii="方正楷体_GBK" w:hAnsi="方正楷体_GBK" w:eastAsia="方正楷体_GBK" w:cs="方正楷体_GBK"/>
          <w:sz w:val="32"/>
          <w:szCs w:val="21"/>
          <w:highlight w:val="none"/>
          <w:lang w:val="en-US" w:eastAsia="zh-CN"/>
        </w:rPr>
        <w:t xml:space="preserve"> </w:t>
      </w:r>
      <w:r>
        <w:rPr>
          <w:rFonts w:hint="eastAsia" w:ascii="方正楷体_GBK" w:hAnsi="方正楷体_GBK" w:eastAsia="方正楷体_GBK" w:cs="方正楷体_GBK"/>
          <w:sz w:val="32"/>
          <w:szCs w:val="21"/>
          <w:highlight w:val="none"/>
          <w:lang w:val="en-US" w:eastAsia="zh-CN"/>
        </w:rPr>
        <w:fldChar w:fldCharType="end"/>
      </w:r>
      <w:r>
        <w:rPr>
          <w:rFonts w:hint="eastAsia" w:ascii="方正楷体_GBK" w:hAnsi="方正楷体_GBK" w:eastAsia="方正楷体_GBK" w:cs="方正楷体_GBK"/>
          <w:kern w:val="44"/>
          <w:sz w:val="32"/>
          <w:szCs w:val="21"/>
          <w:highlight w:val="none"/>
          <w:lang w:val="en-US" w:eastAsia="zh-CN" w:bidi="ar-SA"/>
        </w:rPr>
        <w:t>增强消纳</w:t>
      </w:r>
      <w:bookmarkEnd w:id="21"/>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加快推进建筑垃圾资源化利用项目。积极推动高新区建筑垃圾资源化利用项目建设，该项目建成投用后，可从根本上解决垫江县建筑（装修）垃圾资源化利用程度不高的问题，同时，也可有效缓解装修垃圾乱倾倒的问题。</w:t>
      </w:r>
    </w:p>
    <w:bookmarkEnd w:id="11"/>
    <w:bookmarkEnd w:id="12"/>
    <w:bookmarkEnd w:id="13"/>
    <w:p>
      <w:pPr>
        <w:pStyle w:val="3"/>
        <w:keepNext/>
        <w:keepLines/>
        <w:pageBreakBefore w:val="0"/>
        <w:widowControl w:val="0"/>
        <w:kinsoku/>
        <w:wordWrap/>
        <w:overflowPunct/>
        <w:topLinePunct w:val="0"/>
        <w:autoSpaceDE/>
        <w:autoSpaceDN/>
        <w:bidi w:val="0"/>
        <w:adjustRightInd/>
        <w:snapToGrid/>
        <w:ind w:left="0" w:leftChars="0" w:firstLine="0" w:firstLineChars="0"/>
        <w:textAlignment w:val="auto"/>
        <w:rPr>
          <w:rFonts w:hint="eastAsia"/>
          <w:sz w:val="32"/>
          <w:szCs w:val="21"/>
          <w:highlight w:val="none"/>
          <w:lang w:val="en-US" w:eastAsia="zh-CN"/>
        </w:rPr>
      </w:pPr>
      <w:bookmarkStart w:id="22" w:name="_Toc24345"/>
      <w:r>
        <w:rPr>
          <w:rFonts w:hint="eastAsia"/>
          <w:sz w:val="32"/>
          <w:szCs w:val="21"/>
          <w:highlight w:val="none"/>
          <w:lang w:val="en-US" w:eastAsia="zh-CN"/>
        </w:rPr>
        <w:t>第四章 收集运输体系规划</w:t>
      </w:r>
      <w:bookmarkEnd w:id="22"/>
    </w:p>
    <w:p>
      <w:pPr>
        <w:pStyle w:val="4"/>
        <w:pageBreakBefore w:val="0"/>
        <w:widowControl w:val="0"/>
        <w:kinsoku/>
        <w:wordWrap/>
        <w:overflowPunct/>
        <w:topLinePunct w:val="0"/>
        <w:autoSpaceDE/>
        <w:autoSpaceDN/>
        <w:bidi w:val="0"/>
        <w:adjustRightInd/>
        <w:snapToGrid/>
        <w:textAlignment w:val="auto"/>
        <w:rPr>
          <w:rFonts w:hint="eastAsia" w:ascii="方正楷体_GBK" w:hAnsi="方正楷体_GBK" w:eastAsia="方正楷体_GBK" w:cs="方正楷体_GBK"/>
          <w:lang w:val="en-US" w:eastAsia="zh-CN"/>
        </w:rPr>
      </w:pPr>
      <w:bookmarkStart w:id="23" w:name="_Toc16367"/>
      <w:r>
        <w:rPr>
          <w:rFonts w:hint="eastAsia" w:ascii="方正楷体_GBK" w:hAnsi="方正楷体_GBK" w:eastAsia="方正楷体_GBK" w:cs="方正楷体_GBK"/>
          <w:lang w:val="en-US" w:eastAsia="zh-CN"/>
        </w:rPr>
        <w:t>第十四条 分类收集</w:t>
      </w:r>
      <w:bookmarkEnd w:id="23"/>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建筑垃圾处置应实行减量化、资源化、无害化原则，按不同的产生源、种类、性质进行差异化堆放、分流收运、分类处理。</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（一）建筑垃圾实行源头分类收集、分类堆放。工程渣土、工程泥浆、工程垃圾优先就地利用，其他多余建筑垃圾配备专业的建筑垃圾清运工人进行清运处理。</w:t>
      </w:r>
      <w:r>
        <w:rPr>
          <w:rFonts w:hint="eastAsia" w:ascii="Times New Roman" w:hAnsi="Times New Roman" w:eastAsia="方正仿宋_GBK" w:cs="Times New Roman"/>
          <w:color w:val="auto"/>
          <w:kern w:val="2"/>
          <w:sz w:val="32"/>
          <w:szCs w:val="40"/>
          <w:lang w:val="en-US" w:eastAsia="zh-CN" w:bidi="ar-SA"/>
        </w:rPr>
        <w:t>施工垃圾堆放应满足以下要求：</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1.</w:t>
      </w:r>
      <w:r>
        <w:rPr>
          <w:rFonts w:hint="default" w:ascii="Times New Roman" w:hAnsi="Times New Roman" w:eastAsia="方正仿宋_GBK" w:cs="Times New Roman"/>
          <w:color w:val="auto"/>
          <w:kern w:val="2"/>
          <w:sz w:val="32"/>
          <w:szCs w:val="40"/>
          <w:lang w:val="en-US" w:eastAsia="zh-CN" w:bidi="ar-SA"/>
        </w:rPr>
        <w:t>建筑施工垃圾可采取露天或室内堆放方式，露天堆放的建筑垃圾应及时遮盖，避免雨淋和减少扬尘。</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2.</w:t>
      </w:r>
      <w:r>
        <w:rPr>
          <w:rFonts w:hint="default" w:ascii="Times New Roman" w:hAnsi="Times New Roman" w:eastAsia="方正仿宋_GBK" w:cs="Times New Roman"/>
          <w:color w:val="auto"/>
          <w:kern w:val="2"/>
          <w:sz w:val="32"/>
          <w:szCs w:val="40"/>
          <w:lang w:val="en-US" w:eastAsia="zh-CN" w:bidi="ar-SA"/>
        </w:rPr>
        <w:t>建筑施工垃圾堆放区应</w:t>
      </w:r>
      <w:r>
        <w:rPr>
          <w:rFonts w:hint="eastAsia" w:ascii="Times New Roman" w:hAnsi="Times New Roman" w:eastAsia="方正仿宋_GBK" w:cs="Times New Roman"/>
          <w:color w:val="auto"/>
          <w:kern w:val="2"/>
          <w:sz w:val="32"/>
          <w:szCs w:val="40"/>
          <w:lang w:val="en-US" w:eastAsia="zh-CN" w:bidi="ar-SA"/>
        </w:rPr>
        <w:t>至少保证3天</w:t>
      </w:r>
      <w:r>
        <w:rPr>
          <w:rFonts w:hint="default" w:ascii="Times New Roman" w:hAnsi="Times New Roman" w:eastAsia="方正仿宋_GBK" w:cs="Times New Roman"/>
          <w:color w:val="auto"/>
          <w:kern w:val="2"/>
          <w:sz w:val="32"/>
          <w:szCs w:val="40"/>
          <w:lang w:val="en-US" w:eastAsia="zh-CN" w:bidi="ar-SA"/>
        </w:rPr>
        <w:t>的建筑垃圾临时贮存能力，建筑垃圾堆放高度不宜超过3m，及时覆盖防尘网，定时</w:t>
      </w:r>
      <w:r>
        <w:rPr>
          <w:rFonts w:hint="eastAsia" w:ascii="Times New Roman" w:hAnsi="Times New Roman" w:eastAsia="方正仿宋_GBK" w:cs="Times New Roman"/>
          <w:color w:val="auto"/>
          <w:kern w:val="2"/>
          <w:sz w:val="32"/>
          <w:szCs w:val="40"/>
          <w:lang w:val="en-US" w:eastAsia="zh-CN" w:bidi="ar-SA"/>
        </w:rPr>
        <w:t>洒水降尘</w:t>
      </w:r>
      <w:r>
        <w:rPr>
          <w:rFonts w:hint="default" w:ascii="Times New Roman" w:hAnsi="Times New Roman" w:eastAsia="方正仿宋_GBK" w:cs="Times New Roman"/>
          <w:color w:val="auto"/>
          <w:kern w:val="2"/>
          <w:sz w:val="32"/>
          <w:szCs w:val="40"/>
          <w:lang w:val="en-US" w:eastAsia="zh-CN" w:bidi="ar-SA"/>
        </w:rPr>
        <w:t>。</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3.</w:t>
      </w:r>
      <w:r>
        <w:rPr>
          <w:rFonts w:hint="default" w:ascii="Times New Roman" w:hAnsi="Times New Roman" w:eastAsia="方正仿宋_GBK" w:cs="Times New Roman"/>
          <w:color w:val="auto"/>
          <w:kern w:val="2"/>
          <w:sz w:val="32"/>
          <w:szCs w:val="40"/>
          <w:lang w:val="en-US" w:eastAsia="zh-CN" w:bidi="ar-SA"/>
        </w:rPr>
        <w:t>建筑施工垃圾堆放区地坪标高应高于周围场地不小于15cm，堆放区四周应设置排水沟，满足场地雨水导排要求。</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4.</w:t>
      </w:r>
      <w:r>
        <w:rPr>
          <w:rFonts w:hint="default" w:ascii="Times New Roman" w:hAnsi="Times New Roman" w:eastAsia="方正仿宋_GBK" w:cs="Times New Roman"/>
          <w:color w:val="auto"/>
          <w:kern w:val="2"/>
          <w:sz w:val="32"/>
          <w:szCs w:val="40"/>
          <w:lang w:val="en-US" w:eastAsia="zh-CN" w:bidi="ar-SA"/>
        </w:rPr>
        <w:t>建筑施工垃圾堆放区应设置明显的分类堆放标志。</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（二）装修垃圾及拆除垃圾方面，</w:t>
      </w:r>
      <w:r>
        <w:rPr>
          <w:rFonts w:hint="eastAsia" w:ascii="Times New Roman" w:hAnsi="Times New Roman" w:eastAsia="方正仿宋_GBK" w:cs="Times New Roman"/>
          <w:color w:val="auto"/>
          <w:kern w:val="2"/>
          <w:sz w:val="32"/>
          <w:szCs w:val="40"/>
          <w:lang w:val="en-US" w:eastAsia="zh-CN" w:bidi="ar-SA"/>
        </w:rPr>
        <w:t>需要按金属、木材、塑料、其他等分类收集。</w:t>
      </w:r>
      <w:r>
        <w:rPr>
          <w:rFonts w:hint="default" w:ascii="Times New Roman" w:hAnsi="Times New Roman" w:eastAsia="方正仿宋_GBK" w:cs="Times New Roman"/>
          <w:color w:val="auto"/>
          <w:kern w:val="2"/>
          <w:sz w:val="32"/>
          <w:szCs w:val="40"/>
          <w:lang w:val="en-US" w:eastAsia="zh-CN" w:bidi="ar-SA"/>
        </w:rPr>
        <w:t>街道、社区等应当主动对居民、单位装修及拆除活动进行广泛宣传和指导，告知装修及拆除垃圾必须实施分类收集、分类堆放、及时清运等相关要求。装修及拆除垃圾收集应符合下列要求：</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1.</w:t>
      </w:r>
      <w:r>
        <w:rPr>
          <w:rFonts w:hint="default" w:ascii="Times New Roman" w:hAnsi="Times New Roman" w:eastAsia="方正仿宋_GBK" w:cs="Times New Roman"/>
          <w:color w:val="auto"/>
          <w:kern w:val="2"/>
          <w:sz w:val="32"/>
          <w:szCs w:val="40"/>
          <w:lang w:val="en-US" w:eastAsia="zh-CN" w:bidi="ar-SA"/>
        </w:rPr>
        <w:t>社区、物业等应当设置装修垃圾临时分类堆放点，方便居民处理装修及拆除垃圾。</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2.</w:t>
      </w:r>
      <w:r>
        <w:rPr>
          <w:rFonts w:hint="default" w:ascii="Times New Roman" w:hAnsi="Times New Roman" w:eastAsia="方正仿宋_GBK" w:cs="Times New Roman"/>
          <w:color w:val="auto"/>
          <w:kern w:val="2"/>
          <w:sz w:val="32"/>
          <w:szCs w:val="40"/>
          <w:lang w:val="en-US" w:eastAsia="zh-CN" w:bidi="ar-SA"/>
        </w:rPr>
        <w:t>街道办事处应结合辖区实际，合理设置装修垃圾集中收运点，实现建筑垃圾源头分类。</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3.</w:t>
      </w:r>
      <w:r>
        <w:rPr>
          <w:rFonts w:hint="default" w:ascii="Times New Roman" w:hAnsi="Times New Roman" w:eastAsia="方正仿宋_GBK" w:cs="Times New Roman"/>
          <w:color w:val="auto"/>
          <w:kern w:val="2"/>
          <w:sz w:val="32"/>
          <w:szCs w:val="40"/>
          <w:lang w:val="en-US" w:eastAsia="zh-CN" w:bidi="ar-SA"/>
        </w:rPr>
        <w:t>装修垃圾临时堆放点和集中收运点应当采取必要的防尘、防溢等措施，减少对周边环境的影响。</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4.</w:t>
      </w:r>
      <w:r>
        <w:rPr>
          <w:rFonts w:hint="default" w:ascii="Times New Roman" w:hAnsi="Times New Roman" w:eastAsia="方正仿宋_GBK" w:cs="Times New Roman"/>
          <w:color w:val="auto"/>
          <w:kern w:val="2"/>
          <w:sz w:val="32"/>
          <w:szCs w:val="40"/>
          <w:lang w:val="en-US" w:eastAsia="zh-CN" w:bidi="ar-SA"/>
        </w:rPr>
        <w:t>街道设置的拆除及装修垃圾集中收运点应当明确管理人员，落实源头分类管理措施，并及时组织清运。</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三）无害化处理。建筑垃圾严格实行公共收集和分类收集。任何单位和个人不得将危险废物、工业垃圾以及生活垃圾混入建筑垃圾，不得随意倾倒、堆放、填埋建筑垃圾。可回收物进入城市回收系统，有毒有害垃圾由</w:t>
      </w:r>
      <w:r>
        <w:rPr>
          <w:rFonts w:hint="eastAsia" w:cs="Times New Roman"/>
          <w:color w:val="auto"/>
          <w:kern w:val="2"/>
          <w:sz w:val="32"/>
          <w:szCs w:val="40"/>
          <w:lang w:val="en-US" w:eastAsia="zh-CN" w:bidi="ar-SA"/>
        </w:rPr>
        <w:t>住建（城管）</w:t>
      </w:r>
      <w:r>
        <w:rPr>
          <w:rFonts w:hint="default" w:ascii="Times New Roman" w:hAnsi="Times New Roman" w:eastAsia="方正仿宋_GBK" w:cs="Times New Roman"/>
          <w:color w:val="auto"/>
          <w:kern w:val="2"/>
          <w:sz w:val="32"/>
          <w:szCs w:val="40"/>
          <w:lang w:val="en-US" w:eastAsia="zh-CN" w:bidi="ar-SA"/>
        </w:rPr>
        <w:t>部门监督，不得进入建筑垃圾填埋场，以免造成二次污染和影响回填工程质量，谁生产谁处置。</w:t>
      </w:r>
    </w:p>
    <w:p>
      <w:pPr>
        <w:pStyle w:val="4"/>
        <w:pageBreakBefore w:val="0"/>
        <w:widowControl w:val="0"/>
        <w:kinsoku/>
        <w:wordWrap/>
        <w:overflowPunct/>
        <w:topLinePunct w:val="0"/>
        <w:autoSpaceDE/>
        <w:autoSpaceDN/>
        <w:bidi w:val="0"/>
        <w:adjustRightInd/>
        <w:snapToGrid/>
        <w:textAlignment w:val="auto"/>
        <w:rPr>
          <w:rFonts w:hint="eastAsia" w:ascii="方正楷体_GBK" w:hAnsi="方正楷体_GBK" w:eastAsia="方正楷体_GBK" w:cs="方正楷体_GBK"/>
          <w:lang w:val="en-US" w:eastAsia="zh-CN"/>
        </w:rPr>
      </w:pPr>
      <w:bookmarkStart w:id="24" w:name="_Toc13404"/>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_Toc24831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第十五条 运输要求</w:t>
      </w:r>
      <w:r>
        <w:rPr>
          <w:rFonts w:hint="eastAsia" w:ascii="方正楷体_GBK" w:hAnsi="方正楷体_GBK" w:eastAsia="方正楷体_GBK" w:cs="方正楷体_GBK"/>
          <w:lang w:val="en-US" w:eastAsia="zh-CN"/>
        </w:rPr>
        <w:fldChar w:fldCharType="end"/>
      </w:r>
      <w:bookmarkEnd w:id="24"/>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各类建筑垃圾因产生源不同，收运体系有所差异。</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工程渣土、工程垃圾和拆除垃圾。所有工程必须做到封闭施工和降尘施工，施工出入口应当硬化，设立车辆冲洗设备和沉淀池，严禁在车行道上堆放施工材料和建筑垃圾。建筑垃圾应采用密闭方式运输，鼓励推广使用新型智能建筑渣土车。建筑垃圾运输车辆必须按照规定的行驶路线和时间行驶。执法部门严厉查处无证运输车辆带泥行驶、抛洒滴漏等行为。实行运输企业、运输车辆年审制，严格审查企业车辆数量、车辆密闭性和管理情况。工程渣土和工程泥浆实行市场化运输，由建筑垃圾处置许可审核确定的承运单位至施工工地将渣土或泥浆运至审核确定的填埋场所，工程垃圾和拆除垃圾运至建筑垃圾资源化处理厂。</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装修垃圾。产生单位或物业公司先进行申请或委托，再由有资质的运输企业至装修垃圾收集点进行收集，运至相关处置场所进行资源化利用或最终填埋处置。主管部门对作业公司的运输车辆进行审查和对运输路线监管。非住宅装修工程，装修垃圾应集中堆置，并在装修工程结束后及时委托运输单位进行清运。</w:t>
      </w:r>
    </w:p>
    <w:p>
      <w:pPr>
        <w:pStyle w:val="4"/>
        <w:pageBreakBefore w:val="0"/>
        <w:widowControl w:val="0"/>
        <w:kinsoku/>
        <w:wordWrap/>
        <w:overflowPunct/>
        <w:topLinePunct w:val="0"/>
        <w:autoSpaceDE/>
        <w:autoSpaceDN/>
        <w:bidi w:val="0"/>
        <w:adjustRightInd/>
        <w:snapToGrid/>
        <w:textAlignment w:val="auto"/>
        <w:rPr>
          <w:rFonts w:hint="eastAsia" w:ascii="方正楷体_GBK" w:hAnsi="方正楷体_GBK" w:eastAsia="方正楷体_GBK" w:cs="方正楷体_GBK"/>
          <w:lang w:val="en-US" w:eastAsia="zh-CN"/>
        </w:rPr>
      </w:pPr>
      <w:bookmarkStart w:id="25" w:name="_Toc2355"/>
      <w:bookmarkStart w:id="26" w:name="_Toc98941830"/>
      <w:bookmarkStart w:id="27" w:name="_Toc89247598"/>
      <w:r>
        <w:rPr>
          <w:rFonts w:hint="eastAsia" w:ascii="方正楷体_GBK" w:hAnsi="方正楷体_GBK" w:eastAsia="方正楷体_GBK" w:cs="方正楷体_GBK"/>
          <w:lang w:val="en-US" w:eastAsia="zh-CN"/>
        </w:rPr>
        <w:t>第十六条 收运监管</w:t>
      </w:r>
      <w:bookmarkEnd w:id="25"/>
    </w:p>
    <w:bookmarkEnd w:id="26"/>
    <w:bookmarkEnd w:id="27"/>
    <w:p>
      <w:pPr>
        <w:pStyle w:val="2"/>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建筑垃圾收运按相关法律法规实行有效监管，在通往建筑垃圾消纳处置设施的重点卡口、重要道路交叉口等区域规划智能化监控设备。</w:t>
      </w:r>
    </w:p>
    <w:p>
      <w:pPr>
        <w:pStyle w:val="2"/>
        <w:keepNext w:val="0"/>
        <w:keepLines w:val="0"/>
        <w:pageBreakBefore w:val="0"/>
        <w:widowControl w:val="0"/>
        <w:numPr>
          <w:ilvl w:val="0"/>
          <w:numId w:val="1"/>
        </w:numPr>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大力推行联单管理</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全面推行建筑垃圾运输车辆从</w:t>
      </w:r>
      <w:r>
        <w:rPr>
          <w:rFonts w:hint="eastAsia" w:ascii="Times New Roman" w:hAnsi="Times New Roman" w:eastAsia="方正仿宋_GBK" w:cs="Times New Roman"/>
          <w:color w:val="auto"/>
          <w:kern w:val="2"/>
          <w:sz w:val="32"/>
          <w:szCs w:val="40"/>
          <w:lang w:val="en-US" w:eastAsia="zh-CN" w:bidi="ar-SA"/>
        </w:rPr>
        <w:t>产生</w:t>
      </w:r>
      <w:r>
        <w:rPr>
          <w:rFonts w:hint="default" w:ascii="Times New Roman" w:hAnsi="Times New Roman" w:eastAsia="方正仿宋_GBK" w:cs="Times New Roman"/>
          <w:color w:val="auto"/>
          <w:kern w:val="2"/>
          <w:sz w:val="32"/>
          <w:szCs w:val="40"/>
          <w:lang w:val="en-US" w:eastAsia="zh-CN" w:bidi="ar-SA"/>
        </w:rPr>
        <w:t>、运输到处置环节</w:t>
      </w:r>
      <w:r>
        <w:rPr>
          <w:rFonts w:hint="eastAsia" w:ascii="Times New Roman" w:hAnsi="Times New Roman" w:eastAsia="方正仿宋_GBK" w:cs="Times New Roman"/>
          <w:color w:val="auto"/>
          <w:kern w:val="2"/>
          <w:sz w:val="32"/>
          <w:szCs w:val="40"/>
          <w:lang w:val="en-US" w:eastAsia="zh-CN" w:bidi="ar-SA"/>
        </w:rPr>
        <w:t>“两点一线”的</w:t>
      </w:r>
      <w:r>
        <w:rPr>
          <w:rFonts w:hint="default" w:ascii="Times New Roman" w:hAnsi="Times New Roman" w:eastAsia="方正仿宋_GBK" w:cs="Times New Roman"/>
          <w:color w:val="auto"/>
          <w:kern w:val="2"/>
          <w:sz w:val="32"/>
          <w:szCs w:val="40"/>
          <w:lang w:val="en-US" w:eastAsia="zh-CN" w:bidi="ar-SA"/>
        </w:rPr>
        <w:t>联单管理，联单分三联，施工单位、运输企业和处置场所各执一联，联单签署人是联单管理的直接责任人，对违反联单管理的行为的单位和责任人纳入信用评价体系考核。</w:t>
      </w:r>
    </w:p>
    <w:p>
      <w:pPr>
        <w:bidi w:val="0"/>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车辆安全管理。坚持“三检”，即出车前、行车中、收车后，检视车辆的安全部件连接的紧固情况。保持“四清”即机械、空气、燃油滤清器和蓄电池的清洁。防“四漏”即漏水、漏汕、漏气和漏电。对车辆润滑油、燃料、冷却液、轮胎气压进行检视补给。对车辆制动、转向、传动、灯光等安全部位及发动机运转状态进行检视。</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信息化管理。车辆监控系统应由车载卫星定位系统和车载影像系统等组成，并应能接入城市建筑垃圾大数据监管平台。监控系统可实时查询每台车辆的精确位置、运输时间、行驶速度、行驶路线等信息，且可设置电子围栏，进行线路控制；并可预设车速，实现车辆超速报警功能，实现精准管理。车辆监控系统对车辆收运路线的整个过程进行在线监控，对异常作业问题进行在线预警。</w:t>
      </w:r>
    </w:p>
    <w:p>
      <w:pPr>
        <w:pStyle w:val="3"/>
        <w:keepNext/>
        <w:keepLines/>
        <w:pageBreakBefore w:val="0"/>
        <w:widowControl w:val="0"/>
        <w:kinsoku/>
        <w:wordWrap/>
        <w:overflowPunct/>
        <w:topLinePunct w:val="0"/>
        <w:autoSpaceDE/>
        <w:autoSpaceDN/>
        <w:bidi w:val="0"/>
        <w:adjustRightInd/>
        <w:snapToGrid/>
        <w:spacing w:before="120" w:after="120"/>
        <w:jc w:val="center"/>
        <w:textAlignment w:val="auto"/>
        <w:rPr>
          <w:rFonts w:hint="eastAsia" w:ascii="方正黑体_GBK" w:hAnsi="方正黑体_GBK" w:eastAsia="方正黑体_GBK" w:cs="方正黑体_GBK"/>
          <w:kern w:val="0"/>
          <w:sz w:val="32"/>
          <w:szCs w:val="21"/>
          <w:highlight w:val="none"/>
        </w:rPr>
      </w:pPr>
      <w:bookmarkStart w:id="28" w:name="_Toc20361"/>
      <w:r>
        <w:rPr>
          <w:rFonts w:hint="eastAsia" w:ascii="方正黑体_GBK" w:hAnsi="方正黑体_GBK" w:eastAsia="方正黑体_GBK" w:cs="方正黑体_GBK"/>
          <w:sz w:val="32"/>
          <w:szCs w:val="21"/>
          <w:highlight w:val="none"/>
        </w:rPr>
        <w:fldChar w:fldCharType="begin"/>
      </w:r>
      <w:r>
        <w:rPr>
          <w:rFonts w:hint="eastAsia" w:ascii="方正黑体_GBK" w:hAnsi="方正黑体_GBK" w:eastAsia="方正黑体_GBK" w:cs="方正黑体_GBK"/>
          <w:sz w:val="32"/>
          <w:szCs w:val="21"/>
          <w:highlight w:val="none"/>
        </w:rPr>
        <w:instrText xml:space="preserve"> HYPERLINK \l "_Toc24552688" </w:instrText>
      </w:r>
      <w:r>
        <w:rPr>
          <w:rFonts w:hint="eastAsia" w:ascii="方正黑体_GBK" w:hAnsi="方正黑体_GBK" w:eastAsia="方正黑体_GBK" w:cs="方正黑体_GBK"/>
          <w:sz w:val="32"/>
          <w:szCs w:val="21"/>
          <w:highlight w:val="none"/>
        </w:rPr>
        <w:fldChar w:fldCharType="separate"/>
      </w:r>
      <w:r>
        <w:rPr>
          <w:rFonts w:hint="eastAsia" w:ascii="方正黑体_GBK" w:hAnsi="方正黑体_GBK" w:eastAsia="方正黑体_GBK" w:cs="方正黑体_GBK"/>
          <w:kern w:val="0"/>
          <w:sz w:val="32"/>
          <w:szCs w:val="21"/>
          <w:highlight w:val="none"/>
        </w:rPr>
        <w:t>第</w:t>
      </w:r>
      <w:r>
        <w:rPr>
          <w:rFonts w:hint="eastAsia" w:ascii="方正黑体_GBK" w:hAnsi="方正黑体_GBK" w:cs="方正黑体_GBK"/>
          <w:kern w:val="0"/>
          <w:sz w:val="32"/>
          <w:szCs w:val="21"/>
          <w:highlight w:val="none"/>
          <w:lang w:val="en-US" w:eastAsia="zh-CN"/>
        </w:rPr>
        <w:t>五</w:t>
      </w:r>
      <w:r>
        <w:rPr>
          <w:rFonts w:hint="eastAsia" w:ascii="方正黑体_GBK" w:hAnsi="方正黑体_GBK" w:eastAsia="方正黑体_GBK" w:cs="方正黑体_GBK"/>
          <w:kern w:val="0"/>
          <w:sz w:val="32"/>
          <w:szCs w:val="21"/>
          <w:highlight w:val="none"/>
        </w:rPr>
        <w:t>章 建筑垃圾</w:t>
      </w:r>
      <w:r>
        <w:rPr>
          <w:rFonts w:hint="eastAsia" w:ascii="方正黑体_GBK" w:hAnsi="方正黑体_GBK" w:eastAsia="方正黑体_GBK" w:cs="方正黑体_GBK"/>
          <w:kern w:val="0"/>
          <w:sz w:val="32"/>
          <w:szCs w:val="21"/>
          <w:highlight w:val="none"/>
          <w:lang w:eastAsia="zh-CN"/>
        </w:rPr>
        <w:t>资源化</w:t>
      </w:r>
      <w:r>
        <w:rPr>
          <w:rFonts w:hint="eastAsia" w:ascii="方正黑体_GBK" w:hAnsi="方正黑体_GBK" w:eastAsia="方正黑体_GBK" w:cs="方正黑体_GBK"/>
          <w:kern w:val="0"/>
          <w:sz w:val="32"/>
          <w:szCs w:val="21"/>
          <w:highlight w:val="none"/>
          <w:lang w:val="en-US" w:eastAsia="zh-CN"/>
        </w:rPr>
        <w:t>发展</w:t>
      </w:r>
      <w:r>
        <w:rPr>
          <w:rFonts w:hint="eastAsia" w:ascii="方正黑体_GBK" w:hAnsi="方正黑体_GBK" w:eastAsia="方正黑体_GBK" w:cs="方正黑体_GBK"/>
          <w:kern w:val="0"/>
          <w:sz w:val="32"/>
          <w:szCs w:val="21"/>
          <w:highlight w:val="none"/>
        </w:rPr>
        <w:fldChar w:fldCharType="end"/>
      </w:r>
      <w:bookmarkEnd w:id="28"/>
    </w:p>
    <w:p>
      <w:pPr>
        <w:pStyle w:val="4"/>
        <w:spacing w:before="0" w:beforeLines="-2147483648" w:beforeAutospacing="0" w:after="0" w:afterLines="-2147483648" w:afterAutospacing="0" w:line="360" w:lineRule="auto"/>
        <w:ind w:firstLine="0" w:firstLineChars="0"/>
        <w:jc w:val="left"/>
        <w:rPr>
          <w:rFonts w:hint="eastAsia" w:ascii="方正仿宋_GBK" w:hAnsi="宋体" w:eastAsia="方正仿宋_GBK" w:cs="Times New Roman"/>
          <w:b w:val="0"/>
          <w:bCs w:val="0"/>
          <w:sz w:val="28"/>
          <w:szCs w:val="28"/>
          <w:highlight w:val="none"/>
        </w:rPr>
      </w:pPr>
      <w:bookmarkStart w:id="29" w:name="_Toc23660"/>
      <w:r>
        <w:rPr>
          <w:rFonts w:hint="eastAsia" w:ascii="方正楷体_GBK" w:hAnsi="方正楷体_GBK" w:eastAsia="方正楷体_GBK" w:cs="方正楷体_GBK"/>
          <w:b w:val="0"/>
          <w:bCs w:val="0"/>
          <w:kern w:val="0"/>
          <w:sz w:val="32"/>
          <w:szCs w:val="32"/>
          <w:highlight w:val="none"/>
          <w:lang w:val="en-US" w:eastAsia="zh-CN"/>
        </w:rPr>
        <w:t>第十七条 建筑垃圾资源化</w:t>
      </w:r>
      <w:bookmarkEnd w:id="29"/>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（一）工程渣土。工程渣土具有产生量大，可利用途径多，可实现直接利用，其利用途径包括坑塘、废弃砖瓦窑厂等低洼地回填、道路工程回填、堆山造景等。</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拆迁垃圾和工程垃圾。工程垃圾和拆迁废料部分可用于生产再生建材，而大部分直接用于回填，或经企业采用简单破碎设备破碎使用。同时，通过集中建设的资源化利用设施，发挥规模化效应，提高设施、设备的规范性、环保性。</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装修垃圾。装修垃圾为居民、店铺、办公装修过程产生，呈现产生源分散且迁移频繁的特征，同时成分复杂，质量差，不可直接利用，需要进行资源化处理。针对装修垃圾的特点，垫江县装修垃圾资源化利用处理思路如下：</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1.完善前端装修垃圾收集点设置，各街道</w:t>
      </w:r>
      <w:r>
        <w:rPr>
          <w:rFonts w:hint="eastAsia" w:ascii="Times New Roman" w:hAnsi="Times New Roman" w:eastAsia="方正仿宋_GBK" w:cs="Times New Roman"/>
          <w:color w:val="auto"/>
          <w:kern w:val="2"/>
          <w:sz w:val="32"/>
          <w:szCs w:val="40"/>
          <w:lang w:val="en-US" w:eastAsia="zh-CN" w:bidi="ar-SA"/>
        </w:rPr>
        <w:t>乡镇</w:t>
      </w:r>
      <w:r>
        <w:rPr>
          <w:rFonts w:hint="default" w:ascii="Times New Roman" w:hAnsi="Times New Roman" w:eastAsia="方正仿宋_GBK" w:cs="Times New Roman"/>
          <w:color w:val="auto"/>
          <w:kern w:val="2"/>
          <w:sz w:val="32"/>
          <w:szCs w:val="40"/>
          <w:lang w:val="en-US" w:eastAsia="zh-CN" w:bidi="ar-SA"/>
        </w:rPr>
        <w:t>设置相对集中的临时堆放点，用于老旧小区、公共区域等不具备设置临时堆放点的装修垃圾的集中堆放。</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2.规划新增的建筑垃圾资源化利用设施，应具有装修垃圾处理能力，应用机械分选、智能分选等方式提高装修垃圾资源化利用水平</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减少填埋侵占土地。</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3.对</w:t>
      </w:r>
      <w:r>
        <w:rPr>
          <w:rFonts w:hint="eastAsia" w:ascii="Times New Roman" w:hAnsi="Times New Roman" w:eastAsia="方正仿宋_GBK" w:cs="Times New Roman"/>
          <w:color w:val="auto"/>
          <w:kern w:val="2"/>
          <w:sz w:val="32"/>
          <w:szCs w:val="40"/>
          <w:lang w:val="en-US" w:eastAsia="zh-CN" w:bidi="ar-SA"/>
        </w:rPr>
        <w:t>无法进行再利用的部分，设置规范的建筑垃圾填埋场进行处置。工程渣土、装修垃圾、工程垃圾和拆迁垃圾，经分拣后具备资源化利用价值的成分，纳入资源化利用设施进一步资源化利用。（资源化利用方法详见表5-1）</w:t>
      </w:r>
    </w:p>
    <w:p>
      <w:pPr>
        <w:bidi w:val="0"/>
        <w:rPr>
          <w:rFonts w:hint="eastAsia" w:ascii="Times New Roman" w:hAnsi="Times New Roman"/>
          <w:lang w:val="en-US" w:eastAsia="zh-CN"/>
        </w:rPr>
      </w:pPr>
    </w:p>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方正黑体_GBK" w:hAnsi="方正黑体_GBK" w:eastAsia="方正黑体_GBK" w:cs="方正黑体_GBK"/>
          <w:b w:val="0"/>
          <w:bCs w:val="0"/>
          <w:kern w:val="2"/>
          <w:sz w:val="28"/>
          <w:szCs w:val="28"/>
          <w:highlight w:val="none"/>
          <w:lang w:val="en-US" w:eastAsia="zh-CN" w:bidi="ar-SA"/>
        </w:rPr>
      </w:pPr>
      <w:r>
        <w:rPr>
          <w:rFonts w:hint="default" w:ascii="方正黑体_GBK" w:hAnsi="方正黑体_GBK" w:eastAsia="方正黑体_GBK" w:cs="方正黑体_GBK"/>
          <w:b w:val="0"/>
          <w:bCs w:val="0"/>
          <w:kern w:val="2"/>
          <w:sz w:val="28"/>
          <w:szCs w:val="28"/>
          <w:highlight w:val="none"/>
          <w:lang w:val="en-US" w:eastAsia="zh-CN" w:bidi="ar-SA"/>
        </w:rPr>
        <w:t>表</w:t>
      </w:r>
      <w:r>
        <w:rPr>
          <w:rFonts w:hint="eastAsia" w:ascii="方正黑体_GBK" w:hAnsi="方正黑体_GBK" w:eastAsia="方正黑体_GBK" w:cs="方正黑体_GBK"/>
          <w:b w:val="0"/>
          <w:bCs w:val="0"/>
          <w:kern w:val="2"/>
          <w:sz w:val="28"/>
          <w:szCs w:val="28"/>
          <w:highlight w:val="none"/>
          <w:lang w:val="en-US" w:eastAsia="zh-CN" w:bidi="ar-SA"/>
        </w:rPr>
        <w:t>5</w:t>
      </w:r>
      <w:r>
        <w:rPr>
          <w:rFonts w:hint="default" w:ascii="方正黑体_GBK" w:hAnsi="方正黑体_GBK" w:eastAsia="方正黑体_GBK" w:cs="方正黑体_GBK"/>
          <w:b w:val="0"/>
          <w:bCs w:val="0"/>
          <w:kern w:val="2"/>
          <w:sz w:val="28"/>
          <w:szCs w:val="28"/>
          <w:highlight w:val="none"/>
          <w:lang w:val="en-US" w:eastAsia="zh-CN" w:bidi="ar-SA"/>
        </w:rPr>
        <w:t>-1 建筑垃圾</w:t>
      </w:r>
      <w:r>
        <w:rPr>
          <w:rFonts w:hint="eastAsia" w:ascii="方正黑体_GBK" w:hAnsi="方正黑体_GBK" w:eastAsia="方正黑体_GBK" w:cs="方正黑体_GBK"/>
          <w:b w:val="0"/>
          <w:bCs w:val="0"/>
          <w:kern w:val="2"/>
          <w:sz w:val="28"/>
          <w:szCs w:val="28"/>
          <w:highlight w:val="none"/>
          <w:lang w:val="en-US" w:eastAsia="zh-CN" w:bidi="ar-SA"/>
        </w:rPr>
        <w:t>资源化</w:t>
      </w:r>
      <w:r>
        <w:rPr>
          <w:rFonts w:hint="default" w:ascii="方正黑体_GBK" w:hAnsi="方正黑体_GBK" w:eastAsia="方正黑体_GBK" w:cs="方正黑体_GBK"/>
          <w:b w:val="0"/>
          <w:bCs w:val="0"/>
          <w:kern w:val="2"/>
          <w:sz w:val="28"/>
          <w:szCs w:val="28"/>
          <w:highlight w:val="none"/>
          <w:lang w:val="en-US" w:eastAsia="zh-CN" w:bidi="ar-SA"/>
        </w:rPr>
        <w:t>利用方法</w:t>
      </w:r>
    </w:p>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方正黑体_GBK" w:hAnsi="方正黑体_GBK" w:eastAsia="方正黑体_GBK" w:cs="方正黑体_GBK"/>
          <w:b w:val="0"/>
          <w:bCs w:val="0"/>
          <w:kern w:val="2"/>
          <w:sz w:val="28"/>
          <w:szCs w:val="28"/>
          <w:highlight w:val="none"/>
          <w:lang w:val="en-US" w:eastAsia="zh-CN" w:bidi="ar-SA"/>
        </w:rPr>
      </w:pPr>
    </w:p>
    <w:tbl>
      <w:tblPr>
        <w:tblStyle w:val="16"/>
        <w:tblW w:w="86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91"/>
        <w:gridCol w:w="6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tblHeader/>
          <w:jc w:val="center"/>
        </w:trPr>
        <w:tc>
          <w:tcPr>
            <w:tcW w:w="2491" w:type="dxa"/>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rPr>
              <w:t>垃圾成分</w:t>
            </w:r>
          </w:p>
        </w:tc>
        <w:tc>
          <w:tcPr>
            <w:tcW w:w="6208" w:type="dxa"/>
            <w:shd w:val="clear" w:color="auto" w:fill="auto"/>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lang w:val="en-US" w:eastAsia="zh-CN"/>
              </w:rPr>
              <w:t>资源化</w:t>
            </w:r>
            <w:r>
              <w:rPr>
                <w:rFonts w:hint="eastAsia" w:ascii="Times New Roman" w:hAnsi="Times New Roman" w:eastAsia="方正黑体_GBK" w:cs="Times New Roman"/>
                <w:sz w:val="24"/>
                <w:szCs w:val="24"/>
              </w:rPr>
              <w:t>利用方法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jc w:val="center"/>
        </w:trPr>
        <w:tc>
          <w:tcPr>
            <w:tcW w:w="2491"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渣土</w:t>
            </w:r>
          </w:p>
        </w:tc>
        <w:tc>
          <w:tcPr>
            <w:tcW w:w="6208"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堆山造景、回填、绿化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jc w:val="center"/>
        </w:trPr>
        <w:tc>
          <w:tcPr>
            <w:tcW w:w="2491"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碎砖瓦</w:t>
            </w:r>
          </w:p>
        </w:tc>
        <w:tc>
          <w:tcPr>
            <w:tcW w:w="6208"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砌块、墙体材料、路基垫层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jc w:val="center"/>
        </w:trPr>
        <w:tc>
          <w:tcPr>
            <w:tcW w:w="2491"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混凝土块</w:t>
            </w:r>
          </w:p>
        </w:tc>
        <w:tc>
          <w:tcPr>
            <w:tcW w:w="6208"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再生骨料、路基垫层、碎石桩、行道砖、砌块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jc w:val="center"/>
        </w:trPr>
        <w:tc>
          <w:tcPr>
            <w:tcW w:w="2491"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砂浆</w:t>
            </w:r>
          </w:p>
        </w:tc>
        <w:tc>
          <w:tcPr>
            <w:tcW w:w="6208"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砌块、填料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jc w:val="center"/>
        </w:trPr>
        <w:tc>
          <w:tcPr>
            <w:tcW w:w="2491"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钢材</w:t>
            </w:r>
          </w:p>
        </w:tc>
        <w:tc>
          <w:tcPr>
            <w:tcW w:w="6208"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再次使用、回炉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jc w:val="center"/>
        </w:trPr>
        <w:tc>
          <w:tcPr>
            <w:tcW w:w="2491"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木材、纸板</w:t>
            </w:r>
          </w:p>
        </w:tc>
        <w:tc>
          <w:tcPr>
            <w:tcW w:w="6208"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复合板材、燃烧发电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jc w:val="center"/>
        </w:trPr>
        <w:tc>
          <w:tcPr>
            <w:tcW w:w="2491"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塑料</w:t>
            </w:r>
          </w:p>
        </w:tc>
        <w:tc>
          <w:tcPr>
            <w:tcW w:w="6208"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粉碎、热分解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jc w:val="center"/>
        </w:trPr>
        <w:tc>
          <w:tcPr>
            <w:tcW w:w="2491"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玻璃</w:t>
            </w:r>
          </w:p>
        </w:tc>
        <w:tc>
          <w:tcPr>
            <w:tcW w:w="6208"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高温熔化、路基垫层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jc w:val="center"/>
        </w:trPr>
        <w:tc>
          <w:tcPr>
            <w:tcW w:w="2491"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其他</w:t>
            </w:r>
          </w:p>
        </w:tc>
        <w:tc>
          <w:tcPr>
            <w:tcW w:w="6208" w:type="dxa"/>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填埋、焚烧</w:t>
            </w:r>
          </w:p>
        </w:tc>
      </w:tr>
    </w:tbl>
    <w:p>
      <w:pPr>
        <w:ind w:left="0" w:leftChars="0" w:firstLine="0" w:firstLineChars="0"/>
        <w:rPr>
          <w:rFonts w:hint="default"/>
          <w:highlight w:val="none"/>
          <w:lang w:val="en-US" w:eastAsia="zh-CN"/>
        </w:rPr>
      </w:pPr>
    </w:p>
    <w:p>
      <w:pPr>
        <w:pStyle w:val="4"/>
        <w:spacing w:before="0" w:beforeLines="-2147483648" w:beforeAutospacing="0" w:after="0" w:afterLines="-2147483648" w:afterAutospacing="0" w:line="360" w:lineRule="auto"/>
        <w:ind w:firstLine="0" w:firstLineChars="0"/>
        <w:jc w:val="both"/>
        <w:rPr>
          <w:rFonts w:hint="default" w:ascii="方正楷体_GBK" w:hAnsi="方正楷体_GBK" w:eastAsia="方正楷体_GBK" w:cs="方正楷体_GBK"/>
          <w:b w:val="0"/>
          <w:bCs w:val="0"/>
          <w:kern w:val="0"/>
          <w:sz w:val="32"/>
          <w:szCs w:val="32"/>
          <w:highlight w:val="none"/>
          <w:lang w:val="en-US" w:eastAsia="zh-CN"/>
        </w:rPr>
      </w:pPr>
      <w:bookmarkStart w:id="30" w:name="_Toc19138"/>
      <w:r>
        <w:rPr>
          <w:rFonts w:hint="eastAsia" w:ascii="方正楷体_GBK" w:hAnsi="方正楷体_GBK" w:eastAsia="方正楷体_GBK" w:cs="方正楷体_GBK"/>
          <w:b w:val="0"/>
          <w:bCs w:val="0"/>
          <w:kern w:val="0"/>
          <w:sz w:val="32"/>
          <w:szCs w:val="32"/>
          <w:highlight w:val="none"/>
          <w:lang w:val="en-US" w:eastAsia="zh-CN"/>
        </w:rPr>
        <w:t>第十八条 建筑垃圾资源化引导</w:t>
      </w:r>
      <w:bookmarkEnd w:id="30"/>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（一）制定扶持企业政策，引导行业健康发展</w:t>
      </w:r>
      <w:r>
        <w:rPr>
          <w:rFonts w:hint="eastAsia" w:cs="Times New Roman"/>
          <w:color w:val="auto"/>
          <w:kern w:val="2"/>
          <w:sz w:val="32"/>
          <w:szCs w:val="40"/>
          <w:lang w:val="en-US" w:eastAsia="zh-CN" w:bidi="ar-SA"/>
        </w:rPr>
        <w:t>。</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1.完善建筑垃圾资源化利用政策体系</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按照建筑垃圾资源化利用</w:t>
      </w:r>
      <w:r>
        <w:rPr>
          <w:rFonts w:hint="eastAsia" w:ascii="Times New Roman" w:hAnsi="Times New Roman" w:eastAsia="方正仿宋_GBK" w:cs="Times New Roman"/>
          <w:color w:val="auto"/>
          <w:kern w:val="2"/>
          <w:sz w:val="32"/>
          <w:szCs w:val="40"/>
          <w:lang w:val="en-US" w:eastAsia="zh-CN" w:bidi="ar-SA"/>
        </w:rPr>
        <w:t>相关</w:t>
      </w:r>
      <w:r>
        <w:rPr>
          <w:rFonts w:hint="default" w:ascii="Times New Roman" w:hAnsi="Times New Roman" w:eastAsia="方正仿宋_GBK" w:cs="Times New Roman"/>
          <w:color w:val="auto"/>
          <w:kern w:val="2"/>
          <w:sz w:val="32"/>
          <w:szCs w:val="40"/>
          <w:lang w:val="en-US" w:eastAsia="zh-CN" w:bidi="ar-SA"/>
        </w:rPr>
        <w:t>管理办法，出台实施细则、核准制度、多部门联动制度、处置收费制度、政府采购制度</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结合</w:t>
      </w:r>
      <w:r>
        <w:rPr>
          <w:rFonts w:hint="eastAsia" w:ascii="Times New Roman" w:hAnsi="Times New Roman" w:eastAsia="方正仿宋_GBK" w:cs="Times New Roman"/>
          <w:color w:val="auto"/>
          <w:kern w:val="2"/>
          <w:sz w:val="32"/>
          <w:szCs w:val="40"/>
          <w:lang w:val="en-US" w:eastAsia="zh-CN" w:bidi="ar-SA"/>
        </w:rPr>
        <w:t>区域</w:t>
      </w:r>
      <w:r>
        <w:rPr>
          <w:rFonts w:hint="default" w:ascii="Times New Roman" w:hAnsi="Times New Roman" w:eastAsia="方正仿宋_GBK" w:cs="Times New Roman"/>
          <w:color w:val="auto"/>
          <w:kern w:val="2"/>
          <w:sz w:val="32"/>
          <w:szCs w:val="40"/>
          <w:lang w:val="en-US" w:eastAsia="zh-CN" w:bidi="ar-SA"/>
        </w:rPr>
        <w:t>实际</w:t>
      </w:r>
      <w:r>
        <w:rPr>
          <w:rFonts w:hint="eastAsia" w:ascii="Times New Roman" w:hAnsi="Times New Roman" w:eastAsia="方正仿宋_GBK" w:cs="Times New Roman"/>
          <w:color w:val="auto"/>
          <w:kern w:val="2"/>
          <w:sz w:val="32"/>
          <w:szCs w:val="40"/>
          <w:lang w:val="en-US" w:eastAsia="zh-CN" w:bidi="ar-SA"/>
        </w:rPr>
        <w:t>情况，探讨</w:t>
      </w:r>
      <w:r>
        <w:rPr>
          <w:rFonts w:hint="default" w:ascii="Times New Roman" w:hAnsi="Times New Roman" w:eastAsia="方正仿宋_GBK" w:cs="Times New Roman"/>
          <w:color w:val="auto"/>
          <w:kern w:val="2"/>
          <w:sz w:val="32"/>
          <w:szCs w:val="40"/>
          <w:lang w:val="en-US" w:eastAsia="zh-CN" w:bidi="ar-SA"/>
        </w:rPr>
        <w:t>推进特许经营，并制定监督管理措施。</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2.制定建筑垃圾资源化利用激励办法</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加快研究建筑垃圾资源化利用的财政补贴措施</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对符合国家资源化利用鼓励和扶持政策的</w:t>
      </w:r>
      <w:r>
        <w:rPr>
          <w:rFonts w:hint="eastAsia" w:ascii="Times New Roman" w:hAnsi="Times New Roman" w:eastAsia="方正仿宋_GBK" w:cs="Times New Roman"/>
          <w:color w:val="auto"/>
          <w:kern w:val="2"/>
          <w:sz w:val="32"/>
          <w:szCs w:val="40"/>
          <w:lang w:val="en-US" w:eastAsia="zh-CN" w:bidi="ar-SA"/>
        </w:rPr>
        <w:t>企业</w:t>
      </w:r>
      <w:r>
        <w:rPr>
          <w:rFonts w:hint="default" w:ascii="Times New Roman" w:hAnsi="Times New Roman" w:eastAsia="方正仿宋_GBK" w:cs="Times New Roman"/>
          <w:color w:val="auto"/>
          <w:kern w:val="2"/>
          <w:sz w:val="32"/>
          <w:szCs w:val="40"/>
          <w:lang w:val="en-US" w:eastAsia="zh-CN" w:bidi="ar-SA"/>
        </w:rPr>
        <w:t>，落实税收优惠政策。</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3.培育典型</w:t>
      </w:r>
      <w:r>
        <w:rPr>
          <w:rFonts w:hint="eastAsia" w:ascii="Times New Roman" w:hAnsi="Times New Roman" w:eastAsia="方正仿宋_GBK" w:cs="Times New Roman"/>
          <w:color w:val="auto"/>
          <w:kern w:val="2"/>
          <w:sz w:val="32"/>
          <w:szCs w:val="40"/>
          <w:lang w:val="en-US" w:eastAsia="zh-CN" w:bidi="ar-SA"/>
        </w:rPr>
        <w:t>示范企业。鼓励新型建材企业、建筑工业化企业延伸产业链，与建筑垃圾处置企业合作，投资建设建筑垃圾资源化利用设施，并参与建筑垃圾收集、运输、处置和利用，培育具有较高技术装备水平和较强产业竞争力的建筑垃圾资源化利用示范企业，支持企业入驻园区。</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（二）推广应用再生产品，保障行业持续发展</w:t>
      </w:r>
      <w:r>
        <w:rPr>
          <w:rFonts w:hint="eastAsia" w:cs="Times New Roman"/>
          <w:color w:val="auto"/>
          <w:kern w:val="2"/>
          <w:sz w:val="32"/>
          <w:szCs w:val="40"/>
          <w:lang w:val="en-US" w:eastAsia="zh-CN" w:bidi="ar-SA"/>
        </w:rPr>
        <w:t>。</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1.建立信息平台</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融合原建筑垃圾拆除施工、渣土运输招投标、建筑垃圾收运及调度系统、建筑垃圾消纳场所及资源化利用企业、再生产品供需和交易等信息，建立建筑垃圾处置与资源化利用信息系统，为建筑垃圾资源化利用和产品推广提供信息平台。</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2.建立再生产品目录库</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建筑垃圾资源化利用主管部门应对符合国家标准、地方标准、行业标准或者经备案的企业标准的再生产品进行登记管理。建设主管部门应将相关产品列入建筑节能产品推荐目录，定期向社会公布。</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default" w:ascii="Times New Roman" w:hAnsi="Times New Roman" w:eastAsia="方正仿宋_GBK" w:cs="Times New Roman"/>
          <w:color w:val="auto"/>
          <w:kern w:val="2"/>
          <w:sz w:val="32"/>
          <w:szCs w:val="40"/>
          <w:lang w:val="en-US" w:eastAsia="zh-CN" w:bidi="ar-SA"/>
        </w:rPr>
        <w:t>3.政</w:t>
      </w:r>
      <w:r>
        <w:rPr>
          <w:rFonts w:hint="eastAsia" w:ascii="Times New Roman" w:hAnsi="Times New Roman" w:eastAsia="方正仿宋_GBK" w:cs="Times New Roman"/>
          <w:color w:val="auto"/>
          <w:kern w:val="2"/>
          <w:sz w:val="32"/>
          <w:szCs w:val="40"/>
          <w:lang w:val="en-US" w:eastAsia="zh-CN" w:bidi="ar-SA"/>
        </w:rPr>
        <w:t>府投资工程推广使用再生产品。全部或者部分使用财政性资金的建房、新建道路、环境综合整治、园林绿化和水务等工程，积极推广使用符合技术标准和质量要求的再生产品。鼓励社会资本工程项目使用再生产品。</w:t>
      </w:r>
    </w:p>
    <w:p>
      <w:pPr>
        <w:pStyle w:val="3"/>
        <w:keepNext/>
        <w:keepLines/>
        <w:pageBreakBefore w:val="0"/>
        <w:widowControl w:val="0"/>
        <w:kinsoku/>
        <w:wordWrap/>
        <w:overflowPunct/>
        <w:topLinePunct w:val="0"/>
        <w:autoSpaceDE/>
        <w:autoSpaceDN/>
        <w:bidi w:val="0"/>
        <w:adjustRightInd/>
        <w:snapToGrid/>
        <w:ind w:left="0" w:leftChars="0" w:firstLine="0" w:firstLineChars="0"/>
        <w:textAlignment w:val="auto"/>
        <w:rPr>
          <w:rFonts w:hint="default"/>
          <w:sz w:val="32"/>
          <w:szCs w:val="21"/>
          <w:highlight w:val="none"/>
          <w:lang w:val="en-US" w:eastAsia="zh-CN"/>
        </w:rPr>
      </w:pPr>
      <w:bookmarkStart w:id="31" w:name="_Toc25266"/>
      <w:r>
        <w:rPr>
          <w:rFonts w:hint="eastAsia"/>
          <w:sz w:val="32"/>
          <w:szCs w:val="21"/>
          <w:highlight w:val="none"/>
          <w:lang w:val="en-US" w:eastAsia="zh-CN"/>
        </w:rPr>
        <w:t>第六章 建筑垃圾处理系统规划</w:t>
      </w:r>
      <w:bookmarkEnd w:id="31"/>
    </w:p>
    <w:p>
      <w:pPr>
        <w:pStyle w:val="4"/>
        <w:spacing w:before="0" w:after="0"/>
        <w:ind w:firstLine="0" w:firstLineChars="0"/>
        <w:jc w:val="both"/>
        <w:rPr>
          <w:rFonts w:hint="eastAsia" w:ascii="方正楷体_GBK" w:hAnsi="方正楷体_GBK" w:eastAsia="方正楷体_GBK" w:cs="方正楷体_GBK"/>
          <w:kern w:val="0"/>
          <w:highlight w:val="none"/>
        </w:rPr>
      </w:pPr>
      <w:bookmarkStart w:id="32" w:name="_Toc19519"/>
      <w:r>
        <w:rPr>
          <w:highlight w:val="none"/>
        </w:rPr>
        <w:fldChar w:fldCharType="begin"/>
      </w:r>
      <w:r>
        <w:rPr>
          <w:highlight w:val="none"/>
        </w:rPr>
        <w:instrText xml:space="preserve"> HYPERLINK \l "_Toc24552684" </w:instrText>
      </w:r>
      <w:r>
        <w:rPr>
          <w:highlight w:val="none"/>
        </w:rPr>
        <w:fldChar w:fldCharType="separate"/>
      </w:r>
      <w:bookmarkStart w:id="33" w:name="_Toc92730587"/>
      <w:r>
        <w:rPr>
          <w:rFonts w:hint="eastAsia" w:ascii="方正楷体_GBK" w:hAnsi="方正楷体_GBK" w:eastAsia="方正楷体_GBK" w:cs="方正楷体_GBK"/>
          <w:kern w:val="0"/>
          <w:highlight w:val="none"/>
        </w:rPr>
        <w:t>第</w:t>
      </w:r>
      <w:r>
        <w:rPr>
          <w:rFonts w:hint="eastAsia" w:ascii="方正楷体_GBK" w:hAnsi="方正楷体_GBK" w:eastAsia="方正楷体_GBK" w:cs="方正楷体_GBK"/>
          <w:kern w:val="0"/>
          <w:highlight w:val="none"/>
          <w:lang w:val="en-US" w:eastAsia="zh-CN"/>
        </w:rPr>
        <w:t>十九</w:t>
      </w:r>
      <w:r>
        <w:rPr>
          <w:rFonts w:hint="eastAsia" w:ascii="方正楷体_GBK" w:hAnsi="方正楷体_GBK" w:eastAsia="方正楷体_GBK" w:cs="方正楷体_GBK"/>
          <w:kern w:val="0"/>
          <w:highlight w:val="none"/>
        </w:rPr>
        <w:t>条</w:t>
      </w:r>
      <w:r>
        <w:rPr>
          <w:rFonts w:ascii="方正楷体_GBK" w:hAnsi="方正楷体_GBK" w:eastAsia="方正楷体_GBK" w:cs="方正楷体_GBK"/>
          <w:kern w:val="0"/>
          <w:highlight w:val="none"/>
        </w:rPr>
        <w:t xml:space="preserve"> </w:t>
      </w:r>
      <w:r>
        <w:rPr>
          <w:rFonts w:hint="eastAsia" w:ascii="方正楷体_GBK" w:hAnsi="方正楷体_GBK" w:eastAsia="方正楷体_GBK" w:cs="方正楷体_GBK"/>
          <w:kern w:val="0"/>
          <w:highlight w:val="none"/>
        </w:rPr>
        <w:t>建筑垃圾处理方案</w:t>
      </w:r>
      <w:bookmarkEnd w:id="33"/>
      <w:r>
        <w:rPr>
          <w:rFonts w:hint="eastAsia" w:ascii="方正楷体_GBK" w:hAnsi="方正楷体_GBK" w:eastAsia="方正楷体_GBK" w:cs="方正楷体_GBK"/>
          <w:kern w:val="0"/>
          <w:highlight w:val="none"/>
        </w:rPr>
        <w:fldChar w:fldCharType="end"/>
      </w:r>
      <w:bookmarkEnd w:id="32"/>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工程渣土、工程泥浆。工程渣土和工程泥浆应根据土层、类别、特性确定用途，先经脱水或固化处理后，分选出可用于资源化利用的部分和无法资源化利用的部分。其中无法资源化利用的部分主要采用填埋的方式进行处理，包括普通填埋、生态整治项目场地填埋和园林绿化项目场地填埋等方式，资源化利用部分主要是通过资源化利用厂进行再生处理。</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工程垃圾、拆除垃圾。工程垃圾和拆除垃圾采用“源头分类→收集→运输→回收利用→资源化利用厂”的处理模式，按照谁产生、谁处理的原则，先在源头进行分类，分选出的金属废弃物等可回收材料应单独回收进入循环利用体系，其他垃圾应进入资源化利用厂再生利用。</w:t>
      </w:r>
    </w:p>
    <w:p>
      <w:pPr>
        <w:keepNext w:val="0"/>
        <w:keepLines w:val="0"/>
        <w:widowControl/>
        <w:suppressLineNumbers w:val="0"/>
        <w:jc w:val="left"/>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装修垃圾。装修垃圾采用“源头分类→收集→运输→回收利用→资源化利用厂→无害化填埋”的处理模式，因区域无装修垃圾分选厂，鼓励装修垃圾先在源头进行分类，分选出的金属废弃物等可回收材料应单独回收进入循环利用体系，可进行再生利用的部分进入资源化利用厂，对不能就地处理</w:t>
      </w:r>
      <w:r>
        <w:rPr>
          <w:rFonts w:hint="eastAsia" w:cs="Times New Roman"/>
          <w:color w:val="auto"/>
          <w:kern w:val="2"/>
          <w:sz w:val="32"/>
          <w:szCs w:val="40"/>
          <w:lang w:val="en-US" w:eastAsia="zh-CN" w:bidi="ar-SA"/>
        </w:rPr>
        <w:t>，就</w:t>
      </w:r>
      <w:r>
        <w:rPr>
          <w:rFonts w:hint="eastAsia" w:ascii="Times New Roman" w:hAnsi="Times New Roman" w:eastAsia="方正仿宋_GBK" w:cs="Times New Roman"/>
          <w:color w:val="auto"/>
          <w:kern w:val="2"/>
          <w:sz w:val="32"/>
          <w:szCs w:val="40"/>
          <w:lang w:val="en-US" w:eastAsia="zh-CN" w:bidi="ar-SA"/>
        </w:rPr>
        <w:t>地使用以及有害的建筑垃圾，应进入填埋场进行埋场处理。</w:t>
      </w:r>
    </w:p>
    <w:p>
      <w:pPr>
        <w:pStyle w:val="4"/>
        <w:spacing w:before="0" w:after="0"/>
        <w:ind w:firstLine="0" w:firstLineChars="0"/>
        <w:jc w:val="both"/>
        <w:rPr>
          <w:rFonts w:hint="eastAsia" w:ascii="方正楷体_GBK" w:hAnsi="方正楷体_GBK" w:eastAsia="方正楷体_GBK" w:cs="方正楷体_GBK"/>
          <w:kern w:val="0"/>
          <w:highlight w:val="none"/>
        </w:rPr>
      </w:pPr>
      <w:bookmarkStart w:id="34" w:name="_Toc11502"/>
      <w:bookmarkStart w:id="35" w:name="_Toc25050101"/>
      <w:bookmarkStart w:id="36" w:name="_Toc92730588"/>
      <w:r>
        <w:rPr>
          <w:rFonts w:hint="eastAsia" w:ascii="方正楷体_GBK" w:hAnsi="方正楷体_GBK" w:eastAsia="方正楷体_GBK" w:cs="方正楷体_GBK"/>
          <w:kern w:val="0"/>
          <w:highlight w:val="none"/>
        </w:rPr>
        <w:t>第</w:t>
      </w:r>
      <w:r>
        <w:rPr>
          <w:rFonts w:hint="eastAsia" w:ascii="方正楷体_GBK" w:hAnsi="方正楷体_GBK" w:eastAsia="方正楷体_GBK" w:cs="方正楷体_GBK"/>
          <w:kern w:val="0"/>
          <w:highlight w:val="none"/>
          <w:lang w:val="en-US" w:eastAsia="zh-CN"/>
        </w:rPr>
        <w:t>二十</w:t>
      </w:r>
      <w:r>
        <w:rPr>
          <w:rFonts w:hint="eastAsia" w:ascii="方正楷体_GBK" w:hAnsi="方正楷体_GBK" w:eastAsia="方正楷体_GBK" w:cs="方正楷体_GBK"/>
          <w:kern w:val="0"/>
          <w:highlight w:val="none"/>
        </w:rPr>
        <w:t>条 处理缺口分析</w:t>
      </w:r>
      <w:bookmarkEnd w:id="34"/>
      <w:bookmarkEnd w:id="35"/>
      <w:bookmarkEnd w:id="36"/>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bookmarkStart w:id="37" w:name="_Toc92730589"/>
      <w:r>
        <w:rPr>
          <w:rFonts w:hint="eastAsia" w:ascii="Times New Roman" w:hAnsi="Times New Roman" w:eastAsia="方正仿宋_GBK" w:cs="Times New Roman"/>
          <w:color w:val="auto"/>
          <w:kern w:val="2"/>
          <w:sz w:val="32"/>
          <w:szCs w:val="40"/>
          <w:lang w:val="en-US" w:eastAsia="zh-CN" w:bidi="ar-SA"/>
        </w:rPr>
        <w:t>（一）建筑垃圾填埋场缺口。至2027年底，建筑垃圾填埋场总容量为360万</w:t>
      </w:r>
      <w:r>
        <w:rPr>
          <w:rFonts w:hint="eastAsia" w:cs="Times New Roman"/>
          <w:color w:val="auto"/>
          <w:kern w:val="2"/>
          <w:sz w:val="32"/>
          <w:szCs w:val="40"/>
          <w:lang w:val="en-US" w:eastAsia="zh-CN" w:bidi="ar-SA"/>
        </w:rPr>
        <w:t>m³</w:t>
      </w:r>
      <w:r>
        <w:rPr>
          <w:rFonts w:hint="eastAsia" w:ascii="Times New Roman" w:hAnsi="Times New Roman" w:eastAsia="方正仿宋_GBK" w:cs="Times New Roman"/>
          <w:color w:val="auto"/>
          <w:kern w:val="2"/>
          <w:sz w:val="32"/>
          <w:szCs w:val="40"/>
          <w:lang w:val="en-US" w:eastAsia="zh-CN" w:bidi="ar-SA"/>
        </w:rPr>
        <w:t>，当前可用库存为49万方，待建填埋场（黄沙果园后期）170万</w:t>
      </w:r>
      <w:r>
        <w:rPr>
          <w:rFonts w:hint="eastAsia" w:cs="Times New Roman"/>
          <w:color w:val="auto"/>
          <w:kern w:val="2"/>
          <w:sz w:val="32"/>
          <w:szCs w:val="40"/>
          <w:lang w:val="en-US" w:eastAsia="zh-CN" w:bidi="ar-SA"/>
        </w:rPr>
        <w:t>m³</w:t>
      </w:r>
      <w:r>
        <w:rPr>
          <w:rFonts w:hint="eastAsia" w:ascii="Times New Roman" w:hAnsi="Times New Roman" w:eastAsia="方正仿宋_GBK" w:cs="Times New Roman"/>
          <w:color w:val="auto"/>
          <w:kern w:val="2"/>
          <w:sz w:val="32"/>
          <w:szCs w:val="40"/>
          <w:lang w:val="en-US" w:eastAsia="zh-CN" w:bidi="ar-SA"/>
        </w:rPr>
        <w:t>，合计可用库存219万方，库存量不足，缺口141万</w:t>
      </w:r>
      <w:r>
        <w:rPr>
          <w:rFonts w:hint="eastAsia" w:cs="Times New Roman"/>
          <w:color w:val="auto"/>
          <w:kern w:val="2"/>
          <w:sz w:val="32"/>
          <w:szCs w:val="40"/>
          <w:lang w:val="en-US" w:eastAsia="zh-CN" w:bidi="ar-SA"/>
        </w:rPr>
        <w:t>m³</w:t>
      </w:r>
      <w:r>
        <w:rPr>
          <w:rFonts w:hint="eastAsia" w:ascii="Times New Roman" w:hAnsi="Times New Roman" w:eastAsia="方正仿宋_GBK" w:cs="Times New Roman"/>
          <w:color w:val="auto"/>
          <w:kern w:val="2"/>
          <w:sz w:val="32"/>
          <w:szCs w:val="40"/>
          <w:lang w:val="en-US" w:eastAsia="zh-CN" w:bidi="ar-SA"/>
        </w:rPr>
        <w:t>，因此2024年需开发黄沙果园后期填埋场，2026年需要新增开发储备建筑垃圾填埋场。</w:t>
      </w:r>
      <w:r>
        <w:rPr>
          <w:rFonts w:hint="eastAsia" w:cs="Times New Roman"/>
          <w:color w:val="auto"/>
          <w:kern w:val="2"/>
          <w:sz w:val="32"/>
          <w:szCs w:val="40"/>
          <w:lang w:val="en-US" w:eastAsia="zh-CN" w:bidi="ar-SA"/>
        </w:rPr>
        <w:t>截至2035</w:t>
      </w:r>
      <w:r>
        <w:rPr>
          <w:rFonts w:hint="eastAsia" w:ascii="Times New Roman" w:hAnsi="Times New Roman" w:eastAsia="方正仿宋_GBK" w:cs="Times New Roman"/>
          <w:color w:val="auto"/>
          <w:kern w:val="2"/>
          <w:sz w:val="32"/>
          <w:szCs w:val="40"/>
          <w:lang w:val="en-US" w:eastAsia="zh-CN" w:bidi="ar-SA"/>
        </w:rPr>
        <w:t>年，建筑垃圾填埋场总容量需求为924万</w:t>
      </w:r>
      <w:r>
        <w:rPr>
          <w:rFonts w:hint="eastAsia" w:cs="Times New Roman"/>
          <w:color w:val="auto"/>
          <w:kern w:val="2"/>
          <w:sz w:val="32"/>
          <w:szCs w:val="40"/>
          <w:lang w:val="en-US" w:eastAsia="zh-CN" w:bidi="ar-SA"/>
        </w:rPr>
        <w:t>m³</w:t>
      </w:r>
      <w:r>
        <w:rPr>
          <w:rFonts w:hint="eastAsia" w:ascii="Times New Roman" w:hAnsi="Times New Roman" w:eastAsia="方正仿宋_GBK" w:cs="Times New Roman"/>
          <w:color w:val="auto"/>
          <w:kern w:val="2"/>
          <w:sz w:val="32"/>
          <w:szCs w:val="40"/>
          <w:lang w:val="en-US" w:eastAsia="zh-CN" w:bidi="ar-SA"/>
        </w:rPr>
        <w:t>，总缺口705万</w:t>
      </w:r>
      <w:r>
        <w:rPr>
          <w:rFonts w:hint="eastAsia" w:cs="Times New Roman"/>
          <w:color w:val="auto"/>
          <w:kern w:val="2"/>
          <w:sz w:val="32"/>
          <w:szCs w:val="40"/>
          <w:lang w:val="en-US" w:eastAsia="zh-CN" w:bidi="ar-SA"/>
        </w:rPr>
        <w:t>m³</w:t>
      </w:r>
      <w:r>
        <w:rPr>
          <w:rFonts w:hint="eastAsia" w:ascii="Times New Roman" w:hAnsi="Times New Roman" w:eastAsia="方正仿宋_GBK" w:cs="Times New Roman"/>
          <w:color w:val="auto"/>
          <w:kern w:val="2"/>
          <w:sz w:val="32"/>
          <w:szCs w:val="40"/>
          <w:lang w:val="en-US" w:eastAsia="zh-CN" w:bidi="ar-SA"/>
        </w:rPr>
        <w:t>。</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（二）建筑垃圾资源化</w:t>
      </w:r>
      <w:r>
        <w:rPr>
          <w:rFonts w:hint="eastAsia" w:cs="Times New Roman"/>
          <w:color w:val="auto"/>
          <w:kern w:val="2"/>
          <w:sz w:val="32"/>
          <w:szCs w:val="40"/>
          <w:lang w:val="en-US" w:eastAsia="zh-CN" w:bidi="ar-SA"/>
        </w:rPr>
        <w:t>利用</w:t>
      </w:r>
      <w:r>
        <w:rPr>
          <w:rFonts w:hint="eastAsia" w:ascii="Times New Roman" w:hAnsi="Times New Roman" w:eastAsia="方正仿宋_GBK" w:cs="Times New Roman"/>
          <w:color w:val="auto"/>
          <w:kern w:val="2"/>
          <w:sz w:val="32"/>
          <w:szCs w:val="40"/>
          <w:lang w:val="en-US" w:eastAsia="zh-CN" w:bidi="ar-SA"/>
        </w:rPr>
        <w:t>缺口。至2027年底，工程垃圾、拆除垃圾、装修垃圾等三类资源化处理利用量18.3万吨/年，2035年为20.2万吨/年。目前，垫江县还未有建筑垃圾资源化利用厂，2027年缺口为18.3吨/年，2035年为20.2万吨/年。</w:t>
      </w:r>
    </w:p>
    <w:p>
      <w:pPr>
        <w:pStyle w:val="4"/>
        <w:spacing w:before="0" w:after="0"/>
        <w:ind w:firstLine="0" w:firstLineChars="0"/>
        <w:jc w:val="both"/>
        <w:rPr>
          <w:rFonts w:hint="eastAsia" w:ascii="方正楷体_GBK" w:hAnsi="方正楷体_GBK" w:eastAsia="方正楷体_GBK" w:cs="方正楷体_GBK"/>
          <w:kern w:val="0"/>
          <w:highlight w:val="none"/>
        </w:rPr>
      </w:pPr>
      <w:bookmarkStart w:id="38" w:name="_Toc24202"/>
    </w:p>
    <w:p>
      <w:pPr>
        <w:pStyle w:val="4"/>
        <w:spacing w:before="0" w:after="0"/>
        <w:ind w:firstLine="0" w:firstLineChars="0"/>
        <w:jc w:val="both"/>
        <w:rPr>
          <w:rFonts w:ascii="方正楷体_GBK" w:hAnsi="方正楷体_GBK" w:eastAsia="方正楷体_GBK" w:cs="方正楷体_GBK"/>
          <w:kern w:val="0"/>
          <w:highlight w:val="none"/>
        </w:rPr>
      </w:pPr>
      <w:r>
        <w:rPr>
          <w:rFonts w:hint="eastAsia" w:ascii="方正楷体_GBK" w:hAnsi="方正楷体_GBK" w:eastAsia="方正楷体_GBK" w:cs="方正楷体_GBK"/>
          <w:kern w:val="0"/>
          <w:highlight w:val="none"/>
        </w:rPr>
        <w:t>第</w:t>
      </w:r>
      <w:r>
        <w:rPr>
          <w:rFonts w:hint="eastAsia" w:ascii="方正楷体_GBK" w:hAnsi="方正楷体_GBK" w:eastAsia="方正楷体_GBK" w:cs="方正楷体_GBK"/>
          <w:kern w:val="0"/>
          <w:highlight w:val="none"/>
          <w:lang w:val="en-US" w:eastAsia="zh-CN"/>
        </w:rPr>
        <w:t>二十一</w:t>
      </w:r>
      <w:r>
        <w:rPr>
          <w:rFonts w:hint="eastAsia" w:ascii="方正楷体_GBK" w:hAnsi="方正楷体_GBK" w:eastAsia="方正楷体_GBK" w:cs="方正楷体_GBK"/>
          <w:kern w:val="0"/>
          <w:highlight w:val="none"/>
        </w:rPr>
        <w:t>条</w:t>
      </w:r>
      <w:r>
        <w:rPr>
          <w:rFonts w:ascii="方正楷体_GBK" w:hAnsi="方正楷体_GBK" w:eastAsia="方正楷体_GBK" w:cs="方正楷体_GBK"/>
          <w:kern w:val="0"/>
          <w:highlight w:val="none"/>
        </w:rPr>
        <w:t xml:space="preserve"> </w:t>
      </w:r>
      <w:r>
        <w:rPr>
          <w:rFonts w:hint="eastAsia" w:ascii="方正楷体_GBK" w:hAnsi="方正楷体_GBK" w:eastAsia="方正楷体_GBK" w:cs="方正楷体_GBK"/>
          <w:kern w:val="0"/>
          <w:highlight w:val="none"/>
        </w:rPr>
        <w:t>处理设施选址原则</w:t>
      </w:r>
      <w:bookmarkEnd w:id="37"/>
      <w:bookmarkEnd w:id="38"/>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（一）结合</w:t>
      </w:r>
      <w:r>
        <w:rPr>
          <w:rFonts w:hint="default" w:ascii="Times New Roman" w:hAnsi="Times New Roman" w:eastAsia="方正仿宋_GBK" w:cs="Times New Roman"/>
          <w:color w:val="auto"/>
          <w:kern w:val="2"/>
          <w:sz w:val="32"/>
          <w:szCs w:val="40"/>
          <w:lang w:val="en-US" w:eastAsia="zh-CN" w:bidi="ar-SA"/>
        </w:rPr>
        <w:t>《重庆市垫江县国土空间总体规划（2021</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2035年）》</w:t>
      </w:r>
      <w:r>
        <w:rPr>
          <w:rFonts w:hint="eastAsia" w:ascii="Times New Roman" w:hAnsi="Times New Roman" w:eastAsia="方正仿宋_GBK" w:cs="Times New Roman"/>
          <w:color w:val="auto"/>
          <w:kern w:val="2"/>
          <w:sz w:val="32"/>
          <w:szCs w:val="40"/>
          <w:lang w:val="en-US" w:eastAsia="zh-CN" w:bidi="ar-SA"/>
        </w:rPr>
        <w:t>要求，建筑垃圾处理设施选址不得侵占生态保护红线，并充分考虑城乡生态环境保护的要求，不得混入工业固体废物和生活垃圾，应避开水源地、自然生态保护区等生态敏感区，避开山洪区、地灾易发区等自然灾害多发区。</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（二）建筑垃圾处理设施选址应符合</w:t>
      </w:r>
      <w:r>
        <w:rPr>
          <w:rFonts w:hint="default" w:ascii="Times New Roman" w:hAnsi="Times New Roman" w:eastAsia="方正仿宋_GBK" w:cs="Times New Roman"/>
          <w:color w:val="auto"/>
          <w:kern w:val="2"/>
          <w:sz w:val="32"/>
          <w:szCs w:val="40"/>
          <w:lang w:val="en-US" w:eastAsia="zh-CN" w:bidi="ar-SA"/>
        </w:rPr>
        <w:t>《重庆市垫江县国土空间总体规划（2021</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2035年）》</w:t>
      </w:r>
      <w:r>
        <w:rPr>
          <w:rFonts w:hint="eastAsia" w:ascii="Times New Roman" w:hAnsi="Times New Roman" w:eastAsia="方正仿宋_GBK" w:cs="Times New Roman"/>
          <w:color w:val="auto"/>
          <w:kern w:val="2"/>
          <w:sz w:val="32"/>
          <w:szCs w:val="40"/>
          <w:lang w:val="en-US" w:eastAsia="zh-CN" w:bidi="ar-SA"/>
        </w:rPr>
        <w:t>要求，不得占用基本农田；选址应尽量少占耕地、林地，避开生态公益林及自然保护地等。</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（三）建筑垃圾填埋场选址应避开大量人流活动视线可及的区域，选址应尽量减少对周边人文活动和自然环境的破坏。</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（四）建筑垃圾填埋场建设应充分利用现有环卫设施、现状道路等基础设施，使建筑垃圾填埋场建设经济、方便。</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（五）宜选择在自然低洼地势的山谷（坳）、采石场废坑等交通方便、运距合理、土地利用价值低、地下水贫乏的地区。</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（六）考虑部分待建公园绿地中需进行地形优化改造的区域，经公园主管部门研究同意后，可作为建筑渣土填埋场地选择方向。</w:t>
      </w:r>
    </w:p>
    <w:p>
      <w:pPr>
        <w:keepNext w:val="0"/>
        <w:keepLines w:val="0"/>
        <w:widowControl/>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（七）考虑部分生态修复项目（如生态农业园、废旧矿坑等），经业主单位研究同意后，可作为建筑渣土填埋场地选择方向。</w:t>
      </w:r>
    </w:p>
    <w:p>
      <w:pPr>
        <w:pStyle w:val="4"/>
        <w:spacing w:before="0" w:after="0"/>
        <w:ind w:firstLine="0" w:firstLineChars="0"/>
        <w:jc w:val="both"/>
        <w:rPr>
          <w:rFonts w:ascii="方正楷体_GBK" w:hAnsi="方正楷体_GBK" w:eastAsia="方正楷体_GBK" w:cs="方正楷体_GBK"/>
          <w:kern w:val="0"/>
          <w:highlight w:val="none"/>
        </w:rPr>
      </w:pPr>
      <w:bookmarkStart w:id="39" w:name="_Toc92730590"/>
      <w:bookmarkStart w:id="40" w:name="_Toc2983"/>
      <w:r>
        <w:rPr>
          <w:rFonts w:hint="eastAsia" w:ascii="方正楷体_GBK" w:hAnsi="方正楷体_GBK" w:eastAsia="方正楷体_GBK" w:cs="方正楷体_GBK"/>
          <w:kern w:val="0"/>
          <w:highlight w:val="none"/>
        </w:rPr>
        <w:t>第</w:t>
      </w:r>
      <w:r>
        <w:rPr>
          <w:rFonts w:hint="eastAsia" w:ascii="方正楷体_GBK" w:hAnsi="方正楷体_GBK" w:eastAsia="方正楷体_GBK" w:cs="方正楷体_GBK"/>
          <w:kern w:val="0"/>
          <w:highlight w:val="none"/>
          <w:lang w:val="en-US" w:eastAsia="zh-CN"/>
        </w:rPr>
        <w:t>二十二</w:t>
      </w:r>
      <w:r>
        <w:rPr>
          <w:rFonts w:hint="eastAsia" w:ascii="方正楷体_GBK" w:hAnsi="方正楷体_GBK" w:eastAsia="方正楷体_GBK" w:cs="方正楷体_GBK"/>
          <w:kern w:val="0"/>
          <w:highlight w:val="none"/>
        </w:rPr>
        <w:t>条</w:t>
      </w:r>
      <w:r>
        <w:rPr>
          <w:rFonts w:ascii="方正楷体_GBK" w:hAnsi="方正楷体_GBK" w:eastAsia="方正楷体_GBK" w:cs="方正楷体_GBK"/>
          <w:kern w:val="0"/>
          <w:highlight w:val="none"/>
        </w:rPr>
        <w:t xml:space="preserve"> </w:t>
      </w:r>
      <w:r>
        <w:rPr>
          <w:rFonts w:hint="eastAsia" w:ascii="方正楷体_GBK" w:hAnsi="方正楷体_GBK" w:eastAsia="方正楷体_GBK" w:cs="方正楷体_GBK"/>
          <w:kern w:val="0"/>
          <w:highlight w:val="none"/>
          <w:lang w:val="en-US" w:eastAsia="zh-CN"/>
        </w:rPr>
        <w:t>处理</w:t>
      </w:r>
      <w:r>
        <w:rPr>
          <w:rFonts w:hint="eastAsia" w:ascii="方正楷体_GBK" w:hAnsi="方正楷体_GBK" w:eastAsia="方正楷体_GBK" w:cs="方正楷体_GBK"/>
          <w:kern w:val="0"/>
          <w:highlight w:val="none"/>
        </w:rPr>
        <w:t>设施规划</w:t>
      </w:r>
      <w:bookmarkEnd w:id="39"/>
      <w:r>
        <w:rPr>
          <w:rFonts w:hint="eastAsia" w:ascii="方正楷体_GBK" w:hAnsi="方正楷体_GBK" w:eastAsia="方正楷体_GBK" w:cs="方正楷体_GBK"/>
          <w:kern w:val="0"/>
          <w:highlight w:val="none"/>
        </w:rPr>
        <w:t>布局</w:t>
      </w:r>
      <w:bookmarkEnd w:id="40"/>
    </w:p>
    <w:p>
      <w:pPr>
        <w:keepNext w:val="0"/>
        <w:keepLines w:val="0"/>
        <w:widowControl/>
        <w:numPr>
          <w:ilvl w:val="0"/>
          <w:numId w:val="2"/>
        </w:numPr>
        <w:suppressLineNumbers w:val="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建筑垃圾资源化利用厂。基于建筑垃圾资源化处理需求量及处理能力缺口分析，同时需要满足原料分选、设备安装、产品堆场等功能布局的用地需求，按照《建筑垃圾处理技术标准》（CJJ/T 134-2019）关于建筑垃圾资源化利用厂（场）的选址要求，应当临近交通方便的交通主干道，具有良好电力、给水和排水条件的地点，不应选在发震断层、滑坡、泥石流、沼泽、流沙及采矿陷落区等。根据用地选址要求，规划选址1处。目前，高投集团正在推进高新区建筑垃圾资源化利用项目建设，已形成初步方案设计，正在报县规划自然资源局审核，预计2024年下半年正式投入建设。（详见表6-1、图6-1）</w:t>
      </w:r>
    </w:p>
    <w:p>
      <w:pPr>
        <w:pStyle w:val="2"/>
        <w:rPr>
          <w:rFonts w:hint="eastAsia"/>
          <w:lang w:val="en-US" w:eastAsia="zh-CN"/>
        </w:rPr>
      </w:pPr>
      <w:bookmarkStart w:id="41" w:name="_Toc92730603"/>
    </w:p>
    <w:p>
      <w:pPr>
        <w:ind w:left="0" w:leftChars="0" w:firstLine="0" w:firstLineChars="0"/>
        <w:jc w:val="center"/>
        <w:rPr>
          <w:rFonts w:hint="eastAsia" w:ascii="方正黑体_GBK" w:hAnsi="方正黑体_GBK" w:eastAsia="方正黑体_GBK" w:cs="方正黑体_GBK"/>
          <w:b w:val="0"/>
          <w:bCs w:val="0"/>
          <w:sz w:val="28"/>
          <w:szCs w:val="28"/>
          <w:highlight w:val="none"/>
          <w:lang w:val="en-US" w:eastAsia="zh-CN"/>
        </w:rPr>
      </w:pPr>
      <w:r>
        <w:rPr>
          <w:rFonts w:hint="eastAsia" w:ascii="方正黑体_GBK" w:hAnsi="方正黑体_GBK" w:eastAsia="方正黑体_GBK" w:cs="方正黑体_GBK"/>
          <w:b w:val="0"/>
          <w:bCs w:val="0"/>
          <w:sz w:val="28"/>
          <w:szCs w:val="28"/>
          <w:highlight w:val="none"/>
          <w:lang w:val="en-US" w:eastAsia="zh-CN"/>
        </w:rPr>
        <w:t>表6-1：垫江县建筑垃圾资源化利用厂选址一览表</w:t>
      </w:r>
      <w:bookmarkEnd w:id="41"/>
    </w:p>
    <w:p>
      <w:pPr>
        <w:pStyle w:val="2"/>
        <w:rPr>
          <w:rFonts w:hint="eastAsia"/>
          <w:lang w:val="en-US" w:eastAsia="zh-CN"/>
        </w:rPr>
      </w:pPr>
    </w:p>
    <w:tbl>
      <w:tblPr>
        <w:tblStyle w:val="11"/>
        <w:tblW w:w="8888" w:type="dxa"/>
        <w:jc w:val="center"/>
        <w:tblInd w:w="0" w:type="dxa"/>
        <w:tblLayout w:type="fixed"/>
        <w:tblCellMar>
          <w:top w:w="0" w:type="dxa"/>
          <w:left w:w="108" w:type="dxa"/>
          <w:bottom w:w="0" w:type="dxa"/>
          <w:right w:w="108" w:type="dxa"/>
        </w:tblCellMar>
      </w:tblPr>
      <w:tblGrid>
        <w:gridCol w:w="864"/>
        <w:gridCol w:w="1711"/>
        <w:gridCol w:w="2365"/>
        <w:gridCol w:w="1154"/>
        <w:gridCol w:w="1304"/>
        <w:gridCol w:w="1490"/>
      </w:tblGrid>
      <w:tr>
        <w:tblPrEx>
          <w:tblLayout w:type="fixed"/>
          <w:tblCellMar>
            <w:top w:w="0" w:type="dxa"/>
            <w:left w:w="108" w:type="dxa"/>
            <w:bottom w:w="0" w:type="dxa"/>
            <w:right w:w="108" w:type="dxa"/>
          </w:tblCellMar>
        </w:tblPrEx>
        <w:trPr>
          <w:trHeight w:val="1278"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rPr>
              <w:t>序号</w:t>
            </w:r>
          </w:p>
        </w:tc>
        <w:tc>
          <w:tcPr>
            <w:tcW w:w="1711"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rPr>
              <w:t>名称</w:t>
            </w:r>
          </w:p>
        </w:tc>
        <w:tc>
          <w:tcPr>
            <w:tcW w:w="2365"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rPr>
              <w:t>地块位置</w:t>
            </w:r>
          </w:p>
        </w:tc>
        <w:tc>
          <w:tcPr>
            <w:tcW w:w="1154"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rPr>
              <w:t>用地面积（亩）</w:t>
            </w:r>
          </w:p>
        </w:tc>
        <w:tc>
          <w:tcPr>
            <w:tcW w:w="1304"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rPr>
              <w:t>总计容建筑体量（万方）</w:t>
            </w:r>
          </w:p>
        </w:tc>
        <w:tc>
          <w:tcPr>
            <w:tcW w:w="149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rPr>
            </w:pPr>
            <w:r>
              <w:rPr>
                <w:rFonts w:hint="eastAsia" w:ascii="Times New Roman" w:hAnsi="Times New Roman" w:eastAsia="方正黑体_GBK" w:cs="Times New Roman"/>
                <w:sz w:val="24"/>
                <w:szCs w:val="24"/>
              </w:rPr>
              <w:t>现状用地属性</w:t>
            </w:r>
          </w:p>
        </w:tc>
      </w:tr>
      <w:tr>
        <w:tblPrEx>
          <w:tblLayout w:type="fixed"/>
          <w:tblCellMar>
            <w:top w:w="0" w:type="dxa"/>
            <w:left w:w="108" w:type="dxa"/>
            <w:bottom w:w="0" w:type="dxa"/>
            <w:right w:w="108" w:type="dxa"/>
          </w:tblCellMar>
        </w:tblPrEx>
        <w:trPr>
          <w:trHeight w:val="1959" w:hRule="atLeast"/>
          <w:jc w:val="center"/>
        </w:trPr>
        <w:tc>
          <w:tcPr>
            <w:tcW w:w="864"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w:t>
            </w:r>
          </w:p>
        </w:tc>
        <w:tc>
          <w:tcPr>
            <w:tcW w:w="1711"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垫江县高新区建筑垃圾资源化利用厂</w:t>
            </w:r>
          </w:p>
        </w:tc>
        <w:tc>
          <w:tcPr>
            <w:tcW w:w="2365"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垫江县高新区桂阳组团003-02/02M2地块</w:t>
            </w:r>
          </w:p>
        </w:tc>
        <w:tc>
          <w:tcPr>
            <w:tcW w:w="1154"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10</w:t>
            </w:r>
          </w:p>
        </w:tc>
        <w:tc>
          <w:tcPr>
            <w:tcW w:w="1304"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0.69</w:t>
            </w:r>
          </w:p>
        </w:tc>
        <w:tc>
          <w:tcPr>
            <w:tcW w:w="1490" w:type="dxa"/>
            <w:tcBorders>
              <w:top w:val="nil"/>
              <w:left w:val="nil"/>
              <w:bottom w:val="single" w:color="auto" w:sz="4" w:space="0"/>
              <w:right w:val="single" w:color="auto" w:sz="4" w:space="0"/>
            </w:tcBorders>
            <w:shd w:val="clear" w:color="auto" w:fill="auto"/>
            <w:tcMar>
              <w:left w:w="0" w:type="dxa"/>
              <w:right w:w="0" w:type="dxa"/>
            </w:tcMar>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现为运营中的建筑垃圾填埋场，封场后修建资源化利用</w:t>
            </w:r>
          </w:p>
        </w:tc>
      </w:tr>
    </w:tbl>
    <w:p>
      <w:pPr>
        <w:pStyle w:val="2"/>
        <w:rPr>
          <w:rFonts w:hint="eastAsia"/>
          <w:lang w:val="en-US" w:eastAsia="zh-CN"/>
        </w:rPr>
      </w:pPr>
      <w:bookmarkStart w:id="42" w:name="_Toc92730604"/>
    </w:p>
    <w:p>
      <w:pPr>
        <w:pStyle w:val="2"/>
        <w:rPr>
          <w:rFonts w:hint="eastAsia"/>
          <w:lang w:val="en-US" w:eastAsia="zh-CN"/>
        </w:rPr>
      </w:pPr>
    </w:p>
    <w:p>
      <w:pPr>
        <w:pStyle w:val="2"/>
        <w:rPr>
          <w:rFonts w:hint="eastAsia"/>
          <w:lang w:val="en-US" w:eastAsia="zh-CN"/>
        </w:rPr>
      </w:pPr>
    </w:p>
    <w:p>
      <w:pPr>
        <w:ind w:left="0" w:leftChars="0" w:firstLine="0" w:firstLineChars="0"/>
        <w:jc w:val="center"/>
        <w:rPr>
          <w:rFonts w:hint="default"/>
          <w:lang w:val="en-US" w:eastAsia="zh-CN"/>
        </w:rPr>
      </w:pPr>
      <w:r>
        <w:rPr>
          <w:rFonts w:hint="eastAsia" w:ascii="方正黑体_GBK" w:hAnsi="方正黑体_GBK" w:eastAsia="方正黑体_GBK" w:cs="方正黑体_GBK"/>
          <w:b w:val="0"/>
          <w:bCs w:val="0"/>
          <w:sz w:val="28"/>
          <w:szCs w:val="28"/>
          <w:highlight w:val="none"/>
          <w:lang w:val="en-US" w:eastAsia="zh-CN"/>
        </w:rPr>
        <w:t>图6-1：垫江县建筑垃圾填埋场及资源化利用厂选址图</w:t>
      </w:r>
    </w:p>
    <w:p>
      <w:pPr>
        <w:pStyle w:val="2"/>
        <w:rPr>
          <w:rFonts w:hint="eastAsia"/>
          <w:lang w:val="en-US" w:eastAsia="zh-CN"/>
        </w:rPr>
      </w:pPr>
    </w:p>
    <w:p>
      <w:pPr>
        <w:pStyle w:val="2"/>
        <w:rPr>
          <w:rFonts w:hint="eastAsia"/>
          <w:lang w:val="en-US" w:eastAsia="zh-CN"/>
        </w:rPr>
      </w:pPr>
      <w:r>
        <w:drawing>
          <wp:anchor distT="0" distB="0" distL="114300" distR="114300" simplePos="0" relativeHeight="251661312" behindDoc="1" locked="0" layoutInCell="1" allowOverlap="1">
            <wp:simplePos x="0" y="0"/>
            <wp:positionH relativeFrom="column">
              <wp:posOffset>125095</wp:posOffset>
            </wp:positionH>
            <wp:positionV relativeFrom="paragraph">
              <wp:posOffset>56515</wp:posOffset>
            </wp:positionV>
            <wp:extent cx="5337810" cy="4722495"/>
            <wp:effectExtent l="0" t="0" r="15240" b="19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337810" cy="4722495"/>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drawing>
          <wp:anchor distT="0" distB="0" distL="114300" distR="114300" simplePos="0" relativeHeight="251660288" behindDoc="1" locked="0" layoutInCell="1" allowOverlap="1">
            <wp:simplePos x="0" y="0"/>
            <wp:positionH relativeFrom="column">
              <wp:posOffset>76200</wp:posOffset>
            </wp:positionH>
            <wp:positionV relativeFrom="paragraph">
              <wp:posOffset>76200</wp:posOffset>
            </wp:positionV>
            <wp:extent cx="5460365" cy="785495"/>
            <wp:effectExtent l="0" t="0" r="6985" b="1460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460365" cy="785495"/>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widowControl/>
        <w:numPr>
          <w:ilvl w:val="0"/>
          <w:numId w:val="2"/>
        </w:numPr>
        <w:suppressLineNumbers w:val="0"/>
        <w:jc w:val="left"/>
        <w:rPr>
          <w:rFonts w:hint="eastAsia" w:ascii="Times New Roman" w:hAnsi="Times New Roman" w:eastAsia="方正仿宋_GBK" w:cs="Times New Roman"/>
          <w:color w:val="auto"/>
          <w:kern w:val="2"/>
          <w:sz w:val="32"/>
          <w:szCs w:val="40"/>
          <w:lang w:val="en-US" w:eastAsia="zh-CN" w:bidi="ar-SA"/>
        </w:rPr>
      </w:pPr>
      <w:bookmarkStart w:id="43" w:name="_Hlk49773270"/>
      <w:r>
        <w:rPr>
          <w:rFonts w:hint="eastAsia" w:ascii="Times New Roman" w:hAnsi="Times New Roman" w:eastAsia="方正仿宋_GBK" w:cs="Times New Roman"/>
          <w:color w:val="auto"/>
          <w:kern w:val="2"/>
          <w:sz w:val="32"/>
          <w:szCs w:val="40"/>
          <w:lang w:val="en-US" w:eastAsia="zh-CN" w:bidi="ar-SA"/>
        </w:rPr>
        <w:t>建筑填埋场</w:t>
      </w:r>
      <w:bookmarkEnd w:id="43"/>
      <w:r>
        <w:rPr>
          <w:rFonts w:hint="eastAsia" w:ascii="Times New Roman" w:hAnsi="Times New Roman" w:eastAsia="方正仿宋_GBK" w:cs="Times New Roman"/>
          <w:color w:val="auto"/>
          <w:kern w:val="2"/>
          <w:sz w:val="32"/>
          <w:szCs w:val="40"/>
          <w:lang w:val="en-US" w:eastAsia="zh-CN" w:bidi="ar-SA"/>
        </w:rPr>
        <w:t>。基于建筑垃圾填埋量缺口需求，</w:t>
      </w:r>
      <w:r>
        <w:rPr>
          <w:rFonts w:hint="eastAsia" w:cs="Times New Roman"/>
          <w:color w:val="auto"/>
          <w:kern w:val="2"/>
          <w:sz w:val="32"/>
          <w:szCs w:val="40"/>
          <w:lang w:val="en-US" w:eastAsia="zh-CN" w:bidi="ar-SA"/>
        </w:rPr>
        <w:t>结合《垫江县弃土场选址方案》（2023）、</w:t>
      </w:r>
      <w:r>
        <w:rPr>
          <w:rFonts w:hint="default" w:ascii="Times New Roman" w:hAnsi="Times New Roman" w:eastAsia="方正仿宋_GBK" w:cs="Times New Roman"/>
          <w:color w:val="auto"/>
          <w:kern w:val="2"/>
          <w:sz w:val="32"/>
          <w:szCs w:val="40"/>
          <w:lang w:val="en-US" w:eastAsia="zh-CN" w:bidi="ar-SA"/>
        </w:rPr>
        <w:t>《重庆市垫江县国土空间总体规划（2021</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2035年）》</w:t>
      </w:r>
      <w:r>
        <w:rPr>
          <w:rFonts w:hint="eastAsia" w:ascii="Times New Roman" w:hAnsi="Times New Roman" w:eastAsia="方正仿宋_GBK" w:cs="Times New Roman"/>
          <w:color w:val="auto"/>
          <w:kern w:val="2"/>
          <w:sz w:val="32"/>
          <w:szCs w:val="40"/>
          <w:lang w:val="en-US" w:eastAsia="zh-CN" w:bidi="ar-SA"/>
        </w:rPr>
        <w:t>等文件</w:t>
      </w:r>
      <w:r>
        <w:rPr>
          <w:rFonts w:hint="eastAsia" w:cs="Times New Roman"/>
          <w:color w:val="auto"/>
          <w:kern w:val="2"/>
          <w:sz w:val="32"/>
          <w:szCs w:val="40"/>
          <w:lang w:val="en-US" w:eastAsia="zh-CN" w:bidi="ar-SA"/>
        </w:rPr>
        <w:t>，</w:t>
      </w:r>
      <w:r>
        <w:rPr>
          <w:rFonts w:hint="eastAsia" w:ascii="Times New Roman" w:hAnsi="Times New Roman" w:eastAsia="方正仿宋_GBK" w:cs="Times New Roman"/>
          <w:color w:val="auto"/>
          <w:kern w:val="2"/>
          <w:sz w:val="32"/>
          <w:szCs w:val="40"/>
          <w:lang w:val="en-US" w:eastAsia="zh-CN" w:bidi="ar-SA"/>
        </w:rPr>
        <w:t>目前</w:t>
      </w:r>
      <w:r>
        <w:rPr>
          <w:rFonts w:hint="eastAsia" w:cs="Times New Roman"/>
          <w:color w:val="auto"/>
          <w:kern w:val="2"/>
          <w:sz w:val="32"/>
          <w:szCs w:val="40"/>
          <w:lang w:val="en-US" w:eastAsia="zh-CN" w:bidi="ar-SA"/>
        </w:rPr>
        <w:t>有效</w:t>
      </w:r>
      <w:r>
        <w:rPr>
          <w:rFonts w:hint="eastAsia" w:ascii="Times New Roman" w:hAnsi="Times New Roman" w:eastAsia="方正仿宋_GBK" w:cs="Times New Roman"/>
          <w:color w:val="auto"/>
          <w:kern w:val="2"/>
          <w:sz w:val="32"/>
          <w:szCs w:val="40"/>
          <w:lang w:val="en-US" w:eastAsia="zh-CN" w:bidi="ar-SA"/>
        </w:rPr>
        <w:t>储备7处建筑</w:t>
      </w:r>
      <w:bookmarkStart w:id="44" w:name="_Hlk49776945"/>
      <w:r>
        <w:rPr>
          <w:rFonts w:hint="eastAsia" w:ascii="Times New Roman" w:hAnsi="Times New Roman" w:eastAsia="方正仿宋_GBK" w:cs="Times New Roman"/>
          <w:color w:val="auto"/>
          <w:kern w:val="2"/>
          <w:sz w:val="32"/>
          <w:szCs w:val="40"/>
          <w:lang w:val="en-US" w:eastAsia="zh-CN" w:bidi="ar-SA"/>
        </w:rPr>
        <w:t>垃圾填埋场</w:t>
      </w:r>
      <w:bookmarkEnd w:id="44"/>
      <w:r>
        <w:rPr>
          <w:rFonts w:hint="eastAsia" w:ascii="Times New Roman" w:hAnsi="Times New Roman" w:eastAsia="方正仿宋_GBK" w:cs="Times New Roman"/>
          <w:color w:val="auto"/>
          <w:kern w:val="2"/>
          <w:sz w:val="32"/>
          <w:szCs w:val="40"/>
          <w:lang w:val="en-US" w:eastAsia="zh-CN" w:bidi="ar-SA"/>
        </w:rPr>
        <w:t>，总填埋量约为1440万m³。（详见表6-2、图6-1）</w:t>
      </w:r>
    </w:p>
    <w:p>
      <w:pPr>
        <w:pStyle w:val="2"/>
        <w:rPr>
          <w:rFonts w:hint="eastAsia" w:ascii="Times New Roman" w:hAnsi="Times New Roman" w:eastAsia="方正仿宋_GBK" w:cstheme="minorBidi"/>
          <w:kern w:val="2"/>
          <w:sz w:val="32"/>
          <w:szCs w:val="22"/>
          <w:lang w:val="en-US" w:eastAsia="zh-CN" w:bidi="ar-SA"/>
        </w:rPr>
      </w:pPr>
    </w:p>
    <w:p>
      <w:pPr>
        <w:ind w:left="0" w:leftChars="0" w:firstLine="0" w:firstLineChars="0"/>
        <w:jc w:val="center"/>
        <w:rPr>
          <w:rFonts w:hint="eastAsia" w:ascii="Times New Roman" w:hAnsi="Times New Roman" w:eastAsia="方正仿宋_GBK" w:cstheme="minorBidi"/>
          <w:kern w:val="2"/>
          <w:sz w:val="32"/>
          <w:szCs w:val="22"/>
          <w:lang w:val="en-US" w:eastAsia="zh-CN" w:bidi="ar-SA"/>
        </w:rPr>
      </w:pPr>
      <w:r>
        <w:rPr>
          <w:rFonts w:hint="eastAsia" w:ascii="方正黑体_GBK" w:hAnsi="方正黑体_GBK" w:eastAsia="方正黑体_GBK" w:cs="方正黑体_GBK"/>
          <w:b w:val="0"/>
          <w:bCs w:val="0"/>
          <w:sz w:val="28"/>
          <w:szCs w:val="28"/>
          <w:highlight w:val="none"/>
          <w:lang w:val="en-US" w:eastAsia="zh-CN"/>
        </w:rPr>
        <w:t>表6-2：垫江县建筑垃圾填埋场待选址一览表</w:t>
      </w:r>
    </w:p>
    <w:bookmarkEnd w:id="42"/>
    <w:tbl>
      <w:tblPr>
        <w:tblStyle w:val="11"/>
        <w:tblpPr w:leftFromText="180" w:rightFromText="180" w:vertAnchor="text" w:horzAnchor="page" w:tblpX="2145" w:tblpY="1322"/>
        <w:tblOverlap w:val="never"/>
        <w:tblW w:w="88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4"/>
        <w:gridCol w:w="1673"/>
        <w:gridCol w:w="1148"/>
        <w:gridCol w:w="1400"/>
        <w:gridCol w:w="37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69" w:hRule="atLeast"/>
          <w:tblHeader/>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序号</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拟选址位置</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用地面积（亩）</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容量规模</w:t>
            </w:r>
          </w:p>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（万立方米）</w:t>
            </w:r>
          </w:p>
        </w:tc>
        <w:tc>
          <w:tcPr>
            <w:tcW w:w="3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与城市规划的关系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4"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玉鼎大道南侧</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115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120</w:t>
            </w:r>
          </w:p>
        </w:tc>
        <w:tc>
          <w:tcPr>
            <w:tcW w:w="3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城镇开发边界相交，不占永农与生态红线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4"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新民镇城北村一社</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105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120</w:t>
            </w:r>
          </w:p>
        </w:tc>
        <w:tc>
          <w:tcPr>
            <w:tcW w:w="3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新民镇城镇开发边界外，不占永农与生态红线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4"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3</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桂溪街道西山村</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90</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200</w:t>
            </w:r>
          </w:p>
        </w:tc>
        <w:tc>
          <w:tcPr>
            <w:tcW w:w="3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城镇开发边界相交，不占永农与生态红线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69"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4</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工业园区县城组团</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130</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150</w:t>
            </w:r>
          </w:p>
        </w:tc>
        <w:tc>
          <w:tcPr>
            <w:tcW w:w="3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城镇开发边界相交，不占永农与生态红线，规划用途为商住开发经营性用地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69"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5</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东部新区垫江中学三合湖校区北侧</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100</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80</w:t>
            </w:r>
          </w:p>
        </w:tc>
        <w:tc>
          <w:tcPr>
            <w:tcW w:w="3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城镇开发边界外城市发展拓展区，不占永农与生态保护红线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4"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6</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五洞镇高山村10组</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683</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700</w:t>
            </w:r>
          </w:p>
        </w:tc>
        <w:tc>
          <w:tcPr>
            <w:tcW w:w="3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五洞镇城镇开发边界外，不占永农与生态保护红线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8"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7</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桂阳街道天马社区三社</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120</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70</w:t>
            </w:r>
          </w:p>
        </w:tc>
        <w:tc>
          <w:tcPr>
            <w:tcW w:w="3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城镇开发边界外，不占永农与生态红线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86" w:hRule="atLeast"/>
        </w:trPr>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合计</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1343</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1440</w:t>
            </w:r>
          </w:p>
        </w:tc>
        <w:tc>
          <w:tcPr>
            <w:tcW w:w="3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w:t>
            </w:r>
          </w:p>
        </w:tc>
      </w:tr>
    </w:tbl>
    <w:p>
      <w:pPr>
        <w:pStyle w:val="3"/>
        <w:keepNext/>
        <w:keepLines/>
        <w:pageBreakBefore w:val="0"/>
        <w:widowControl w:val="0"/>
        <w:kinsoku/>
        <w:wordWrap/>
        <w:overflowPunct/>
        <w:topLinePunct w:val="0"/>
        <w:autoSpaceDE/>
        <w:autoSpaceDN/>
        <w:bidi w:val="0"/>
        <w:adjustRightInd/>
        <w:snapToGrid/>
        <w:spacing w:before="120" w:after="120"/>
        <w:jc w:val="both"/>
        <w:textAlignment w:val="auto"/>
        <w:rPr>
          <w:rFonts w:hint="eastAsia" w:ascii="方正黑体_GBK" w:hAnsi="方正黑体_GBK" w:eastAsia="方正黑体_GBK" w:cs="方正黑体_GBK"/>
          <w:sz w:val="32"/>
          <w:szCs w:val="21"/>
          <w:highlight w:val="none"/>
        </w:rPr>
      </w:pPr>
    </w:p>
    <w:p>
      <w:pPr>
        <w:pStyle w:val="3"/>
        <w:keepNext/>
        <w:keepLines/>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sz w:val="32"/>
          <w:szCs w:val="21"/>
          <w:lang w:val="en-US" w:eastAsia="zh-CN"/>
        </w:rPr>
      </w:pPr>
      <w:bookmarkStart w:id="45" w:name="_Toc18350"/>
      <w:r>
        <w:rPr>
          <w:rFonts w:hint="eastAsia"/>
          <w:sz w:val="32"/>
          <w:szCs w:val="21"/>
          <w:lang w:val="en-US" w:eastAsia="zh-CN"/>
        </w:rPr>
        <w:t>第七章 生态环境保护修复</w:t>
      </w:r>
      <w:bookmarkEnd w:id="45"/>
    </w:p>
    <w:p>
      <w:pPr>
        <w:pStyle w:val="4"/>
        <w:pageBreakBefore w:val="0"/>
        <w:widowControl w:val="0"/>
        <w:kinsoku/>
        <w:wordWrap/>
        <w:overflowPunct/>
        <w:topLinePunct w:val="0"/>
        <w:autoSpaceDE/>
        <w:autoSpaceDN/>
        <w:bidi w:val="0"/>
        <w:adjustRightInd/>
        <w:snapToGrid/>
        <w:spacing w:before="0" w:beforeLines="-2147483648" w:beforeAutospacing="0" w:after="0" w:afterLines="-2147483648" w:afterAutospacing="0" w:line="560" w:lineRule="exact"/>
        <w:ind w:firstLine="0" w:firstLineChars="0"/>
        <w:jc w:val="both"/>
        <w:textAlignment w:val="auto"/>
        <w:rPr>
          <w:rFonts w:hint="eastAsia" w:ascii="方正楷体_GBK" w:hAnsi="方正楷体_GBK" w:eastAsia="方正楷体_GBK" w:cs="方正楷体_GBK"/>
          <w:b w:val="0"/>
          <w:bCs w:val="0"/>
          <w:kern w:val="0"/>
          <w:sz w:val="32"/>
          <w:szCs w:val="32"/>
          <w:highlight w:val="none"/>
          <w:lang w:val="en-US" w:eastAsia="zh-CN"/>
        </w:rPr>
      </w:pPr>
      <w:bookmarkStart w:id="46" w:name="_Toc28143"/>
      <w:r>
        <w:rPr>
          <w:rFonts w:hint="eastAsia" w:ascii="方正楷体_GBK" w:hAnsi="方正楷体_GBK" w:eastAsia="方正楷体_GBK" w:cs="方正楷体_GBK"/>
          <w:b w:val="0"/>
          <w:bCs w:val="0"/>
          <w:kern w:val="0"/>
          <w:sz w:val="32"/>
          <w:szCs w:val="32"/>
          <w:highlight w:val="none"/>
          <w:lang w:val="en-US" w:eastAsia="zh-CN"/>
        </w:rPr>
        <w:t>第二十三条 生态环境保护</w:t>
      </w:r>
      <w:bookmarkEnd w:id="46"/>
    </w:p>
    <w:p>
      <w:pPr>
        <w:pStyle w:val="5"/>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0"/>
        <w:textAlignment w:val="auto"/>
        <w:rPr>
          <w:rFonts w:hint="eastAsia" w:ascii="Times New Roman" w:hAnsi="Times New Roman" w:cstheme="minorBidi"/>
          <w:kern w:val="2"/>
          <w:sz w:val="32"/>
          <w:szCs w:val="22"/>
          <w:lang w:val="en-US" w:eastAsia="zh-CN" w:bidi="ar-SA"/>
        </w:rPr>
      </w:pPr>
      <w:r>
        <w:rPr>
          <w:rFonts w:hint="eastAsia" w:ascii="Times New Roman" w:hAnsi="Times New Roman" w:eastAsia="方正仿宋_GBK" w:cstheme="minorBidi"/>
          <w:kern w:val="2"/>
          <w:sz w:val="32"/>
          <w:szCs w:val="22"/>
          <w:lang w:val="en-US" w:eastAsia="zh-CN" w:bidi="ar-SA"/>
        </w:rPr>
        <w:t>大气污染控制</w:t>
      </w:r>
      <w:r>
        <w:rPr>
          <w:rFonts w:hint="eastAsia" w:ascii="Times New Roman" w:hAnsi="Times New Roman" w:cstheme="minorBidi"/>
          <w:kern w:val="2"/>
          <w:sz w:val="32"/>
          <w:szCs w:val="22"/>
          <w:lang w:val="en-US" w:eastAsia="zh-CN" w:bidi="ar-SA"/>
        </w:rPr>
        <w:t>。</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1.</w:t>
      </w:r>
      <w:r>
        <w:rPr>
          <w:rFonts w:hint="default" w:ascii="Times New Roman" w:hAnsi="Times New Roman" w:eastAsia="方正仿宋_GBK" w:cs="Times New Roman"/>
          <w:color w:val="auto"/>
          <w:kern w:val="2"/>
          <w:sz w:val="32"/>
          <w:szCs w:val="40"/>
          <w:lang w:val="en-US" w:eastAsia="zh-CN" w:bidi="ar-SA"/>
        </w:rPr>
        <w:t>建筑工地</w:t>
      </w:r>
      <w:r>
        <w:rPr>
          <w:rFonts w:hint="eastAsia" w:ascii="Times New Roman" w:hAnsi="Times New Roman" w:eastAsia="方正仿宋_GBK" w:cs="Times New Roman"/>
          <w:color w:val="auto"/>
          <w:kern w:val="2"/>
          <w:sz w:val="32"/>
          <w:szCs w:val="40"/>
          <w:lang w:val="en-US" w:eastAsia="zh-CN" w:bidi="ar-SA"/>
        </w:rPr>
        <w:t>。</w:t>
      </w:r>
      <w:r>
        <w:rPr>
          <w:rFonts w:hint="default" w:ascii="Times New Roman" w:hAnsi="Times New Roman" w:eastAsia="方正仿宋_GBK" w:cs="Times New Roman"/>
          <w:color w:val="auto"/>
          <w:kern w:val="2"/>
          <w:sz w:val="32"/>
          <w:szCs w:val="40"/>
          <w:lang w:val="en-US" w:eastAsia="zh-CN" w:bidi="ar-SA"/>
        </w:rPr>
        <w:t>建筑工地实行封闭管理，</w:t>
      </w:r>
      <w:r>
        <w:rPr>
          <w:rFonts w:hint="eastAsia" w:ascii="Times New Roman" w:hAnsi="Times New Roman" w:eastAsia="方正仿宋_GBK" w:cs="Times New Roman"/>
          <w:color w:val="auto"/>
          <w:kern w:val="2"/>
          <w:sz w:val="32"/>
          <w:szCs w:val="40"/>
          <w:lang w:val="en-US" w:eastAsia="zh-CN" w:bidi="ar-SA"/>
        </w:rPr>
        <w:t>施工场地边界应按技术规范设置硬质密闭围挡，场地出入口用混凝土等材料硬化。场地出入口应设置车辆冲洗设施，应配备洒水专用车辆或降尘雾炮等喷淋降尘设备。</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2.垃圾资源化利用项目。区域拟建建筑垃圾资源化利用项目对生产过程中产生粉尘的设备和部位设密封罩和吸尘罩，并进行除尘。除尘系统根据生产工艺的工作制度及总图布置等原则进行划分，尽量集中设置，项目考虑在建筑垃圾预处理车间设置组合除尘系统，并加装吸尘装置，吸收粉尘通过管道送入除尘器。项目作业区域辅助采用水雾降尘，通过高压雾化系统喷射水雾，使扩散到空气中的粉尘被洗涤，高效降低生产扬尘。</w:t>
      </w:r>
    </w:p>
    <w:p>
      <w:pPr>
        <w:pStyle w:val="5"/>
        <w:keepNext w:val="0"/>
        <w:keepLines w:val="0"/>
        <w:pageBreakBefore w:val="0"/>
        <w:widowControl w:val="0"/>
        <w:kinsoku/>
        <w:wordWrap/>
        <w:overflowPunct/>
        <w:topLinePunct w:val="0"/>
        <w:autoSpaceDE/>
        <w:autoSpaceDN/>
        <w:bidi w:val="0"/>
        <w:adjustRightInd/>
        <w:snapToGrid/>
        <w:ind w:firstLine="560"/>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噪声污染控制。项目营运过程中各种设施设备的运作会产生噪声，主要噪声源包括破碎设备、分选设备、风机、泵类等，此外，垃圾及转运车辆也会产生一定的交通噪声。为减少噪声对周边环境的影响，项目拟对主要设备噪声源采取隔声、消声、减震等措施，同时加强厂内的交通管理，尽可能降低噪声的影响。针对生产厂房中产生的噪声，主要通过生产厂房建筑物的隔声作用以及对产生噪声的关键设备采取消声、隔振及减振等措施，促进噪声值满足排放标准。</w:t>
      </w:r>
    </w:p>
    <w:p>
      <w:pPr>
        <w:pStyle w:val="5"/>
        <w:keepNext w:val="0"/>
        <w:keepLines w:val="0"/>
        <w:pageBreakBefore w:val="0"/>
        <w:widowControl w:val="0"/>
        <w:kinsoku/>
        <w:wordWrap/>
        <w:overflowPunct/>
        <w:topLinePunct w:val="0"/>
        <w:autoSpaceDE/>
        <w:autoSpaceDN/>
        <w:bidi w:val="0"/>
        <w:adjustRightInd/>
        <w:snapToGrid/>
        <w:ind w:firstLine="560"/>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水污染控制。建筑废弃物资源化利用处理厂内的废水包括生产废水和生活污水两部分。生产废水产生量小，水质较好，经沉淀处理后可作为水选系统补水使用。生活污水经化粪池处理后排放至市政管网，送去再生水厂处理。污水排放应执行《水污染物综合排放标准》。</w:t>
      </w:r>
    </w:p>
    <w:p>
      <w:pPr>
        <w:pStyle w:val="5"/>
        <w:keepNext w:val="0"/>
        <w:keepLines w:val="0"/>
        <w:pageBreakBefore w:val="0"/>
        <w:widowControl w:val="0"/>
        <w:kinsoku/>
        <w:wordWrap/>
        <w:overflowPunct/>
        <w:topLinePunct w:val="0"/>
        <w:autoSpaceDE/>
        <w:autoSpaceDN/>
        <w:bidi w:val="0"/>
        <w:adjustRightInd/>
        <w:snapToGrid/>
        <w:ind w:firstLine="560"/>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四）固体废弃物污染控制。建筑废弃物处理过程中产生的固体废弃物主要为分选出的轻质物料、废木材、非金属、杂土等。此类固体废弃物若能分类收集存放，可转化为可利用的资源。轻质物料、可燃物质、废木材等热值较高的杂物，可外运焚烧处理；废金属统一收集后外售，渣土等其他剩余废弃物集中外运至县城生活垃圾填埋场处置。</w:t>
      </w:r>
    </w:p>
    <w:p>
      <w:pPr>
        <w:pStyle w:val="4"/>
        <w:spacing w:before="0" w:beforeLines="-2147483648" w:beforeAutospacing="0" w:after="0" w:afterLines="-2147483648" w:afterAutospacing="0" w:line="360" w:lineRule="auto"/>
        <w:ind w:firstLine="0" w:firstLineChars="0"/>
        <w:jc w:val="both"/>
        <w:rPr>
          <w:rFonts w:hint="eastAsia" w:ascii="方正楷体_GBK" w:hAnsi="方正楷体_GBK" w:eastAsia="方正楷体_GBK" w:cs="方正楷体_GBK"/>
          <w:b w:val="0"/>
          <w:bCs w:val="0"/>
          <w:kern w:val="0"/>
          <w:sz w:val="32"/>
          <w:szCs w:val="32"/>
          <w:highlight w:val="none"/>
          <w:lang w:val="en-US" w:eastAsia="zh-CN"/>
        </w:rPr>
      </w:pPr>
      <w:bookmarkStart w:id="47" w:name="_Toc16095"/>
      <w:r>
        <w:rPr>
          <w:rFonts w:hint="eastAsia" w:ascii="方正楷体_GBK" w:hAnsi="方正楷体_GBK" w:eastAsia="方正楷体_GBK" w:cs="方正楷体_GBK"/>
          <w:b w:val="0"/>
          <w:bCs w:val="0"/>
          <w:kern w:val="0"/>
          <w:sz w:val="32"/>
          <w:szCs w:val="32"/>
          <w:highlight w:val="none"/>
          <w:lang w:val="en-US" w:eastAsia="zh-CN"/>
        </w:rPr>
        <w:t>第二十四条 生态环境修复</w:t>
      </w:r>
      <w:bookmarkEnd w:id="47"/>
    </w:p>
    <w:p>
      <w:pPr>
        <w:keepNext w:val="0"/>
        <w:keepLines w:val="0"/>
        <w:widowControl/>
        <w:numPr>
          <w:ilvl w:val="0"/>
          <w:numId w:val="0"/>
        </w:numPr>
        <w:suppressLineNumbers w:val="0"/>
        <w:ind w:firstLine="640" w:firstLineChars="200"/>
        <w:jc w:val="left"/>
        <w:rPr>
          <w:rFonts w:hint="eastAsia" w:ascii="Times New Roman" w:hAnsi="Times New Roman" w:eastAsia="方正仿宋_GBK" w:cs="Times New Roman"/>
          <w:color w:val="auto"/>
          <w:kern w:val="2"/>
          <w:sz w:val="32"/>
          <w:szCs w:val="40"/>
          <w:lang w:val="en-US" w:eastAsia="zh-CN" w:bidi="ar-SA"/>
        </w:rPr>
      </w:pPr>
      <w:r>
        <w:rPr>
          <w:rFonts w:hint="eastAsia" w:cs="Times New Roman"/>
          <w:color w:val="auto"/>
          <w:kern w:val="2"/>
          <w:sz w:val="32"/>
          <w:szCs w:val="40"/>
          <w:lang w:val="en-US" w:eastAsia="zh-CN" w:bidi="ar-SA"/>
        </w:rPr>
        <w:t>（一）</w:t>
      </w:r>
      <w:r>
        <w:rPr>
          <w:rFonts w:hint="eastAsia" w:ascii="Times New Roman" w:hAnsi="Times New Roman" w:eastAsia="方正仿宋_GBK" w:cs="Times New Roman"/>
          <w:color w:val="auto"/>
          <w:kern w:val="2"/>
          <w:sz w:val="32"/>
          <w:szCs w:val="40"/>
          <w:lang w:val="en-US" w:eastAsia="zh-CN" w:bidi="ar-SA"/>
        </w:rPr>
        <w:t>新建工程或拆除工程完工后</w:t>
      </w:r>
      <w:r>
        <w:rPr>
          <w:rFonts w:hint="default" w:ascii="Times New Roman" w:hAnsi="Times New Roman" w:eastAsia="方正仿宋_GBK" w:cs="Times New Roman"/>
          <w:color w:val="auto"/>
          <w:kern w:val="2"/>
          <w:sz w:val="32"/>
          <w:szCs w:val="40"/>
          <w:lang w:val="en-US" w:eastAsia="zh-CN" w:bidi="ar-SA"/>
        </w:rPr>
        <w:t>，应采取生态恢复措施，如边坡整治、土壤保护与恢复、植被保护与恢复措施等</w:t>
      </w:r>
      <w:r>
        <w:rPr>
          <w:rFonts w:hint="eastAsia" w:ascii="Times New Roman" w:hAnsi="Times New Roman" w:eastAsia="方正仿宋_GBK" w:cs="Times New Roman"/>
          <w:color w:val="auto"/>
          <w:kern w:val="2"/>
          <w:sz w:val="32"/>
          <w:szCs w:val="40"/>
          <w:lang w:val="en-US" w:eastAsia="zh-CN" w:bidi="ar-SA"/>
        </w:rPr>
        <w:t>。</w:t>
      </w:r>
    </w:p>
    <w:p>
      <w:pPr>
        <w:keepNext w:val="0"/>
        <w:keepLines w:val="0"/>
        <w:widowControl/>
        <w:numPr>
          <w:ilvl w:val="0"/>
          <w:numId w:val="0"/>
        </w:numPr>
        <w:suppressLineNumbers w:val="0"/>
        <w:ind w:firstLine="640" w:firstLineChars="20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（二）建筑垃圾填埋场停止使用后，根据《生活垃圾卫生填埋场封场技术规程》</w:t>
      </w:r>
      <w:r>
        <w:rPr>
          <w:rFonts w:hint="default" w:ascii="Times New Roman" w:hAnsi="Times New Roman" w:eastAsia="方正仿宋_GBK" w:cs="Times New Roman"/>
          <w:color w:val="auto"/>
          <w:kern w:val="2"/>
          <w:sz w:val="32"/>
          <w:szCs w:val="40"/>
          <w:lang w:val="en-US" w:eastAsia="zh-CN" w:bidi="ar-SA"/>
        </w:rPr>
        <w:t>（CJJ112-2007）</w:t>
      </w:r>
      <w:r>
        <w:rPr>
          <w:rFonts w:hint="eastAsia" w:ascii="Times New Roman" w:hAnsi="Times New Roman" w:eastAsia="方正仿宋_GBK" w:cs="Times New Roman"/>
          <w:color w:val="auto"/>
          <w:kern w:val="2"/>
          <w:sz w:val="32"/>
          <w:szCs w:val="40"/>
          <w:lang w:val="en-US" w:eastAsia="zh-CN" w:bidi="ar-SA"/>
        </w:rPr>
        <w:t>，必须进行生态恢复，实施封场工程，同时生态恢复效果合格的填埋场可以用于建设厂房、停车场、公园等，提高土地利用价值。</w:t>
      </w:r>
    </w:p>
    <w:p>
      <w:pPr>
        <w:pStyle w:val="3"/>
        <w:spacing w:before="120" w:after="120"/>
        <w:rPr>
          <w:rFonts w:hint="eastAsia" w:ascii="方正黑体_GBK" w:hAnsi="方正黑体_GBK" w:eastAsia="方正黑体_GBK" w:cs="方正黑体_GBK"/>
          <w:sz w:val="32"/>
          <w:szCs w:val="21"/>
          <w:highlight w:val="none"/>
          <w:lang w:val="en-US" w:eastAsia="zh-CN"/>
        </w:rPr>
      </w:pPr>
      <w:bookmarkStart w:id="48" w:name="_Toc18667"/>
      <w:r>
        <w:rPr>
          <w:rFonts w:hint="eastAsia" w:ascii="方正黑体_GBK" w:hAnsi="方正黑体_GBK" w:eastAsia="方正黑体_GBK" w:cs="方正黑体_GBK"/>
          <w:sz w:val="32"/>
          <w:szCs w:val="21"/>
          <w:highlight w:val="none"/>
          <w:lang w:val="en-US" w:eastAsia="zh-CN"/>
        </w:rPr>
        <w:t>第</w:t>
      </w:r>
      <w:r>
        <w:rPr>
          <w:rFonts w:hint="eastAsia" w:ascii="方正黑体_GBK" w:hAnsi="方正黑体_GBK" w:cs="方正黑体_GBK"/>
          <w:sz w:val="32"/>
          <w:szCs w:val="21"/>
          <w:highlight w:val="none"/>
          <w:lang w:val="en-US" w:eastAsia="zh-CN"/>
        </w:rPr>
        <w:t>八</w:t>
      </w:r>
      <w:r>
        <w:rPr>
          <w:rFonts w:hint="eastAsia" w:ascii="方正黑体_GBK" w:hAnsi="方正黑体_GBK" w:eastAsia="方正黑体_GBK" w:cs="方正黑体_GBK"/>
          <w:sz w:val="32"/>
          <w:szCs w:val="21"/>
          <w:highlight w:val="none"/>
          <w:lang w:val="en-US" w:eastAsia="zh-CN"/>
        </w:rPr>
        <w:t>章 管理体系建立</w:t>
      </w:r>
      <w:bookmarkEnd w:id="48"/>
    </w:p>
    <w:p>
      <w:pPr>
        <w:pStyle w:val="3"/>
        <w:spacing w:before="120" w:after="120"/>
        <w:jc w:val="both"/>
        <w:rPr>
          <w:rFonts w:hint="eastAsia" w:ascii="方正楷体_GBK" w:hAnsi="方正楷体_GBK" w:eastAsia="方正楷体_GBK" w:cs="方正楷体_GBK"/>
          <w:b w:val="0"/>
          <w:bCs w:val="0"/>
          <w:kern w:val="0"/>
          <w:sz w:val="32"/>
          <w:szCs w:val="32"/>
          <w:highlight w:val="none"/>
          <w:lang w:val="en-US" w:eastAsia="zh-CN" w:bidi="ar-SA"/>
        </w:rPr>
      </w:pPr>
      <w:bookmarkStart w:id="49" w:name="_Toc7266"/>
      <w:r>
        <w:rPr>
          <w:rFonts w:hint="eastAsia" w:ascii="方正楷体_GBK" w:hAnsi="方正楷体_GBK" w:eastAsia="方正楷体_GBK" w:cs="方正楷体_GBK"/>
          <w:b w:val="0"/>
          <w:bCs w:val="0"/>
          <w:kern w:val="0"/>
          <w:sz w:val="32"/>
          <w:szCs w:val="32"/>
          <w:highlight w:val="none"/>
          <w:lang w:val="en-US" w:eastAsia="zh-CN" w:bidi="ar-SA"/>
        </w:rPr>
        <w:t>第二十五条 完善制度</w:t>
      </w:r>
      <w:bookmarkEnd w:id="49"/>
    </w:p>
    <w:p>
      <w:pPr>
        <w:keepNext w:val="0"/>
        <w:keepLines w:val="0"/>
        <w:pageBreakBefore w:val="0"/>
        <w:widowControl w:val="0"/>
        <w:numPr>
          <w:ilvl w:val="0"/>
          <w:numId w:val="4"/>
        </w:numPr>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highlight w:val="none"/>
          <w:lang w:val="en-US" w:eastAsia="zh-CN"/>
        </w:rPr>
        <w:t>完善</w:t>
      </w:r>
      <w:r>
        <w:rPr>
          <w:rFonts w:hint="eastAsia"/>
          <w:highlight w:val="none"/>
          <w:lang w:eastAsia="zh-CN"/>
        </w:rPr>
        <w:t>闭环</w:t>
      </w:r>
      <w:r>
        <w:rPr>
          <w:rFonts w:hint="eastAsia"/>
          <w:highlight w:val="none"/>
        </w:rPr>
        <w:t>管理制度</w:t>
      </w:r>
      <w:r>
        <w:rPr>
          <w:rFonts w:hint="eastAsia"/>
          <w:highlight w:val="none"/>
          <w:lang w:eastAsia="zh-CN"/>
        </w:rPr>
        <w:t>。</w:t>
      </w:r>
      <w:r>
        <w:rPr>
          <w:rFonts w:hint="eastAsia" w:ascii="Times New Roman" w:hAnsi="Times New Roman" w:eastAsia="方正仿宋_GBK" w:cs="Times New Roman"/>
          <w:color w:val="auto"/>
          <w:kern w:val="2"/>
          <w:sz w:val="32"/>
          <w:szCs w:val="40"/>
          <w:lang w:val="en-US" w:eastAsia="zh-CN" w:bidi="ar-SA"/>
        </w:rPr>
        <w:t>主要包括对建筑垃圾从产生到最终处置全过程的规范化管理，详细规定建筑垃圾的收集、分类、运输、储存、处理和资源化利用等各个环节的具体要求和操作规范，确保建筑垃圾得到合理、高效、环保地处理。并且规定相应的责任追究和监管措施，以保障有效执行。</w:t>
      </w:r>
    </w:p>
    <w:p>
      <w:pPr>
        <w:keepNext w:val="0"/>
        <w:keepLines w:val="0"/>
        <w:pageBreakBefore w:val="0"/>
        <w:widowControl w:val="0"/>
        <w:numPr>
          <w:ilvl w:val="0"/>
          <w:numId w:val="4"/>
        </w:numPr>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highlight w:val="none"/>
          <w:lang w:val="en-US" w:eastAsia="zh-CN"/>
        </w:rPr>
        <w:t>严控市场准入机制。</w:t>
      </w:r>
      <w:r>
        <w:rPr>
          <w:rFonts w:hint="eastAsia" w:ascii="Times New Roman" w:hAnsi="Times New Roman" w:eastAsia="方正仿宋_GBK" w:cs="Times New Roman"/>
          <w:color w:val="auto"/>
          <w:kern w:val="2"/>
          <w:sz w:val="32"/>
          <w:szCs w:val="40"/>
          <w:lang w:val="en-US" w:eastAsia="zh-CN" w:bidi="ar-SA"/>
        </w:rPr>
        <w:t>对从事建筑垃圾收运、处理的企业，从企业规模、车辆配置要求、环保要求等多方面划定行业准入门槛。通过资质管控，一方面逐步提高处理企业的资源化利用水平，另一方面逐步提高运输企业的规范性，逐步淘汰不符合要求的企业及运输车辆。建立健全建筑垃圾运输诚信综合评价体系，对诚信评价低的运输企业和运输车辆实施市场退出机制。</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highlight w:val="none"/>
          <w:lang w:val="en-US" w:eastAsia="zh-CN"/>
        </w:rPr>
        <w:t>（三）健全投诉举报机制。</w:t>
      </w:r>
      <w:r>
        <w:rPr>
          <w:rFonts w:hint="eastAsia" w:ascii="Times New Roman" w:hAnsi="Times New Roman" w:eastAsia="方正仿宋_GBK" w:cs="Times New Roman"/>
          <w:color w:val="auto"/>
          <w:kern w:val="2"/>
          <w:sz w:val="32"/>
          <w:szCs w:val="40"/>
          <w:lang w:val="en-US" w:eastAsia="zh-CN" w:bidi="ar-SA"/>
        </w:rPr>
        <w:t>县住房城乡建委（县城市管理局）应当完善投诉举报制度，设立专门的投诉举报窗口或平台，设立建筑垃圾管理违规行为的举报电话和网址。接受公众对建筑垃圾处置违法活动的投诉和举报，并为投诉人或者举报人保密，鼓励群众对建筑垃圾偷倒乱倒、超重运输等行为进行监督，对提供有效举报信息的群众设立奖金。</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highlight w:val="none"/>
          <w:lang w:val="en-US" w:eastAsia="zh-CN"/>
        </w:rPr>
        <w:t>（四）完善联合</w:t>
      </w:r>
      <w:r>
        <w:rPr>
          <w:rFonts w:hint="eastAsia"/>
          <w:highlight w:val="none"/>
        </w:rPr>
        <w:t>执法制度</w:t>
      </w:r>
      <w:r>
        <w:rPr>
          <w:rFonts w:hint="eastAsia"/>
          <w:highlight w:val="none"/>
          <w:lang w:eastAsia="zh-CN"/>
        </w:rPr>
        <w:t>。县住建（城管）</w:t>
      </w:r>
      <w:r>
        <w:rPr>
          <w:rFonts w:hint="eastAsia" w:ascii="Times New Roman" w:hAnsi="Times New Roman" w:eastAsia="方正仿宋_GBK" w:cs="Times New Roman"/>
          <w:color w:val="auto"/>
          <w:kern w:val="2"/>
          <w:sz w:val="32"/>
          <w:szCs w:val="40"/>
          <w:lang w:val="en-US" w:eastAsia="zh-CN" w:bidi="ar-SA"/>
        </w:rPr>
        <w:t>、公安、生态环境、交通等</w:t>
      </w:r>
      <w:r>
        <w:rPr>
          <w:rFonts w:hint="eastAsia" w:cs="Times New Roman"/>
          <w:color w:val="auto"/>
          <w:kern w:val="2"/>
          <w:sz w:val="32"/>
          <w:szCs w:val="40"/>
          <w:lang w:val="en-US" w:eastAsia="zh-CN" w:bidi="ar-SA"/>
        </w:rPr>
        <w:t>职能</w:t>
      </w:r>
      <w:r>
        <w:rPr>
          <w:rFonts w:hint="eastAsia" w:ascii="Times New Roman" w:hAnsi="Times New Roman" w:eastAsia="方正仿宋_GBK" w:cs="Times New Roman"/>
          <w:color w:val="auto"/>
          <w:kern w:val="2"/>
          <w:sz w:val="32"/>
          <w:szCs w:val="40"/>
          <w:lang w:val="en-US" w:eastAsia="zh-CN" w:bidi="ar-SA"/>
        </w:rPr>
        <w:t>部门全面落实联勤联动机制，在切实强化日常执法管理的基础上，提高执法巡查频率、加大执法查处力度。完善跨部门的信息平台，促进各相关部门互联互通。</w:t>
      </w:r>
    </w:p>
    <w:p>
      <w:pPr>
        <w:pStyle w:val="3"/>
        <w:spacing w:before="120" w:after="120"/>
        <w:jc w:val="both"/>
        <w:rPr>
          <w:rFonts w:hint="eastAsia" w:ascii="方正楷体_GBK" w:hAnsi="方正楷体_GBK" w:eastAsia="方正楷体_GBK" w:cs="方正楷体_GBK"/>
          <w:b w:val="0"/>
          <w:bCs w:val="0"/>
          <w:kern w:val="0"/>
          <w:sz w:val="32"/>
          <w:szCs w:val="32"/>
          <w:highlight w:val="none"/>
          <w:lang w:val="en-US" w:eastAsia="zh-CN" w:bidi="ar-SA"/>
        </w:rPr>
      </w:pPr>
      <w:bookmarkStart w:id="50" w:name="_Toc21660"/>
    </w:p>
    <w:p>
      <w:pPr>
        <w:pStyle w:val="3"/>
        <w:spacing w:before="120" w:after="120"/>
        <w:jc w:val="both"/>
        <w:rPr>
          <w:rFonts w:hint="default" w:ascii="方正楷体_GBK" w:hAnsi="方正楷体_GBK" w:eastAsia="方正楷体_GBK" w:cs="方正楷体_GBK"/>
          <w:b w:val="0"/>
          <w:bCs w:val="0"/>
          <w:kern w:val="0"/>
          <w:sz w:val="32"/>
          <w:szCs w:val="32"/>
          <w:highlight w:val="none"/>
          <w:lang w:val="en-US" w:eastAsia="zh-CN" w:bidi="ar-SA"/>
        </w:rPr>
      </w:pPr>
      <w:r>
        <w:rPr>
          <w:rFonts w:hint="eastAsia" w:ascii="方正楷体_GBK" w:hAnsi="方正楷体_GBK" w:eastAsia="方正楷体_GBK" w:cs="方正楷体_GBK"/>
          <w:b w:val="0"/>
          <w:bCs w:val="0"/>
          <w:kern w:val="0"/>
          <w:sz w:val="32"/>
          <w:szCs w:val="32"/>
          <w:highlight w:val="none"/>
          <w:lang w:val="en-US" w:eastAsia="zh-CN" w:bidi="ar-SA"/>
        </w:rPr>
        <w:t>第二十六条 部门职责</w:t>
      </w:r>
      <w:bookmarkEnd w:id="50"/>
    </w:p>
    <w:p>
      <w:pPr>
        <w:keepNext w:val="0"/>
        <w:keepLines w:val="0"/>
        <w:widowControl/>
        <w:numPr>
          <w:ilvl w:val="0"/>
          <w:numId w:val="0"/>
        </w:numPr>
        <w:suppressLineNumbers w:val="0"/>
        <w:ind w:firstLine="640" w:firstLineChars="200"/>
        <w:jc w:val="left"/>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（各部门工作职责详见表8-1）</w:t>
      </w:r>
    </w:p>
    <w:p>
      <w:pPr>
        <w:pStyle w:val="2"/>
        <w:rPr>
          <w:rFonts w:hint="eastAsia" w:ascii="Times New Roman" w:hAnsi="Times New Roman" w:eastAsia="方正仿宋_GBK" w:cs="Times New Roman"/>
          <w:color w:val="auto"/>
          <w:kern w:val="2"/>
          <w:sz w:val="32"/>
          <w:szCs w:val="40"/>
          <w:lang w:val="en-US" w:eastAsia="zh-CN" w:bidi="ar-SA"/>
        </w:rPr>
      </w:pPr>
    </w:p>
    <w:p>
      <w:pPr>
        <w:pStyle w:val="2"/>
        <w:rPr>
          <w:rFonts w:hint="default" w:ascii="Times New Roman" w:hAnsi="Times New Roman" w:eastAsia="方正仿宋_GBK" w:cs="Times New Roman"/>
          <w:color w:val="auto"/>
          <w:kern w:val="2"/>
          <w:sz w:val="32"/>
          <w:szCs w:val="40"/>
          <w:lang w:val="en-US" w:eastAsia="zh-CN" w:bidi="ar-SA"/>
        </w:rPr>
      </w:pPr>
    </w:p>
    <w:p>
      <w:pPr>
        <w:ind w:left="0" w:leftChars="0" w:firstLine="0" w:firstLineChars="0"/>
        <w:jc w:val="center"/>
        <w:rPr>
          <w:rFonts w:hint="default" w:ascii="Times New Roman" w:hAnsi="Times New Roman" w:eastAsia="方正黑体_GBK" w:cs="Times New Roman"/>
          <w:b w:val="0"/>
          <w:bCs w:val="0"/>
          <w:sz w:val="28"/>
          <w:szCs w:val="28"/>
          <w:highlight w:val="none"/>
          <w:lang w:val="en-US" w:eastAsia="zh-CN"/>
        </w:rPr>
      </w:pPr>
      <w:r>
        <w:rPr>
          <w:rFonts w:hint="default" w:ascii="Times New Roman" w:hAnsi="Times New Roman" w:eastAsia="方正黑体_GBK" w:cs="Times New Roman"/>
          <w:b w:val="0"/>
          <w:bCs w:val="0"/>
          <w:sz w:val="28"/>
          <w:szCs w:val="28"/>
          <w:highlight w:val="none"/>
          <w:lang w:val="en-US" w:eastAsia="zh-CN"/>
        </w:rPr>
        <w:t>表8-1：垫江县建筑垃圾管理部门职责一览表</w:t>
      </w:r>
    </w:p>
    <w:p>
      <w:pPr>
        <w:pStyle w:val="2"/>
        <w:rPr>
          <w:rFonts w:hint="default" w:ascii="Times New Roman" w:hAnsi="Times New Roman" w:eastAsia="方正黑体_GBK" w:cs="Times New Roman"/>
          <w:b w:val="0"/>
          <w:bCs w:val="0"/>
          <w:sz w:val="28"/>
          <w:szCs w:val="28"/>
          <w:highlight w:val="none"/>
          <w:lang w:val="en-US" w:eastAsia="zh-CN"/>
        </w:rPr>
      </w:pPr>
    </w:p>
    <w:p>
      <w:pPr>
        <w:pStyle w:val="2"/>
        <w:rPr>
          <w:rFonts w:hint="default" w:ascii="Times New Roman" w:hAnsi="Times New Roman" w:eastAsia="方正黑体_GBK" w:cs="Times New Roman"/>
          <w:b w:val="0"/>
          <w:bCs w:val="0"/>
          <w:sz w:val="28"/>
          <w:szCs w:val="28"/>
          <w:highlight w:val="none"/>
          <w:lang w:val="en-US" w:eastAsia="zh-CN"/>
        </w:rPr>
      </w:pPr>
    </w:p>
    <w:p>
      <w:pPr>
        <w:pStyle w:val="2"/>
        <w:rPr>
          <w:rFonts w:hint="eastAsia" w:ascii="Times New Roman" w:hAnsi="Times New Roman" w:eastAsia="方正黑体_GBK" w:cs="Times New Roman"/>
          <w:b w:val="0"/>
          <w:bCs w:val="0"/>
          <w:sz w:val="28"/>
          <w:szCs w:val="28"/>
          <w:highlight w:val="none"/>
          <w:lang w:val="en-US" w:eastAsia="zh-CN"/>
        </w:rPr>
      </w:pPr>
    </w:p>
    <w:tbl>
      <w:tblPr>
        <w:tblStyle w:val="11"/>
        <w:tblpPr w:leftFromText="180" w:rightFromText="180" w:vertAnchor="text" w:horzAnchor="page" w:tblpX="2048" w:tblpY="548"/>
        <w:tblOverlap w:val="never"/>
        <w:tblW w:w="93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972"/>
        <w:gridCol w:w="76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44" w:hRule="atLeast"/>
        </w:trPr>
        <w:tc>
          <w:tcPr>
            <w:tcW w:w="6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bidi="ar"/>
              </w:rPr>
              <w:t>序号</w:t>
            </w:r>
          </w:p>
        </w:tc>
        <w:tc>
          <w:tcPr>
            <w:tcW w:w="97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bidi="ar"/>
              </w:rPr>
              <w:t>部门</w:t>
            </w:r>
          </w:p>
        </w:tc>
        <w:tc>
          <w:tcPr>
            <w:tcW w:w="769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bidi="ar"/>
              </w:rPr>
              <w:t>工作职责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60" w:hRule="atLeast"/>
        </w:trPr>
        <w:tc>
          <w:tcPr>
            <w:tcW w:w="6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w:t>
            </w:r>
          </w:p>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p>
        </w:tc>
        <w:tc>
          <w:tcPr>
            <w:tcW w:w="97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县住房城乡建委（县城市管理局）</w:t>
            </w:r>
          </w:p>
        </w:tc>
        <w:tc>
          <w:tcPr>
            <w:tcW w:w="76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1.作为建筑垃圾主管部门，负责统筹协调建筑垃圾行政审批、处置规划、监督管理、行政执法等规划编制和工作执行。</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2.负责区域内运输管理、调剂流转等工作，并对垫江县各街道和乡镇建筑垃圾管理工作进行业务指导、监督检查。</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3.按照相关规划推进建筑垃圾处置设施建设。</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4.加强建筑垃圾处置设施安全管理，定期开展风险排查及隐患整治。</w:t>
            </w:r>
          </w:p>
          <w:p>
            <w:pPr>
              <w:keepNext w:val="0"/>
              <w:keepLines w:val="0"/>
              <w:pageBreakBefore w:val="0"/>
              <w:widowControl/>
              <w:suppressLineNumbers w:val="0"/>
              <w:kinsoku/>
              <w:wordWrap/>
              <w:overflowPunct/>
              <w:topLinePunct w:val="0"/>
              <w:autoSpaceDE/>
              <w:autoSpaceDN/>
              <w:bidi w:val="0"/>
              <w:spacing w:line="300" w:lineRule="exact"/>
              <w:ind w:firstLine="0" w:firstLine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5.</w:t>
            </w:r>
            <w:r>
              <w:rPr>
                <w:rFonts w:hint="eastAsia" w:ascii="Times New Roman" w:hAnsi="Times New Roman" w:eastAsia="方正仿宋_GBK" w:cs="Times New Roman"/>
                <w:i w:val="0"/>
                <w:iCs w:val="0"/>
                <w:color w:val="000000"/>
                <w:kern w:val="0"/>
                <w:sz w:val="24"/>
                <w:szCs w:val="24"/>
                <w:u w:val="none"/>
                <w:lang w:val="en-US" w:eastAsia="zh-CN" w:bidi="ar"/>
              </w:rPr>
              <w:t>负责落实建设单位建筑垃圾处置管理要求，加强文明施工管理，做好建设项目工程建筑垃圾减量化的监督。</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cs="Times New Roman"/>
                <w:i w:val="0"/>
                <w:iCs w:val="0"/>
                <w:color w:val="000000"/>
                <w:kern w:val="0"/>
                <w:sz w:val="24"/>
                <w:szCs w:val="24"/>
                <w:u w:val="none"/>
                <w:lang w:val="en-US" w:eastAsia="zh-CN" w:bidi="ar"/>
              </w:rPr>
              <w:t>6</w:t>
            </w:r>
            <w:r>
              <w:rPr>
                <w:rFonts w:hint="eastAsia" w:ascii="Times New Roman" w:hAnsi="Times New Roman" w:eastAsia="方正仿宋_GBK" w:cs="Times New Roman"/>
                <w:i w:val="0"/>
                <w:iCs w:val="0"/>
                <w:color w:val="000000"/>
                <w:kern w:val="0"/>
                <w:sz w:val="24"/>
                <w:szCs w:val="24"/>
                <w:u w:val="none"/>
                <w:lang w:val="en-US" w:eastAsia="zh-CN" w:bidi="ar"/>
              </w:rPr>
              <w:t>.推广发展装配式建筑和绿色建筑，并制定相关适宜的鼓励政策。</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cs="Times New Roman"/>
                <w:i w:val="0"/>
                <w:iCs w:val="0"/>
                <w:color w:val="000000"/>
                <w:kern w:val="0"/>
                <w:sz w:val="24"/>
                <w:szCs w:val="24"/>
                <w:u w:val="none"/>
                <w:lang w:val="en-US" w:eastAsia="zh-CN" w:bidi="ar"/>
              </w:rPr>
              <w:t>7</w:t>
            </w:r>
            <w:r>
              <w:rPr>
                <w:rFonts w:hint="eastAsia" w:ascii="Times New Roman" w:hAnsi="Times New Roman" w:eastAsia="方正仿宋_GBK" w:cs="Times New Roman"/>
                <w:i w:val="0"/>
                <w:iCs w:val="0"/>
                <w:color w:val="000000"/>
                <w:kern w:val="0"/>
                <w:sz w:val="24"/>
                <w:szCs w:val="24"/>
                <w:u w:val="none"/>
                <w:lang w:val="en-US" w:eastAsia="zh-CN" w:bidi="ar"/>
              </w:rPr>
              <w:t>.完善沟通机制，推动工地信息与县住房城乡建委</w:t>
            </w:r>
            <w:r>
              <w:rPr>
                <w:rFonts w:hint="eastAsia" w:cs="Times New Roman"/>
                <w:i w:val="0"/>
                <w:iCs w:val="0"/>
                <w:color w:val="000000"/>
                <w:kern w:val="0"/>
                <w:sz w:val="24"/>
                <w:szCs w:val="24"/>
                <w:u w:val="none"/>
                <w:lang w:val="en-US" w:eastAsia="zh-CN" w:bidi="ar"/>
              </w:rPr>
              <w:t>等</w:t>
            </w:r>
            <w:r>
              <w:rPr>
                <w:rFonts w:hint="eastAsia" w:ascii="Times New Roman" w:hAnsi="Times New Roman" w:eastAsia="方正仿宋_GBK" w:cs="Times New Roman"/>
                <w:i w:val="0"/>
                <w:iCs w:val="0"/>
                <w:color w:val="000000"/>
                <w:kern w:val="0"/>
                <w:sz w:val="24"/>
                <w:szCs w:val="24"/>
                <w:u w:val="none"/>
                <w:lang w:val="en-US" w:eastAsia="zh-CN" w:bidi="ar"/>
              </w:rPr>
              <w:t>部门及时准确共享。</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cs="Times New Roman"/>
                <w:i w:val="0"/>
                <w:iCs w:val="0"/>
                <w:color w:val="000000"/>
                <w:kern w:val="0"/>
                <w:sz w:val="24"/>
                <w:szCs w:val="24"/>
                <w:u w:val="none"/>
                <w:lang w:val="en-US" w:eastAsia="zh-CN" w:bidi="ar"/>
              </w:rPr>
              <w:t>8</w:t>
            </w:r>
            <w:r>
              <w:rPr>
                <w:rFonts w:hint="eastAsia" w:ascii="Times New Roman" w:hAnsi="Times New Roman" w:eastAsia="方正仿宋_GBK" w:cs="Times New Roman"/>
                <w:i w:val="0"/>
                <w:iCs w:val="0"/>
                <w:color w:val="000000"/>
                <w:kern w:val="0"/>
                <w:sz w:val="24"/>
                <w:szCs w:val="24"/>
                <w:u w:val="none"/>
                <w:lang w:val="en-US" w:eastAsia="zh-CN" w:bidi="ar"/>
              </w:rPr>
              <w:t>.督促房屋市政工程施工工地严格车辆出入登记，指导施工现场对出场和进入工作设立劝导站。</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cs="Times New Roman"/>
                <w:i w:val="0"/>
                <w:iCs w:val="0"/>
                <w:color w:val="000000"/>
                <w:kern w:val="0"/>
                <w:sz w:val="24"/>
                <w:szCs w:val="24"/>
                <w:u w:val="none"/>
                <w:lang w:val="en-US" w:eastAsia="zh-CN" w:bidi="ar"/>
              </w:rPr>
              <w:t>9</w:t>
            </w:r>
            <w:r>
              <w:rPr>
                <w:rFonts w:hint="eastAsia" w:ascii="Times New Roman" w:hAnsi="Times New Roman" w:eastAsia="方正仿宋_GBK" w:cs="Times New Roman"/>
                <w:i w:val="0"/>
                <w:iCs w:val="0"/>
                <w:color w:val="000000"/>
                <w:kern w:val="0"/>
                <w:sz w:val="24"/>
                <w:szCs w:val="24"/>
                <w:u w:val="none"/>
                <w:lang w:val="en-US" w:eastAsia="zh-CN" w:bidi="ar"/>
              </w:rPr>
              <w:t>.指导物业企业向小区业主公开装修垃圾、大件垃圾等回收</w:t>
            </w:r>
            <w:r>
              <w:rPr>
                <w:rFonts w:hint="eastAsia" w:ascii="Times New Roman" w:hAnsi="Times New Roman" w:cs="Times New Roman"/>
                <w:i w:val="0"/>
                <w:iCs w:val="0"/>
                <w:color w:val="000000"/>
                <w:kern w:val="0"/>
                <w:sz w:val="24"/>
                <w:szCs w:val="24"/>
                <w:u w:val="none"/>
                <w:lang w:val="en-US" w:eastAsia="zh-CN" w:bidi="ar"/>
              </w:rPr>
              <w:t>信息</w:t>
            </w:r>
            <w:r>
              <w:rPr>
                <w:rFonts w:hint="eastAsia" w:ascii="Times New Roman" w:hAnsi="Times New Roman" w:eastAsia="方正仿宋_GBK" w:cs="Times New Roman"/>
                <w:i w:val="0"/>
                <w:iCs w:val="0"/>
                <w:color w:val="000000"/>
                <w:kern w:val="0"/>
                <w:sz w:val="24"/>
                <w:szCs w:val="24"/>
                <w:u w:val="none"/>
                <w:lang w:val="en-US" w:eastAsia="zh-CN" w:bidi="ar"/>
              </w:rPr>
              <w:t>。</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cs="Times New Roman"/>
                <w:i w:val="0"/>
                <w:iCs w:val="0"/>
                <w:color w:val="000000"/>
                <w:kern w:val="0"/>
                <w:sz w:val="24"/>
                <w:szCs w:val="24"/>
                <w:u w:val="none"/>
                <w:lang w:val="en-US" w:eastAsia="zh-CN" w:bidi="ar"/>
              </w:rPr>
              <w:t>10</w:t>
            </w:r>
            <w:r>
              <w:rPr>
                <w:rFonts w:hint="eastAsia" w:ascii="Times New Roman" w:hAnsi="Times New Roman" w:eastAsia="方正仿宋_GBK" w:cs="Times New Roman"/>
                <w:i w:val="0"/>
                <w:iCs w:val="0"/>
                <w:color w:val="000000"/>
                <w:kern w:val="0"/>
                <w:sz w:val="24"/>
                <w:szCs w:val="24"/>
                <w:u w:val="none"/>
                <w:lang w:val="en-US" w:eastAsia="zh-CN" w:bidi="ar"/>
              </w:rPr>
              <w:t>.根据相关政策，合理制定出台房屋市政工程领域政府投资项目使用建筑垃圾再生产品的具体规定，以及社会投资项目优先采用建筑垃圾再生产品的优惠政策。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632" w:hRule="atLeast"/>
        </w:trPr>
        <w:tc>
          <w:tcPr>
            <w:tcW w:w="6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2</w:t>
            </w:r>
          </w:p>
        </w:tc>
        <w:tc>
          <w:tcPr>
            <w:tcW w:w="97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县规划和自然资源局</w:t>
            </w:r>
          </w:p>
        </w:tc>
        <w:tc>
          <w:tcPr>
            <w:tcW w:w="76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1.用地规划阶段，应规划减少建筑垃圾的产生。</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2.施工阶段，指导项目建设单位严格控制建设项目土石方大挖大填。</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3.按照相关规划，将建筑垃圾资源化利用厂等建筑垃圾处置设施纳入国土空间规划，做好空间保障。</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4.储备一批填埋场用地点位，预留</w:t>
            </w:r>
            <w:r>
              <w:rPr>
                <w:rFonts w:hint="eastAsia" w:ascii="Times New Roman" w:hAnsi="Times New Roman" w:cs="Times New Roman"/>
                <w:i w:val="0"/>
                <w:iCs w:val="0"/>
                <w:color w:val="000000"/>
                <w:kern w:val="0"/>
                <w:sz w:val="24"/>
                <w:szCs w:val="24"/>
                <w:u w:val="none"/>
                <w:lang w:val="en-US" w:eastAsia="zh-CN" w:bidi="ar"/>
              </w:rPr>
              <w:t>好</w:t>
            </w:r>
            <w:r>
              <w:rPr>
                <w:rFonts w:hint="eastAsia" w:ascii="Times New Roman" w:hAnsi="Times New Roman" w:eastAsia="方正仿宋_GBK" w:cs="Times New Roman"/>
                <w:i w:val="0"/>
                <w:iCs w:val="0"/>
                <w:color w:val="000000"/>
                <w:kern w:val="0"/>
                <w:sz w:val="24"/>
                <w:szCs w:val="24"/>
                <w:u w:val="none"/>
                <w:lang w:val="en-US" w:eastAsia="zh-CN" w:bidi="ar"/>
              </w:rPr>
              <w:t>建筑垃圾处置空间。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44" w:hRule="atLeast"/>
        </w:trPr>
        <w:tc>
          <w:tcPr>
            <w:tcW w:w="6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3</w:t>
            </w:r>
          </w:p>
        </w:tc>
        <w:tc>
          <w:tcPr>
            <w:tcW w:w="97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县公安局</w:t>
            </w:r>
          </w:p>
        </w:tc>
        <w:tc>
          <w:tcPr>
            <w:tcW w:w="769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1.负责建筑垃圾运输车辆通行证发放和监管。</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2.牵头开展查处违反道路交通安全法规的行为。</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3.对未取得安全检查报告的车辆不予年审。</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4.就近就便规划建筑垃圾运输路线及时段。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0" w:hRule="atLeast"/>
        </w:trPr>
        <w:tc>
          <w:tcPr>
            <w:tcW w:w="68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4</w:t>
            </w:r>
          </w:p>
        </w:tc>
        <w:tc>
          <w:tcPr>
            <w:tcW w:w="97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县交通</w:t>
            </w:r>
            <w:r>
              <w:rPr>
                <w:rFonts w:hint="eastAsia" w:cs="Times New Roman"/>
                <w:i w:val="0"/>
                <w:iCs w:val="0"/>
                <w:color w:val="000000"/>
                <w:kern w:val="0"/>
                <w:sz w:val="24"/>
                <w:szCs w:val="24"/>
                <w:u w:val="none"/>
                <w:lang w:val="en-US" w:eastAsia="zh-CN" w:bidi="ar"/>
              </w:rPr>
              <w:t>运输委</w:t>
            </w:r>
          </w:p>
        </w:tc>
        <w:tc>
          <w:tcPr>
            <w:tcW w:w="769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1.负责对建筑垃圾运输企业运输资质的审查及日常检查工作，对建筑垃圾运输车辆违法违章行为的查处。</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2.督促交通建设领域所属工程落实建筑垃圾减量化要求、工程泥浆进行无害化预处理、施工工地严格车辆出入登记及建筑垃圾偷排乱堆等。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0" w:hRule="atLeast"/>
        </w:trPr>
        <w:tc>
          <w:tcPr>
            <w:tcW w:w="68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5</w:t>
            </w:r>
          </w:p>
        </w:tc>
        <w:tc>
          <w:tcPr>
            <w:tcW w:w="97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县生态环境局</w:t>
            </w:r>
          </w:p>
        </w:tc>
        <w:tc>
          <w:tcPr>
            <w:tcW w:w="769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1.加快办理符合政策要求和环保准入规定的项目环评审批手续，指导各项目单位做好建筑垃圾处置工作，通过生态环境保护督察机制加强建筑垃圾违规处置问题督办整改。</w:t>
            </w:r>
            <w:r>
              <w:rPr>
                <w:rFonts w:hint="eastAsia" w:ascii="Times New Roman" w:hAnsi="Times New Roman" w:eastAsia="方正仿宋_GBK" w:cs="Times New Roman"/>
                <w:i w:val="0"/>
                <w:iCs w:val="0"/>
                <w:color w:val="000000"/>
                <w:kern w:val="0"/>
                <w:sz w:val="24"/>
                <w:szCs w:val="24"/>
                <w:u w:val="none"/>
                <w:lang w:val="en-US" w:eastAsia="zh-CN" w:bidi="ar"/>
              </w:rPr>
              <w:br w:type="textWrapping"/>
            </w:r>
            <w:r>
              <w:rPr>
                <w:rFonts w:hint="eastAsia" w:ascii="Times New Roman" w:hAnsi="Times New Roman" w:eastAsia="方正仿宋_GBK" w:cs="Times New Roman"/>
                <w:i w:val="0"/>
                <w:iCs w:val="0"/>
                <w:color w:val="000000"/>
                <w:kern w:val="0"/>
                <w:sz w:val="24"/>
                <w:szCs w:val="24"/>
                <w:u w:val="none"/>
                <w:lang w:val="en-US" w:eastAsia="zh-CN" w:bidi="ar"/>
              </w:rPr>
              <w:t>2.做好建筑垃圾治理和资源化利用项目环境影响评价审查工作。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6" w:hRule="atLeast"/>
        </w:trPr>
        <w:tc>
          <w:tcPr>
            <w:tcW w:w="68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6</w:t>
            </w:r>
          </w:p>
        </w:tc>
        <w:tc>
          <w:tcPr>
            <w:tcW w:w="9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center"/>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其他</w:t>
            </w:r>
          </w:p>
        </w:tc>
        <w:tc>
          <w:tcPr>
            <w:tcW w:w="769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00" w:lineRule="exact"/>
              <w:ind w:firstLine="0" w:firstLine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县财政局、</w:t>
            </w:r>
            <w:r>
              <w:rPr>
                <w:rFonts w:hint="default" w:ascii="Times New Roman" w:hAnsi="Times New Roman" w:eastAsia="方正仿宋_GBK" w:cs="Times New Roman"/>
                <w:sz w:val="24"/>
                <w:szCs w:val="24"/>
              </w:rPr>
              <w:t>县经济信息委</w:t>
            </w:r>
            <w:r>
              <w:rPr>
                <w:rFonts w:hint="eastAsia" w:ascii="Times New Roman" w:hAnsi="Times New Roman" w:eastAsia="方正仿宋_GBK" w:cs="Times New Roman"/>
                <w:i w:val="0"/>
                <w:iCs w:val="0"/>
                <w:color w:val="000000"/>
                <w:kern w:val="0"/>
                <w:sz w:val="24"/>
                <w:szCs w:val="24"/>
                <w:u w:val="none"/>
                <w:lang w:val="en-US" w:eastAsia="zh-CN" w:bidi="ar"/>
              </w:rPr>
              <w:t>、县市场监管局等其他相关部门，按照各自职责做好建筑垃圾管理的相关工作。</w:t>
            </w:r>
          </w:p>
        </w:tc>
      </w:tr>
    </w:tbl>
    <w:p>
      <w:pPr>
        <w:pStyle w:val="3"/>
        <w:spacing w:before="120" w:after="120"/>
        <w:jc w:val="both"/>
        <w:rPr>
          <w:rFonts w:hint="default" w:ascii="方正楷体_GBK" w:hAnsi="方正楷体_GBK" w:eastAsia="方正楷体_GBK" w:cs="方正楷体_GBK"/>
          <w:b w:val="0"/>
          <w:bCs w:val="0"/>
          <w:kern w:val="0"/>
          <w:sz w:val="32"/>
          <w:szCs w:val="32"/>
          <w:highlight w:val="none"/>
          <w:lang w:val="en-US" w:eastAsia="zh-CN" w:bidi="ar-SA"/>
        </w:rPr>
      </w:pPr>
      <w:bookmarkStart w:id="51" w:name="_Toc15810"/>
      <w:r>
        <w:rPr>
          <w:rFonts w:hint="eastAsia" w:ascii="方正楷体_GBK" w:hAnsi="方正楷体_GBK" w:eastAsia="方正楷体_GBK" w:cs="方正楷体_GBK"/>
          <w:b w:val="0"/>
          <w:bCs w:val="0"/>
          <w:kern w:val="0"/>
          <w:sz w:val="32"/>
          <w:szCs w:val="32"/>
          <w:highlight w:val="none"/>
          <w:lang w:val="en-US" w:eastAsia="zh-CN" w:bidi="ar-SA"/>
        </w:rPr>
        <w:t>第二十七条 完善信息化</w:t>
      </w:r>
      <w:bookmarkEnd w:id="51"/>
    </w:p>
    <w:p>
      <w:pPr>
        <w:pStyle w:val="5"/>
        <w:rPr>
          <w:rFonts w:hint="eastAsia" w:ascii="Times New Roman" w:hAnsi="Times New Roman" w:eastAsia="方正仿宋_GBK" w:cs="Times New Roman"/>
          <w:color w:val="auto"/>
          <w:kern w:val="2"/>
          <w:sz w:val="32"/>
          <w:szCs w:val="40"/>
          <w:lang w:val="en-US" w:eastAsia="zh-CN" w:bidi="ar-SA"/>
        </w:rPr>
      </w:pPr>
      <w:r>
        <w:rPr>
          <w:rFonts w:hint="eastAsia"/>
          <w:highlight w:val="none"/>
          <w:lang w:val="en-US" w:eastAsia="zh-CN"/>
        </w:rPr>
        <w:t>（一）</w:t>
      </w:r>
      <w:r>
        <w:rPr>
          <w:rFonts w:hint="eastAsia"/>
          <w:highlight w:val="none"/>
        </w:rPr>
        <w:t>信息平台</w:t>
      </w:r>
      <w:r>
        <w:rPr>
          <w:rFonts w:hint="eastAsia"/>
          <w:highlight w:val="none"/>
          <w:lang w:val="en-US" w:eastAsia="zh-CN"/>
        </w:rPr>
        <w:t>优化</w:t>
      </w:r>
      <w:r>
        <w:rPr>
          <w:rFonts w:hint="eastAsia"/>
          <w:highlight w:val="none"/>
          <w:lang w:eastAsia="zh-CN"/>
        </w:rPr>
        <w:t>。</w:t>
      </w:r>
      <w:r>
        <w:rPr>
          <w:rFonts w:hint="eastAsia" w:ascii="Times New Roman" w:hAnsi="Times New Roman" w:eastAsia="方正仿宋_GBK" w:cs="Times New Roman"/>
          <w:color w:val="auto"/>
          <w:kern w:val="2"/>
          <w:sz w:val="32"/>
          <w:szCs w:val="40"/>
          <w:lang w:val="en-US" w:eastAsia="zh-CN" w:bidi="ar-SA"/>
        </w:rPr>
        <w:t>基于现有的天翼云信息监管平台，优化支持多部门、多层级的数据共享和协同工作，提高管理效率。完善系统中建筑垃圾数据信息，实时对接建筑垃圾的产生、运输、处理及资源化利用等各环节的数据，通过跨部门的数据整合，形成统一的建筑垃圾管理数据库，为决策支持提供数据基础、技术支持</w:t>
      </w:r>
      <w:r>
        <w:rPr>
          <w:rFonts w:hint="default" w:ascii="Times New Roman" w:hAnsi="Times New Roman" w:eastAsia="方正仿宋_GBK" w:cs="Times New Roman"/>
          <w:color w:val="auto"/>
          <w:kern w:val="2"/>
          <w:sz w:val="32"/>
          <w:szCs w:val="40"/>
          <w:lang w:val="en-US" w:eastAsia="zh-CN" w:bidi="ar-SA"/>
        </w:rPr>
        <w:t>和咨询服务</w:t>
      </w:r>
      <w:r>
        <w:rPr>
          <w:rFonts w:hint="eastAsia" w:ascii="Times New Roman" w:hAnsi="Times New Roman" w:eastAsia="方正仿宋_GBK" w:cs="Times New Roman"/>
          <w:color w:val="auto"/>
          <w:kern w:val="2"/>
          <w:sz w:val="32"/>
          <w:szCs w:val="40"/>
          <w:lang w:val="en-US" w:eastAsia="zh-CN" w:bidi="ar-SA"/>
        </w:rPr>
        <w:t>，提高防治工作的效率和透明度。</w:t>
      </w:r>
    </w:p>
    <w:p>
      <w:pPr>
        <w:bidi w:val="0"/>
        <w:rPr>
          <w:rFonts w:hint="eastAsia" w:ascii="Times New Roman" w:hAnsi="Times New Roman" w:eastAsia="方正仿宋_GBK" w:cs="Times New Roman"/>
          <w:color w:val="auto"/>
          <w:kern w:val="2"/>
          <w:sz w:val="32"/>
          <w:szCs w:val="40"/>
          <w:lang w:val="en-US" w:eastAsia="zh-CN" w:bidi="ar-SA"/>
        </w:rPr>
      </w:pPr>
      <w:r>
        <w:rPr>
          <w:rFonts w:hint="eastAsia"/>
          <w:lang w:val="en-US" w:eastAsia="zh-CN"/>
        </w:rPr>
        <w:t>（二）完善</w:t>
      </w:r>
      <w:r>
        <w:rPr>
          <w:rFonts w:hint="eastAsia"/>
        </w:rPr>
        <w:t>智能化监控</w:t>
      </w:r>
      <w:r>
        <w:rPr>
          <w:rFonts w:hint="eastAsia"/>
          <w:lang w:eastAsia="zh-CN"/>
        </w:rPr>
        <w:t>。</w:t>
      </w:r>
      <w:r>
        <w:rPr>
          <w:rFonts w:hint="eastAsia" w:ascii="Times New Roman" w:hAnsi="Times New Roman" w:eastAsia="方正仿宋_GBK" w:cs="Times New Roman"/>
          <w:color w:val="auto"/>
          <w:kern w:val="2"/>
          <w:sz w:val="32"/>
          <w:szCs w:val="40"/>
          <w:lang w:val="en-US" w:eastAsia="zh-CN" w:bidi="ar-SA"/>
        </w:rPr>
        <w:t>利用物联网、GPS、遥感等技术手段，建设源头监督系统，主要实现对全县建筑工地现场作业情况的动态、可视化监管，及时发现相关问题；加强对垫江县城市建筑垃圾综合治理过程中的过程运输及终端处置监督，尤其是在运输安全、运输作业规范、运输环保措施等方面进行监督；建设重点监管系统，实现对建筑垃圾填埋场及未来的资源化利用厂等终端的动态监控。完善对建筑垃圾作业过程的考核评价、日常执法的一站式管理。</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lang w:val="en-US" w:eastAsia="zh-CN"/>
        </w:rPr>
        <w:t>（三）</w:t>
      </w:r>
      <w:r>
        <w:rPr>
          <w:rFonts w:hint="eastAsia"/>
        </w:rPr>
        <w:t>决策支持系统</w:t>
      </w:r>
      <w:r>
        <w:rPr>
          <w:rFonts w:hint="eastAsia"/>
          <w:lang w:eastAsia="zh-CN"/>
        </w:rPr>
        <w:t>。</w:t>
      </w:r>
      <w:r>
        <w:rPr>
          <w:rFonts w:hint="eastAsia" w:ascii="Times New Roman" w:hAnsi="Times New Roman" w:eastAsia="方正仿宋_GBK" w:cs="Times New Roman"/>
          <w:color w:val="auto"/>
          <w:kern w:val="2"/>
          <w:sz w:val="32"/>
          <w:szCs w:val="40"/>
          <w:lang w:val="en-US" w:eastAsia="zh-CN" w:bidi="ar-SA"/>
        </w:rPr>
        <w:t>基于大数据和人工智能技术，构建建筑垃圾管理决策支持系统。系统能够根据实时数据和历史数据，为管理部门提供科学的决策建议，优化资源配置，提高管理效果。同时，通过数据分析，预测建筑垃圾产生趋势，为规划调整提供依据。</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lang w:val="en-US" w:eastAsia="zh-CN"/>
        </w:rPr>
        <w:t>（四）</w:t>
      </w:r>
      <w:r>
        <w:rPr>
          <w:rFonts w:hint="eastAsia"/>
        </w:rPr>
        <w:t>信息安全保障</w:t>
      </w:r>
      <w:r>
        <w:rPr>
          <w:rFonts w:hint="eastAsia"/>
          <w:lang w:eastAsia="zh-CN"/>
        </w:rPr>
        <w:t>。</w:t>
      </w:r>
      <w:r>
        <w:rPr>
          <w:rFonts w:hint="eastAsia" w:ascii="Times New Roman" w:hAnsi="Times New Roman" w:eastAsia="方正仿宋_GBK" w:cs="Times New Roman"/>
          <w:color w:val="auto"/>
          <w:kern w:val="2"/>
          <w:sz w:val="32"/>
          <w:szCs w:val="40"/>
          <w:lang w:val="en-US" w:eastAsia="zh-CN" w:bidi="ar-SA"/>
        </w:rPr>
        <w:t>加强建筑垃圾管理信息系统的安全防护，确保数据的安全性和完整性。建立严格的数据访问权限管理制度，防止数据泄露和滥用。</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lang w:val="en-US" w:eastAsia="zh-CN"/>
        </w:rPr>
        <w:t>（五）</w:t>
      </w:r>
      <w:r>
        <w:rPr>
          <w:rFonts w:hint="eastAsia"/>
        </w:rPr>
        <w:t>信息交流与互动</w:t>
      </w:r>
      <w:r>
        <w:rPr>
          <w:rFonts w:hint="eastAsia"/>
          <w:lang w:eastAsia="zh-CN"/>
        </w:rPr>
        <w:t>。</w:t>
      </w:r>
      <w:r>
        <w:rPr>
          <w:rFonts w:hint="eastAsia" w:ascii="Times New Roman" w:hAnsi="Times New Roman" w:eastAsia="方正仿宋_GBK" w:cs="Times New Roman"/>
          <w:color w:val="auto"/>
          <w:kern w:val="2"/>
          <w:sz w:val="32"/>
          <w:szCs w:val="40"/>
          <w:lang w:val="en-US" w:eastAsia="zh-CN" w:bidi="ar-SA"/>
        </w:rPr>
        <w:t>通过信息平台，加强与公众、企业和其他利益相关者的信息交流与互动。及时发布建筑垃圾管理政策、标准和规范，收集社会意见和建议，推动形成共建共治共享的建筑垃圾管理格局。</w:t>
      </w:r>
    </w:p>
    <w:p>
      <w:pPr>
        <w:pStyle w:val="3"/>
        <w:spacing w:before="120" w:after="120"/>
        <w:jc w:val="center"/>
        <w:rPr>
          <w:rFonts w:hint="default" w:ascii="方正黑体_GBK" w:hAnsi="方正黑体_GBK" w:eastAsia="方正黑体_GBK" w:cs="方正黑体_GBK"/>
          <w:kern w:val="2"/>
          <w:sz w:val="32"/>
          <w:szCs w:val="24"/>
          <w:lang w:val="en-US" w:eastAsia="zh-CN" w:bidi="ar-SA"/>
        </w:rPr>
      </w:pPr>
      <w:bookmarkStart w:id="52" w:name="_Toc4036"/>
      <w:r>
        <w:rPr>
          <w:rFonts w:hint="eastAsia" w:ascii="方正黑体_GBK" w:hAnsi="方正黑体_GBK" w:eastAsia="方正黑体_GBK" w:cs="方正黑体_GBK"/>
          <w:kern w:val="2"/>
          <w:sz w:val="32"/>
          <w:szCs w:val="24"/>
          <w:lang w:val="en-US" w:eastAsia="zh-CN" w:bidi="ar-SA"/>
        </w:rPr>
        <w:t>第</w:t>
      </w:r>
      <w:r>
        <w:rPr>
          <w:rFonts w:hint="eastAsia" w:ascii="方正黑体_GBK" w:hAnsi="方正黑体_GBK" w:cs="方正黑体_GBK"/>
          <w:kern w:val="2"/>
          <w:sz w:val="32"/>
          <w:szCs w:val="24"/>
          <w:lang w:val="en-US" w:eastAsia="zh-CN" w:bidi="ar-SA"/>
        </w:rPr>
        <w:t>九</w:t>
      </w:r>
      <w:r>
        <w:rPr>
          <w:rFonts w:hint="eastAsia" w:ascii="方正黑体_GBK" w:hAnsi="方正黑体_GBK" w:eastAsia="方正黑体_GBK" w:cs="方正黑体_GBK"/>
          <w:kern w:val="2"/>
          <w:sz w:val="32"/>
          <w:szCs w:val="24"/>
          <w:lang w:val="en-US" w:eastAsia="zh-CN" w:bidi="ar-SA"/>
        </w:rPr>
        <w:t>章 重点实施方向</w:t>
      </w:r>
      <w:bookmarkEnd w:id="52"/>
    </w:p>
    <w:p>
      <w:pPr>
        <w:pStyle w:val="4"/>
        <w:bidi w:val="0"/>
        <w:rPr>
          <w:rFonts w:hint="eastAsia" w:ascii="方正楷体_GBK" w:hAnsi="方正楷体_GBK" w:eastAsia="方正楷体_GBK" w:cs="方正楷体_GBK"/>
          <w:b w:val="0"/>
          <w:bCs w:val="0"/>
          <w:kern w:val="0"/>
          <w:sz w:val="32"/>
          <w:szCs w:val="32"/>
          <w:highlight w:val="none"/>
          <w:lang w:val="en-US" w:eastAsia="zh-CN" w:bidi="ar-SA"/>
        </w:rPr>
      </w:pPr>
      <w:bookmarkStart w:id="53" w:name="_Toc26768"/>
      <w:r>
        <w:rPr>
          <w:rFonts w:hint="eastAsia" w:ascii="方正楷体_GBK" w:hAnsi="方正楷体_GBK" w:eastAsia="方正楷体_GBK" w:cs="方正楷体_GBK"/>
          <w:b w:val="0"/>
          <w:bCs w:val="0"/>
          <w:kern w:val="0"/>
          <w:sz w:val="32"/>
          <w:szCs w:val="32"/>
          <w:highlight w:val="none"/>
          <w:lang w:val="en-US" w:eastAsia="zh-CN" w:bidi="ar-SA"/>
        </w:rPr>
        <w:t xml:space="preserve">第二十八条 </w:t>
      </w:r>
      <w:r>
        <w:rPr>
          <w:rFonts w:hint="eastAsia" w:ascii="方正楷体_GBK" w:hAnsi="方正楷体_GBK" w:eastAsia="方正楷体_GBK" w:cs="方正楷体_GBK"/>
          <w:kern w:val="2"/>
          <w:sz w:val="32"/>
          <w:szCs w:val="22"/>
          <w:highlight w:val="none"/>
          <w:lang w:val="en-US" w:eastAsia="zh-CN" w:bidi="ar-SA"/>
        </w:rPr>
        <w:t>加快执行存量工作</w:t>
      </w:r>
      <w:bookmarkEnd w:id="53"/>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2024年底，遵循严管、严查、严治，切实提高执法巡查频率、加大执法查处力度，深入推进工地偷运偷倒建筑垃圾执法力度，加强对运输车辆不密闭、沿路撒漏等现象治理。</w:t>
      </w:r>
    </w:p>
    <w:p>
      <w:pPr>
        <w:pStyle w:val="4"/>
        <w:bidi w:val="0"/>
        <w:rPr>
          <w:rFonts w:hint="eastAsia" w:ascii="方正楷体_GBK" w:hAnsi="方正楷体_GBK" w:eastAsia="方正楷体_GBK" w:cs="方正楷体_GBK"/>
          <w:b w:val="0"/>
          <w:bCs w:val="0"/>
          <w:kern w:val="0"/>
          <w:sz w:val="32"/>
          <w:szCs w:val="32"/>
          <w:highlight w:val="none"/>
          <w:lang w:val="en-US" w:eastAsia="zh-CN" w:bidi="ar-SA"/>
        </w:rPr>
      </w:pPr>
      <w:bookmarkStart w:id="54" w:name="_Toc19488"/>
      <w:r>
        <w:rPr>
          <w:rFonts w:hint="eastAsia" w:ascii="方正楷体_GBK" w:hAnsi="方正楷体_GBK" w:eastAsia="方正楷体_GBK" w:cs="方正楷体_GBK"/>
          <w:b w:val="0"/>
          <w:bCs w:val="0"/>
          <w:kern w:val="0"/>
          <w:sz w:val="32"/>
          <w:szCs w:val="32"/>
          <w:highlight w:val="none"/>
          <w:lang w:val="en-US" w:eastAsia="zh-CN" w:bidi="ar-SA"/>
        </w:rPr>
        <w:t>第二十九条 工程建设</w:t>
      </w:r>
      <w:bookmarkEnd w:id="54"/>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（一）至</w:t>
      </w:r>
      <w:r>
        <w:rPr>
          <w:rFonts w:hint="default" w:ascii="Times New Roman" w:hAnsi="Times New Roman" w:eastAsia="方正仿宋_GBK" w:cs="Times New Roman"/>
          <w:color w:val="auto"/>
          <w:kern w:val="2"/>
          <w:sz w:val="32"/>
          <w:szCs w:val="40"/>
          <w:lang w:val="en-US" w:eastAsia="zh-CN" w:bidi="ar-SA"/>
        </w:rPr>
        <w:t>20</w:t>
      </w:r>
      <w:r>
        <w:rPr>
          <w:rFonts w:hint="eastAsia" w:ascii="Times New Roman" w:hAnsi="Times New Roman" w:eastAsia="方正仿宋_GBK" w:cs="Times New Roman"/>
          <w:color w:val="auto"/>
          <w:kern w:val="2"/>
          <w:sz w:val="32"/>
          <w:szCs w:val="40"/>
          <w:lang w:val="en-US" w:eastAsia="zh-CN" w:bidi="ar-SA"/>
        </w:rPr>
        <w:t>24年底，借助</w:t>
      </w:r>
      <w:r>
        <w:rPr>
          <w:rFonts w:hint="default" w:ascii="Times New Roman" w:hAnsi="Times New Roman" w:eastAsia="方正仿宋_GBK" w:cs="Times New Roman"/>
          <w:color w:val="auto"/>
          <w:kern w:val="2"/>
          <w:sz w:val="32"/>
          <w:szCs w:val="40"/>
          <w:lang w:val="en-US" w:eastAsia="zh-CN" w:bidi="ar-SA"/>
        </w:rPr>
        <w:t>高新区建筑垃圾</w:t>
      </w:r>
      <w:r>
        <w:rPr>
          <w:rFonts w:hint="eastAsia" w:ascii="Times New Roman" w:hAnsi="Times New Roman" w:eastAsia="方正仿宋_GBK" w:cs="Times New Roman"/>
          <w:color w:val="auto"/>
          <w:kern w:val="2"/>
          <w:sz w:val="32"/>
          <w:szCs w:val="40"/>
          <w:lang w:val="en-US" w:eastAsia="zh-CN" w:bidi="ar-SA"/>
        </w:rPr>
        <w:t>填埋</w:t>
      </w:r>
      <w:r>
        <w:rPr>
          <w:rFonts w:hint="default" w:ascii="Times New Roman" w:hAnsi="Times New Roman" w:eastAsia="方正仿宋_GBK" w:cs="Times New Roman"/>
          <w:color w:val="auto"/>
          <w:kern w:val="2"/>
          <w:sz w:val="32"/>
          <w:szCs w:val="40"/>
          <w:lang w:val="en-US" w:eastAsia="zh-CN" w:bidi="ar-SA"/>
        </w:rPr>
        <w:t>场</w:t>
      </w:r>
      <w:r>
        <w:rPr>
          <w:rFonts w:hint="eastAsia" w:ascii="Times New Roman" w:hAnsi="Times New Roman" w:eastAsia="方正仿宋_GBK" w:cs="Times New Roman"/>
          <w:color w:val="auto"/>
          <w:kern w:val="2"/>
          <w:sz w:val="32"/>
          <w:szCs w:val="40"/>
          <w:lang w:val="en-US" w:eastAsia="zh-CN" w:bidi="ar-SA"/>
        </w:rPr>
        <w:t>的封场场地，规划</w:t>
      </w:r>
      <w:r>
        <w:rPr>
          <w:rFonts w:hint="default" w:ascii="Times New Roman" w:hAnsi="Times New Roman" w:eastAsia="方正仿宋_GBK" w:cs="Times New Roman"/>
          <w:color w:val="auto"/>
          <w:kern w:val="2"/>
          <w:sz w:val="32"/>
          <w:szCs w:val="40"/>
          <w:lang w:val="en-US" w:eastAsia="zh-CN" w:bidi="ar-SA"/>
        </w:rPr>
        <w:t>1</w:t>
      </w:r>
      <w:r>
        <w:rPr>
          <w:rFonts w:hint="eastAsia" w:ascii="Times New Roman" w:hAnsi="Times New Roman" w:eastAsia="方正仿宋_GBK" w:cs="Times New Roman"/>
          <w:color w:val="auto"/>
          <w:kern w:val="2"/>
          <w:sz w:val="32"/>
          <w:szCs w:val="40"/>
          <w:lang w:val="en-US" w:eastAsia="zh-CN" w:bidi="ar-SA"/>
        </w:rPr>
        <w:t>座建筑垃圾资源化利用厂，占地规模10亩，并加速推进项目落地</w:t>
      </w:r>
      <w:r>
        <w:rPr>
          <w:rFonts w:hint="eastAsia" w:cs="Times New Roman"/>
          <w:color w:val="auto"/>
          <w:kern w:val="2"/>
          <w:sz w:val="32"/>
          <w:szCs w:val="40"/>
          <w:lang w:val="en-US" w:eastAsia="zh-CN" w:bidi="ar-SA"/>
        </w:rPr>
        <w:t>的</w:t>
      </w:r>
      <w:r>
        <w:rPr>
          <w:rFonts w:hint="eastAsia" w:ascii="Times New Roman" w:hAnsi="Times New Roman" w:eastAsia="方正仿宋_GBK" w:cs="Times New Roman"/>
          <w:color w:val="auto"/>
          <w:kern w:val="2"/>
          <w:sz w:val="32"/>
          <w:szCs w:val="40"/>
          <w:lang w:val="en-US" w:eastAsia="zh-CN" w:bidi="ar-SA"/>
        </w:rPr>
        <w:t>建设</w:t>
      </w:r>
      <w:r>
        <w:rPr>
          <w:rFonts w:hint="eastAsia" w:cs="Times New Roman"/>
          <w:color w:val="auto"/>
          <w:kern w:val="2"/>
          <w:sz w:val="32"/>
          <w:szCs w:val="40"/>
          <w:lang w:val="en-US" w:eastAsia="zh-CN" w:bidi="ar-SA"/>
        </w:rPr>
        <w:t>工作</w:t>
      </w:r>
      <w:r>
        <w:rPr>
          <w:rFonts w:hint="eastAsia" w:ascii="Times New Roman" w:hAnsi="Times New Roman" w:eastAsia="方正仿宋_GBK" w:cs="Times New Roman"/>
          <w:color w:val="auto"/>
          <w:kern w:val="2"/>
          <w:sz w:val="32"/>
          <w:szCs w:val="40"/>
          <w:lang w:val="en-US" w:eastAsia="zh-CN" w:bidi="ar-SA"/>
        </w:rPr>
        <w:t>。</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w:t>
      </w:r>
      <w:r>
        <w:rPr>
          <w:rFonts w:hint="default" w:ascii="Times New Roman" w:hAnsi="Times New Roman" w:eastAsia="方正仿宋_GBK" w:cs="Times New Roman"/>
          <w:color w:val="auto"/>
          <w:kern w:val="2"/>
          <w:sz w:val="32"/>
          <w:szCs w:val="40"/>
          <w:lang w:val="en-US" w:eastAsia="zh-CN" w:bidi="ar-SA"/>
        </w:rPr>
        <w:t>20</w:t>
      </w:r>
      <w:r>
        <w:rPr>
          <w:rFonts w:hint="eastAsia" w:ascii="Times New Roman" w:hAnsi="Times New Roman" w:eastAsia="方正仿宋_GBK" w:cs="Times New Roman"/>
          <w:color w:val="auto"/>
          <w:kern w:val="2"/>
          <w:sz w:val="32"/>
          <w:szCs w:val="40"/>
          <w:lang w:val="en-US" w:eastAsia="zh-CN" w:bidi="ar-SA"/>
        </w:rPr>
        <w:t>24年，持续推进</w:t>
      </w:r>
      <w:r>
        <w:rPr>
          <w:rFonts w:hint="default" w:ascii="Times New Roman" w:hAnsi="Times New Roman" w:eastAsia="方正仿宋_GBK" w:cs="Times New Roman"/>
          <w:color w:val="auto"/>
          <w:kern w:val="2"/>
          <w:sz w:val="32"/>
          <w:szCs w:val="40"/>
          <w:lang w:val="en-US" w:eastAsia="zh-CN" w:bidi="ar-SA"/>
        </w:rPr>
        <w:t>黄沙果园建筑</w:t>
      </w:r>
      <w:r>
        <w:rPr>
          <w:rFonts w:hint="eastAsia" w:ascii="Times New Roman" w:hAnsi="Times New Roman" w:eastAsia="方正仿宋_GBK" w:cs="Times New Roman"/>
          <w:color w:val="auto"/>
          <w:kern w:val="2"/>
          <w:sz w:val="32"/>
          <w:szCs w:val="40"/>
          <w:lang w:val="en-US" w:eastAsia="zh-CN" w:bidi="ar-SA"/>
        </w:rPr>
        <w:t>垃圾</w:t>
      </w:r>
      <w:r>
        <w:rPr>
          <w:rFonts w:hint="default" w:ascii="Times New Roman" w:hAnsi="Times New Roman" w:eastAsia="方正仿宋_GBK" w:cs="Times New Roman"/>
          <w:color w:val="auto"/>
          <w:kern w:val="2"/>
          <w:sz w:val="32"/>
          <w:szCs w:val="40"/>
          <w:lang w:val="en-US" w:eastAsia="zh-CN" w:bidi="ar-SA"/>
        </w:rPr>
        <w:t>消纳场</w:t>
      </w:r>
      <w:r>
        <w:rPr>
          <w:rFonts w:hint="eastAsia" w:ascii="Times New Roman" w:hAnsi="Times New Roman" w:eastAsia="方正仿宋_GBK" w:cs="Times New Roman"/>
          <w:color w:val="auto"/>
          <w:kern w:val="2"/>
          <w:sz w:val="32"/>
          <w:szCs w:val="40"/>
          <w:lang w:val="en-US" w:eastAsia="zh-CN" w:bidi="ar-SA"/>
        </w:rPr>
        <w:t>扩容，建设完成规划的剩余部分场地。</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（三）2026年起，结合垫江发展的实际情况，从储备的7座建筑垃圾填埋场</w:t>
      </w:r>
      <w:r>
        <w:rPr>
          <w:rFonts w:hint="eastAsia" w:cs="Times New Roman"/>
          <w:color w:val="auto"/>
          <w:kern w:val="2"/>
          <w:sz w:val="32"/>
          <w:szCs w:val="40"/>
          <w:lang w:val="en-US" w:eastAsia="zh-CN" w:bidi="ar-SA"/>
        </w:rPr>
        <w:t>中</w:t>
      </w:r>
      <w:r>
        <w:rPr>
          <w:rFonts w:hint="eastAsia" w:ascii="Times New Roman" w:hAnsi="Times New Roman" w:eastAsia="方正仿宋_GBK" w:cs="Times New Roman"/>
          <w:color w:val="auto"/>
          <w:kern w:val="2"/>
          <w:sz w:val="32"/>
          <w:szCs w:val="40"/>
          <w:lang w:val="en-US" w:eastAsia="zh-CN" w:bidi="ar-SA"/>
        </w:rPr>
        <w:t>，择优选择建筑垃圾填埋场进行建设。</w:t>
      </w:r>
    </w:p>
    <w:p>
      <w:pPr>
        <w:pStyle w:val="4"/>
        <w:pageBreakBefore w:val="0"/>
        <w:widowControl w:val="0"/>
        <w:kinsoku/>
        <w:wordWrap/>
        <w:overflowPunct/>
        <w:topLinePunct w:val="0"/>
        <w:autoSpaceDE/>
        <w:autoSpaceDN/>
        <w:bidi w:val="0"/>
        <w:adjustRightInd/>
        <w:snapToGrid/>
        <w:jc w:val="center"/>
        <w:textAlignment w:val="auto"/>
        <w:rPr>
          <w:rFonts w:hint="default"/>
          <w:lang w:val="en-US" w:eastAsia="zh-CN"/>
        </w:rPr>
      </w:pPr>
      <w:bookmarkStart w:id="55" w:name="_Toc2116"/>
      <w:bookmarkStart w:id="56" w:name="_Toc13200"/>
      <w:bookmarkStart w:id="57" w:name="_Toc4445"/>
      <w:r>
        <w:rPr>
          <w:rFonts w:hint="eastAsia"/>
          <w:lang w:val="en-US" w:eastAsia="zh-CN"/>
        </w:rPr>
        <w:t>第十章 实施保障措施</w:t>
      </w:r>
      <w:bookmarkEnd w:id="55"/>
    </w:p>
    <w:p>
      <w:pPr>
        <w:pStyle w:val="4"/>
        <w:pageBreakBefore w:val="0"/>
        <w:widowControl w:val="0"/>
        <w:kinsoku/>
        <w:wordWrap/>
        <w:overflowPunct/>
        <w:topLinePunct w:val="0"/>
        <w:autoSpaceDE/>
        <w:autoSpaceDN/>
        <w:bidi w:val="0"/>
        <w:adjustRightInd/>
        <w:snapToGrid/>
        <w:textAlignment w:val="auto"/>
        <w:rPr>
          <w:rFonts w:hint="default" w:ascii="方正楷体_GBK" w:hAnsi="方正楷体_GBK" w:eastAsia="方正楷体_GBK" w:cs="方正楷体_GBK"/>
          <w:b w:val="0"/>
          <w:bCs w:val="0"/>
          <w:kern w:val="0"/>
          <w:sz w:val="32"/>
          <w:szCs w:val="32"/>
          <w:highlight w:val="none"/>
          <w:lang w:val="en-US" w:eastAsia="zh-CN" w:bidi="ar-SA"/>
        </w:rPr>
      </w:pPr>
      <w:bookmarkStart w:id="58" w:name="_Toc19793"/>
      <w:r>
        <w:rPr>
          <w:rFonts w:hint="eastAsia" w:ascii="方正楷体_GBK" w:hAnsi="方正楷体_GBK" w:eastAsia="方正楷体_GBK" w:cs="方正楷体_GBK"/>
          <w:b w:val="0"/>
          <w:bCs w:val="0"/>
          <w:kern w:val="0"/>
          <w:sz w:val="32"/>
          <w:szCs w:val="32"/>
          <w:highlight w:val="none"/>
          <w:lang w:val="en-US" w:eastAsia="zh-CN" w:bidi="ar-SA"/>
        </w:rPr>
        <w:t>第三十条 管理体系保障</w:t>
      </w:r>
      <w:bookmarkEnd w:id="58"/>
    </w:p>
    <w:p>
      <w:pPr>
        <w:numPr>
          <w:ilvl w:val="0"/>
          <w:numId w:val="5"/>
        </w:numPr>
        <w:bidi w:val="0"/>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lang w:val="en-US" w:eastAsia="zh-CN"/>
        </w:rPr>
        <w:t>建筑垃圾治理工作由</w:t>
      </w:r>
      <w:r>
        <w:rPr>
          <w:rFonts w:hint="eastAsia"/>
          <w:lang w:val="en-US" w:eastAsia="zh-CN"/>
        </w:rPr>
        <w:t>县住房城乡建委（县城市管理局）</w:t>
      </w:r>
      <w:r>
        <w:rPr>
          <w:rFonts w:hint="eastAsia" w:ascii="Times New Roman" w:hAnsi="Times New Roman"/>
          <w:lang w:val="en-US" w:eastAsia="zh-CN"/>
        </w:rPr>
        <w:t>统筹协调，</w:t>
      </w:r>
      <w:r>
        <w:rPr>
          <w:rFonts w:hint="eastAsia" w:ascii="Times New Roman" w:hAnsi="Times New Roman" w:eastAsia="方正仿宋_GBK" w:cs="Times New Roman"/>
          <w:color w:val="auto"/>
          <w:kern w:val="2"/>
          <w:sz w:val="32"/>
          <w:szCs w:val="40"/>
          <w:lang w:val="en-US" w:eastAsia="zh-CN" w:bidi="ar-SA"/>
        </w:rPr>
        <w:t>明确</w:t>
      </w:r>
      <w:r>
        <w:rPr>
          <w:rFonts w:hint="eastAsia" w:cs="Times New Roman"/>
          <w:color w:val="auto"/>
          <w:kern w:val="2"/>
          <w:sz w:val="32"/>
          <w:szCs w:val="40"/>
          <w:lang w:val="en-US" w:eastAsia="zh-CN" w:bidi="ar-SA"/>
        </w:rPr>
        <w:t>县住房城乡建委（县城市管理局）</w:t>
      </w:r>
      <w:r>
        <w:rPr>
          <w:rFonts w:hint="eastAsia" w:ascii="Times New Roman" w:hAnsi="Times New Roman" w:eastAsia="方正仿宋_GBK" w:cs="Times New Roman"/>
          <w:color w:val="auto"/>
          <w:kern w:val="2"/>
          <w:sz w:val="32"/>
          <w:szCs w:val="40"/>
          <w:lang w:val="en-US" w:eastAsia="zh-CN" w:bidi="ar-SA"/>
        </w:rPr>
        <w:t>为建筑垃圾综合治理的行政主管部门，相关部门协同推进建筑垃圾源头减量、综合利用、分类收集、规范运输和处置消纳等管理工作。</w:t>
      </w:r>
    </w:p>
    <w:p>
      <w:pPr>
        <w:numPr>
          <w:ilvl w:val="0"/>
          <w:numId w:val="5"/>
        </w:numPr>
        <w:bidi w:val="0"/>
        <w:rPr>
          <w:rFonts w:hint="default" w:ascii="Times New Roman" w:hAnsi="Times New Roman" w:eastAsia="方正仿宋_GBK" w:cs="Times New Roman"/>
          <w:color w:val="auto"/>
          <w:kern w:val="2"/>
          <w:sz w:val="32"/>
          <w:szCs w:val="40"/>
          <w:lang w:val="en-US" w:eastAsia="zh-CN" w:bidi="ar-SA"/>
        </w:rPr>
      </w:pPr>
      <w:r>
        <w:rPr>
          <w:rFonts w:hint="eastAsia" w:eastAsia="方正仿宋_GBK" w:cs="方正仿宋_GBK"/>
          <w:b w:val="0"/>
          <w:bCs w:val="0"/>
          <w:szCs w:val="40"/>
          <w:lang w:eastAsia="zh-CN"/>
        </w:rPr>
        <w:t>建立联</w:t>
      </w:r>
      <w:r>
        <w:rPr>
          <w:rFonts w:hint="eastAsia" w:ascii="Times New Roman" w:hAnsi="Times New Roman" w:eastAsia="方正仿宋_GBK" w:cs="Times New Roman"/>
          <w:color w:val="auto"/>
          <w:kern w:val="2"/>
          <w:sz w:val="32"/>
          <w:szCs w:val="40"/>
          <w:lang w:val="en-US" w:eastAsia="zh-CN" w:bidi="ar-SA"/>
        </w:rPr>
        <w:t>席会议制度，全面落实联勤联动机制。住建（城管）</w:t>
      </w:r>
      <w:r>
        <w:rPr>
          <w:rFonts w:hint="eastAsia" w:cs="Times New Roman"/>
          <w:color w:val="auto"/>
          <w:kern w:val="2"/>
          <w:sz w:val="32"/>
          <w:szCs w:val="40"/>
          <w:lang w:val="en-US" w:eastAsia="zh-CN" w:bidi="ar-SA"/>
        </w:rPr>
        <w:t>、</w:t>
      </w:r>
      <w:r>
        <w:rPr>
          <w:rFonts w:hint="eastAsia" w:ascii="Times New Roman" w:hAnsi="Times New Roman" w:eastAsia="方正仿宋_GBK" w:cs="Times New Roman"/>
          <w:color w:val="auto"/>
          <w:kern w:val="2"/>
          <w:sz w:val="32"/>
          <w:szCs w:val="40"/>
          <w:lang w:val="en-US" w:eastAsia="zh-CN" w:bidi="ar-SA"/>
        </w:rPr>
        <w:t>公安、</w:t>
      </w:r>
      <w:r>
        <w:rPr>
          <w:rFonts w:hint="eastAsia" w:cs="Times New Roman"/>
          <w:color w:val="auto"/>
          <w:kern w:val="2"/>
          <w:sz w:val="32"/>
          <w:szCs w:val="40"/>
          <w:lang w:val="en-US" w:eastAsia="zh-CN" w:bidi="ar-SA"/>
        </w:rPr>
        <w:t>生态</w:t>
      </w:r>
      <w:r>
        <w:rPr>
          <w:rFonts w:hint="eastAsia" w:ascii="Times New Roman" w:hAnsi="Times New Roman" w:eastAsia="方正仿宋_GBK" w:cs="Times New Roman"/>
          <w:color w:val="auto"/>
          <w:kern w:val="2"/>
          <w:sz w:val="32"/>
          <w:szCs w:val="40"/>
          <w:lang w:val="en-US" w:eastAsia="zh-CN" w:bidi="ar-SA"/>
        </w:rPr>
        <w:t>环</w:t>
      </w:r>
      <w:r>
        <w:rPr>
          <w:rFonts w:hint="eastAsia" w:cs="Times New Roman"/>
          <w:color w:val="auto"/>
          <w:kern w:val="2"/>
          <w:sz w:val="32"/>
          <w:szCs w:val="40"/>
          <w:lang w:val="en-US" w:eastAsia="zh-CN" w:bidi="ar-SA"/>
        </w:rPr>
        <w:t>境</w:t>
      </w:r>
      <w:r>
        <w:rPr>
          <w:rFonts w:hint="eastAsia" w:ascii="Times New Roman" w:hAnsi="Times New Roman" w:eastAsia="方正仿宋_GBK" w:cs="Times New Roman"/>
          <w:color w:val="auto"/>
          <w:kern w:val="2"/>
          <w:sz w:val="32"/>
          <w:szCs w:val="40"/>
          <w:lang w:val="en-US" w:eastAsia="zh-CN" w:bidi="ar-SA"/>
        </w:rPr>
        <w:t>、交通等</w:t>
      </w:r>
      <w:r>
        <w:rPr>
          <w:rFonts w:hint="eastAsia" w:cs="Times New Roman"/>
          <w:color w:val="auto"/>
          <w:kern w:val="2"/>
          <w:sz w:val="32"/>
          <w:szCs w:val="40"/>
          <w:lang w:val="en-US" w:eastAsia="zh-CN" w:bidi="ar-SA"/>
        </w:rPr>
        <w:t>职能</w:t>
      </w:r>
      <w:r>
        <w:rPr>
          <w:rFonts w:hint="eastAsia" w:ascii="Times New Roman" w:hAnsi="Times New Roman" w:eastAsia="方正仿宋_GBK" w:cs="Times New Roman"/>
          <w:color w:val="auto"/>
          <w:kern w:val="2"/>
          <w:sz w:val="32"/>
          <w:szCs w:val="40"/>
          <w:lang w:val="en-US" w:eastAsia="zh-CN" w:bidi="ar-SA"/>
        </w:rPr>
        <w:t>部门实现互联互通，协同管理，定期召开建筑垃圾污染环境防治工作联席会议，通报工作进展，协调解决建筑垃圾管理及资源化利用等所遇问题；定期和不定期开展联合执法整治，对违法行为，各职能部门按照相关法律法规，依法依规追究相关所属企事业单位的主体责任。</w:t>
      </w:r>
    </w:p>
    <w:p>
      <w:pPr>
        <w:pStyle w:val="4"/>
        <w:pageBreakBefore w:val="0"/>
        <w:widowControl w:val="0"/>
        <w:kinsoku/>
        <w:wordWrap/>
        <w:overflowPunct/>
        <w:topLinePunct w:val="0"/>
        <w:autoSpaceDE/>
        <w:autoSpaceDN/>
        <w:bidi w:val="0"/>
        <w:adjustRightInd/>
        <w:snapToGrid/>
        <w:textAlignment w:val="auto"/>
        <w:rPr>
          <w:rFonts w:hint="default" w:ascii="方正楷体_GBK" w:hAnsi="方正楷体_GBK" w:eastAsia="方正楷体_GBK" w:cs="方正楷体_GBK"/>
          <w:b w:val="0"/>
          <w:bCs w:val="0"/>
          <w:kern w:val="0"/>
          <w:sz w:val="32"/>
          <w:szCs w:val="32"/>
          <w:highlight w:val="none"/>
          <w:lang w:val="en-US" w:eastAsia="zh-CN" w:bidi="ar-SA"/>
        </w:rPr>
      </w:pPr>
      <w:bookmarkStart w:id="59" w:name="_Toc18418"/>
      <w:r>
        <w:rPr>
          <w:rFonts w:hint="eastAsia" w:ascii="方正楷体_GBK" w:hAnsi="方正楷体_GBK" w:eastAsia="方正楷体_GBK" w:cs="方正楷体_GBK"/>
          <w:b w:val="0"/>
          <w:bCs w:val="0"/>
          <w:kern w:val="0"/>
          <w:sz w:val="32"/>
          <w:szCs w:val="32"/>
          <w:highlight w:val="none"/>
          <w:lang w:val="en-US" w:eastAsia="zh-CN" w:bidi="ar-SA"/>
        </w:rPr>
        <w:t>第三十一条 政策保障</w:t>
      </w:r>
      <w:bookmarkEnd w:id="59"/>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对于在建筑垃圾减量化处理、资源化利用、新型渣土车全面化等方面取得显著成效的企业或项目，在适当时期，结合区域实际情况，按照国家和市级有关规定落实财政补贴和返税激励，鼓励其持续投入和创新。针对建筑垃圾资源化利用的产品采取优先推广和使用。制定建筑垃圾处理、资源化利用等实施方面的优惠政策，鼓励企业参与防治工作。</w:t>
      </w:r>
    </w:p>
    <w:p>
      <w:pPr>
        <w:pStyle w:val="4"/>
        <w:pageBreakBefore w:val="0"/>
        <w:widowControl w:val="0"/>
        <w:kinsoku/>
        <w:wordWrap/>
        <w:overflowPunct/>
        <w:topLinePunct w:val="0"/>
        <w:autoSpaceDE/>
        <w:autoSpaceDN/>
        <w:bidi w:val="0"/>
        <w:adjustRightInd/>
        <w:snapToGrid/>
        <w:textAlignment w:val="auto"/>
        <w:rPr>
          <w:rFonts w:hint="default" w:ascii="方正楷体_GBK" w:hAnsi="方正楷体_GBK" w:eastAsia="方正楷体_GBK" w:cs="方正楷体_GBK"/>
          <w:b w:val="0"/>
          <w:bCs w:val="0"/>
          <w:kern w:val="0"/>
          <w:sz w:val="32"/>
          <w:szCs w:val="32"/>
          <w:highlight w:val="none"/>
          <w:lang w:val="en-US" w:eastAsia="zh-CN" w:bidi="ar-SA"/>
        </w:rPr>
      </w:pPr>
      <w:bookmarkStart w:id="60" w:name="_Toc6181"/>
      <w:r>
        <w:rPr>
          <w:rFonts w:hint="eastAsia" w:ascii="方正楷体_GBK" w:hAnsi="方正楷体_GBK" w:eastAsia="方正楷体_GBK" w:cs="方正楷体_GBK"/>
          <w:b w:val="0"/>
          <w:bCs w:val="0"/>
          <w:kern w:val="0"/>
          <w:sz w:val="32"/>
          <w:szCs w:val="32"/>
          <w:highlight w:val="none"/>
          <w:lang w:val="en-US" w:eastAsia="zh-CN" w:bidi="ar-SA"/>
        </w:rPr>
        <w:t>第三十二条 监督管理保障</w:t>
      </w:r>
      <w:bookmarkEnd w:id="60"/>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（一）成立监管小组，制定详细的监管制度，明确监管职责、工作流程和处罚措施，确保监管工作的规范化和制度化，负责全面监督和管理建筑垃圾的处理和利用工作。</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二）将建筑垃圾治理情况纳入考核，设定清晰、可量化的建筑垃圾治理目标和指标或者一些具体的工程目标，并制定考核标准，建立考核机制，全面查找管理盲点，制定任务、责任、措施、时限“四合一”清单，做到节点明确、任务到岗、责任到人</w:t>
      </w:r>
      <w:r>
        <w:rPr>
          <w:rFonts w:hint="default" w:ascii="Times New Roman" w:hAnsi="Times New Roman" w:eastAsia="方正仿宋_GBK" w:cs="Times New Roman"/>
          <w:color w:val="auto"/>
          <w:kern w:val="2"/>
          <w:sz w:val="32"/>
          <w:szCs w:val="40"/>
          <w:lang w:val="en-US" w:eastAsia="zh-CN" w:bidi="ar-SA"/>
        </w:rPr>
        <w:t>，</w:t>
      </w:r>
      <w:r>
        <w:rPr>
          <w:rFonts w:hint="eastAsia" w:ascii="Times New Roman" w:hAnsi="Times New Roman" w:eastAsia="方正仿宋_GBK" w:cs="Times New Roman"/>
          <w:color w:val="auto"/>
          <w:kern w:val="2"/>
          <w:sz w:val="32"/>
          <w:szCs w:val="40"/>
          <w:lang w:val="en-US" w:eastAsia="zh-CN" w:bidi="ar-SA"/>
        </w:rPr>
        <w:t>确保建筑垃圾管理工作的完整闭环。</w:t>
      </w:r>
    </w:p>
    <w:p>
      <w:pPr>
        <w:pStyle w:val="4"/>
        <w:pageBreakBefore w:val="0"/>
        <w:widowControl w:val="0"/>
        <w:kinsoku/>
        <w:wordWrap/>
        <w:overflowPunct/>
        <w:topLinePunct w:val="0"/>
        <w:autoSpaceDE/>
        <w:autoSpaceDN/>
        <w:bidi w:val="0"/>
        <w:adjustRightInd/>
        <w:snapToGrid/>
        <w:textAlignment w:val="auto"/>
        <w:rPr>
          <w:rFonts w:hint="default" w:ascii="方正楷体_GBK" w:hAnsi="方正楷体_GBK" w:eastAsia="方正楷体_GBK" w:cs="方正楷体_GBK"/>
          <w:b w:val="0"/>
          <w:bCs w:val="0"/>
          <w:kern w:val="0"/>
          <w:sz w:val="32"/>
          <w:szCs w:val="32"/>
          <w:highlight w:val="none"/>
          <w:lang w:val="en-US" w:eastAsia="zh-CN" w:bidi="ar-SA"/>
        </w:rPr>
      </w:pPr>
      <w:bookmarkStart w:id="61" w:name="_Toc20216"/>
      <w:r>
        <w:rPr>
          <w:rFonts w:hint="eastAsia" w:ascii="方正楷体_GBK" w:hAnsi="方正楷体_GBK" w:eastAsia="方正楷体_GBK" w:cs="方正楷体_GBK"/>
          <w:b w:val="0"/>
          <w:bCs w:val="0"/>
          <w:kern w:val="0"/>
          <w:sz w:val="32"/>
          <w:szCs w:val="32"/>
          <w:highlight w:val="none"/>
          <w:lang w:val="en-US" w:eastAsia="zh-CN" w:bidi="ar-SA"/>
        </w:rPr>
        <w:t xml:space="preserve">第三十三条 </w:t>
      </w:r>
      <w:r>
        <w:rPr>
          <w:rFonts w:hint="eastAsia" w:ascii="方正楷体_GBK" w:hAnsi="方正楷体_GBK" w:eastAsia="方正楷体_GBK" w:cs="方正楷体_GBK"/>
          <w:kern w:val="2"/>
          <w:sz w:val="32"/>
          <w:szCs w:val="22"/>
          <w:lang w:val="en-US" w:eastAsia="zh-CN" w:bidi="ar-SA"/>
        </w:rPr>
        <w:t>宣传保障</w:t>
      </w:r>
      <w:bookmarkEnd w:id="61"/>
    </w:p>
    <w:p>
      <w:pPr>
        <w:pStyle w:val="5"/>
        <w:rPr>
          <w:rFonts w:hint="eastAsia" w:ascii="Times New Roman" w:hAnsi="Times New Roman" w:eastAsia="方正仿宋_GBK" w:cstheme="minorBidi"/>
          <w:kern w:val="2"/>
          <w:sz w:val="32"/>
          <w:szCs w:val="22"/>
          <w:lang w:val="en-US" w:eastAsia="zh-CN" w:bidi="ar-SA"/>
        </w:rPr>
      </w:pPr>
      <w:r>
        <w:rPr>
          <w:rFonts w:hint="eastAsia" w:ascii="Times New Roman" w:hAnsi="Times New Roman" w:eastAsia="方正仿宋_GBK" w:cs="Times New Roman"/>
          <w:color w:val="auto"/>
          <w:kern w:val="2"/>
          <w:sz w:val="32"/>
          <w:szCs w:val="40"/>
          <w:lang w:val="en-US" w:eastAsia="zh-CN" w:bidi="ar-SA"/>
        </w:rPr>
        <w:t>利用抖音、小红书等新媒体平台，广泛宣传建筑垃圾资源化利用的重要意义，鼓励公众广泛参与，引导全社会形成节约资源、循环发展、保护环境的生产生活方式，让公众意识到建筑垃圾治理的重要性和紧迫性，增强公众对建筑垃圾治理工作的信任和支持，营造全社会共同参与的良好氛围。</w:t>
      </w:r>
    </w:p>
    <w:p>
      <w:pPr>
        <w:pStyle w:val="5"/>
        <w:rPr>
          <w:rFonts w:hint="eastAsia" w:ascii="Times New Roman" w:hAnsi="Times New Roman" w:eastAsia="方正仿宋_GBK" w:cstheme="minorBidi"/>
          <w:kern w:val="2"/>
          <w:sz w:val="32"/>
          <w:szCs w:val="22"/>
          <w:lang w:val="en-US" w:eastAsia="zh-CN" w:bidi="ar-SA"/>
        </w:rPr>
      </w:pPr>
    </w:p>
    <w:p>
      <w:pPr>
        <w:pStyle w:val="4"/>
        <w:pageBreakBefore w:val="0"/>
        <w:widowControl w:val="0"/>
        <w:kinsoku/>
        <w:wordWrap/>
        <w:overflowPunct/>
        <w:topLinePunct w:val="0"/>
        <w:autoSpaceDE/>
        <w:autoSpaceDN/>
        <w:bidi w:val="0"/>
        <w:adjustRightInd/>
        <w:snapToGrid/>
        <w:jc w:val="center"/>
        <w:textAlignment w:val="auto"/>
        <w:rPr>
          <w:rFonts w:hint="default"/>
          <w:highlight w:val="none"/>
          <w:lang w:val="en-US" w:eastAsia="zh-CN"/>
        </w:rPr>
      </w:pPr>
      <w:bookmarkStart w:id="62" w:name="_Toc15656"/>
      <w:bookmarkStart w:id="63" w:name="_Toc5861"/>
      <w:bookmarkStart w:id="64" w:name="_Toc92730597"/>
      <w:r>
        <w:rPr>
          <w:rFonts w:hint="eastAsia"/>
          <w:highlight w:val="none"/>
          <w:lang w:val="en-US" w:eastAsia="zh-CN"/>
        </w:rPr>
        <w:t>第十一章 附则</w:t>
      </w:r>
      <w:bookmarkEnd w:id="62"/>
    </w:p>
    <w:bookmarkEnd w:id="63"/>
    <w:bookmarkEnd w:id="64"/>
    <w:p>
      <w:pPr>
        <w:pStyle w:val="4"/>
        <w:spacing w:before="0" w:after="0"/>
        <w:ind w:firstLine="0" w:firstLineChars="0"/>
        <w:jc w:val="both"/>
        <w:rPr>
          <w:rFonts w:hint="eastAsia" w:ascii="方正楷体_GBK" w:hAnsi="方正楷体_GBK" w:eastAsia="方正楷体_GBK" w:cs="方正楷体_GBK"/>
          <w:kern w:val="0"/>
          <w:highlight w:val="none"/>
        </w:rPr>
      </w:pPr>
      <w:bookmarkStart w:id="65" w:name="_Toc647"/>
      <w:bookmarkStart w:id="66" w:name="_Toc24529"/>
      <w:bookmarkStart w:id="67" w:name="_Toc92730598"/>
      <w:r>
        <w:rPr>
          <w:rFonts w:hint="eastAsia" w:ascii="方正楷体_GBK" w:hAnsi="方正楷体_GBK" w:eastAsia="方正楷体_GBK" w:cs="方正楷体_GBK"/>
          <w:kern w:val="0"/>
          <w:highlight w:val="none"/>
        </w:rPr>
        <w:t>第</w:t>
      </w:r>
      <w:r>
        <w:rPr>
          <w:rFonts w:hint="eastAsia" w:ascii="方正楷体_GBK" w:hAnsi="方正楷体_GBK" w:eastAsia="方正楷体_GBK" w:cs="方正楷体_GBK"/>
          <w:kern w:val="0"/>
          <w:highlight w:val="none"/>
          <w:lang w:val="en-US" w:eastAsia="zh-CN"/>
        </w:rPr>
        <w:t>三十四</w:t>
      </w:r>
      <w:r>
        <w:rPr>
          <w:rFonts w:hint="eastAsia" w:ascii="方正楷体_GBK" w:hAnsi="方正楷体_GBK" w:eastAsia="方正楷体_GBK" w:cs="方正楷体_GBK"/>
          <w:kern w:val="0"/>
          <w:highlight w:val="none"/>
        </w:rPr>
        <w:t>条 规划成果</w:t>
      </w:r>
      <w:bookmarkEnd w:id="65"/>
      <w:bookmarkEnd w:id="66"/>
      <w:bookmarkEnd w:id="67"/>
    </w:p>
    <w:p>
      <w:pPr>
        <w:spacing w:line="360" w:lineRule="auto"/>
        <w:ind w:firstLine="640" w:firstLineChars="200"/>
        <w:rPr>
          <w:rFonts w:hint="eastAsia" w:ascii="方正仿宋_GBK" w:hAnsi="宋体" w:eastAsia="方正仿宋_GBK"/>
          <w:sz w:val="28"/>
          <w:szCs w:val="28"/>
          <w:highlight w:val="none"/>
        </w:rPr>
      </w:pPr>
      <w:r>
        <w:rPr>
          <w:rFonts w:hint="eastAsia" w:ascii="Times New Roman" w:hAnsi="Times New Roman" w:eastAsia="方正仿宋_GBK" w:cs="Times New Roman"/>
          <w:color w:val="auto"/>
          <w:kern w:val="2"/>
          <w:sz w:val="32"/>
          <w:szCs w:val="40"/>
          <w:lang w:val="en-US" w:eastAsia="zh-CN" w:bidi="ar-SA"/>
        </w:rPr>
        <w:t>本规划成果由文本、图册和说明书组成。规划一经批准，规划文本和图册具有同等法律效力，说明书是对文本的补充说明。</w:t>
      </w:r>
    </w:p>
    <w:p>
      <w:pPr>
        <w:pStyle w:val="4"/>
        <w:spacing w:before="0" w:after="0"/>
        <w:ind w:firstLine="0" w:firstLineChars="0"/>
        <w:jc w:val="both"/>
        <w:rPr>
          <w:rFonts w:ascii="方正楷体_GBK" w:hAnsi="方正楷体_GBK" w:eastAsia="方正楷体_GBK" w:cs="方正楷体_GBK"/>
          <w:kern w:val="0"/>
          <w:highlight w:val="none"/>
        </w:rPr>
      </w:pPr>
      <w:bookmarkStart w:id="68" w:name="_Toc92730599"/>
      <w:bookmarkStart w:id="69" w:name="_Toc24295"/>
      <w:bookmarkStart w:id="70" w:name="_Toc152"/>
      <w:r>
        <w:rPr>
          <w:rFonts w:hint="eastAsia" w:ascii="方正楷体_GBK" w:hAnsi="方正楷体_GBK" w:eastAsia="方正楷体_GBK" w:cs="方正楷体_GBK"/>
          <w:kern w:val="0"/>
          <w:highlight w:val="none"/>
        </w:rPr>
        <w:t>第</w:t>
      </w:r>
      <w:r>
        <w:rPr>
          <w:rFonts w:hint="eastAsia" w:ascii="方正楷体_GBK" w:hAnsi="方正楷体_GBK" w:eastAsia="方正楷体_GBK" w:cs="方正楷体_GBK"/>
          <w:kern w:val="0"/>
          <w:highlight w:val="none"/>
          <w:lang w:val="en-US" w:eastAsia="zh-CN"/>
        </w:rPr>
        <w:t>三十五</w:t>
      </w:r>
      <w:r>
        <w:rPr>
          <w:rFonts w:hint="eastAsia" w:ascii="方正楷体_GBK" w:hAnsi="方正楷体_GBK" w:eastAsia="方正楷体_GBK" w:cs="方正楷体_GBK"/>
          <w:kern w:val="0"/>
          <w:highlight w:val="none"/>
        </w:rPr>
        <w:t>条 批准实施</w:t>
      </w:r>
      <w:bookmarkEnd w:id="68"/>
      <w:bookmarkEnd w:id="69"/>
      <w:bookmarkEnd w:id="70"/>
    </w:p>
    <w:p>
      <w:pPr>
        <w:spacing w:line="360" w:lineRule="auto"/>
        <w:ind w:firstLine="640" w:firstLineChars="200"/>
        <w:rPr>
          <w:rFonts w:hint="eastAsia" w:ascii="Times New Roman" w:hAnsi="Times New Roman" w:eastAsia="方正仿宋_GBK" w:cs="Times New Roman"/>
          <w:color w:val="auto"/>
          <w:kern w:val="2"/>
          <w:sz w:val="32"/>
          <w:szCs w:val="40"/>
          <w:lang w:val="en-US" w:eastAsia="zh-CN" w:bidi="ar-SA"/>
        </w:rPr>
      </w:pPr>
      <w:r>
        <w:rPr>
          <w:rFonts w:hint="eastAsia" w:ascii="Times New Roman" w:hAnsi="Times New Roman" w:eastAsia="方正仿宋_GBK" w:cs="Times New Roman"/>
          <w:color w:val="auto"/>
          <w:kern w:val="2"/>
          <w:sz w:val="32"/>
          <w:szCs w:val="40"/>
          <w:lang w:val="en-US" w:eastAsia="zh-CN" w:bidi="ar-SA"/>
        </w:rPr>
        <w:t>本规划经批准后，将成为指导垫江县建筑垃圾规范管理和处理设施建设的</w:t>
      </w:r>
      <w:r>
        <w:rPr>
          <w:rFonts w:hint="eastAsia" w:cs="Times New Roman"/>
          <w:color w:val="auto"/>
          <w:kern w:val="2"/>
          <w:sz w:val="32"/>
          <w:szCs w:val="40"/>
          <w:lang w:val="en-US" w:eastAsia="zh-CN" w:bidi="ar-SA"/>
        </w:rPr>
        <w:t>规范</w:t>
      </w:r>
      <w:r>
        <w:rPr>
          <w:rFonts w:hint="eastAsia" w:ascii="Times New Roman" w:hAnsi="Times New Roman" w:eastAsia="方正仿宋_GBK" w:cs="Times New Roman"/>
          <w:color w:val="auto"/>
          <w:kern w:val="2"/>
          <w:sz w:val="32"/>
          <w:szCs w:val="40"/>
          <w:lang w:val="en-US" w:eastAsia="zh-CN" w:bidi="ar-SA"/>
        </w:rPr>
        <w:t>性文件，规划自垫江县政府批准之日起实施。</w:t>
      </w:r>
    </w:p>
    <w:p>
      <w:pPr>
        <w:pStyle w:val="4"/>
        <w:spacing w:before="0" w:after="0"/>
        <w:ind w:firstLine="0" w:firstLineChars="0"/>
        <w:jc w:val="both"/>
        <w:rPr>
          <w:rFonts w:ascii="方正楷体_GBK" w:hAnsi="方正楷体_GBK" w:eastAsia="方正楷体_GBK" w:cs="方正楷体_GBK"/>
          <w:kern w:val="0"/>
          <w:highlight w:val="none"/>
        </w:rPr>
      </w:pPr>
      <w:bookmarkStart w:id="71" w:name="_Toc24015"/>
      <w:bookmarkStart w:id="72" w:name="_Toc21160"/>
      <w:bookmarkStart w:id="73" w:name="_Toc92730600"/>
      <w:r>
        <w:rPr>
          <w:rFonts w:hint="eastAsia" w:ascii="方正楷体_GBK" w:hAnsi="方正楷体_GBK" w:eastAsia="方正楷体_GBK" w:cs="方正楷体_GBK"/>
          <w:kern w:val="0"/>
          <w:highlight w:val="none"/>
        </w:rPr>
        <w:t>第</w:t>
      </w:r>
      <w:r>
        <w:rPr>
          <w:rFonts w:hint="eastAsia" w:ascii="方正楷体_GBK" w:hAnsi="方正楷体_GBK" w:eastAsia="方正楷体_GBK" w:cs="方正楷体_GBK"/>
          <w:kern w:val="0"/>
          <w:highlight w:val="none"/>
          <w:lang w:val="en-US" w:eastAsia="zh-CN"/>
        </w:rPr>
        <w:t>三十六</w:t>
      </w:r>
      <w:r>
        <w:rPr>
          <w:rFonts w:hint="eastAsia" w:ascii="方正楷体_GBK" w:hAnsi="方正楷体_GBK" w:eastAsia="方正楷体_GBK" w:cs="方正楷体_GBK"/>
          <w:kern w:val="0"/>
          <w:highlight w:val="none"/>
        </w:rPr>
        <w:t>条 规划解释</w:t>
      </w:r>
      <w:bookmarkEnd w:id="71"/>
      <w:bookmarkEnd w:id="72"/>
      <w:bookmarkEnd w:id="73"/>
    </w:p>
    <w:p>
      <w:pPr>
        <w:spacing w:line="360" w:lineRule="auto"/>
        <w:ind w:firstLine="640" w:firstLineChars="200"/>
        <w:rPr>
          <w:rFonts w:hint="default"/>
          <w:lang w:val="en-US" w:eastAsia="zh-CN"/>
        </w:rPr>
      </w:pPr>
      <w:r>
        <w:rPr>
          <w:rFonts w:hint="eastAsia" w:ascii="Times New Roman" w:hAnsi="Times New Roman" w:eastAsia="方正仿宋_GBK" w:cs="Times New Roman"/>
          <w:color w:val="auto"/>
          <w:kern w:val="2"/>
          <w:sz w:val="32"/>
          <w:szCs w:val="40"/>
          <w:lang w:val="en-US" w:eastAsia="zh-CN" w:bidi="ar-SA"/>
        </w:rPr>
        <w:t>本规划解释权归县住房城乡建委（县城市管理局）。</w:t>
      </w:r>
      <w:bookmarkEnd w:id="56"/>
      <w:bookmarkEnd w:id="57"/>
    </w:p>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5474"/>
      </w:tabs>
      <w:rPr>
        <w:rFonts w:hint="eastAsia" w:eastAsia="方正仿宋_GBK"/>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7862A0"/>
    <w:multiLevelType w:val="singleLevel"/>
    <w:tmpl w:val="857862A0"/>
    <w:lvl w:ilvl="0" w:tentative="0">
      <w:start w:val="1"/>
      <w:numFmt w:val="chineseCounting"/>
      <w:suff w:val="nothing"/>
      <w:lvlText w:val="（%1）"/>
      <w:lvlJc w:val="left"/>
      <w:rPr>
        <w:rFonts w:hint="eastAsia"/>
      </w:rPr>
    </w:lvl>
  </w:abstractNum>
  <w:abstractNum w:abstractNumId="1">
    <w:nsid w:val="87217396"/>
    <w:multiLevelType w:val="singleLevel"/>
    <w:tmpl w:val="87217396"/>
    <w:lvl w:ilvl="0" w:tentative="0">
      <w:start w:val="1"/>
      <w:numFmt w:val="chineseCounting"/>
      <w:suff w:val="nothing"/>
      <w:lvlText w:val="（%1）"/>
      <w:lvlJc w:val="left"/>
      <w:rPr>
        <w:rFonts w:hint="eastAsia"/>
      </w:rPr>
    </w:lvl>
  </w:abstractNum>
  <w:abstractNum w:abstractNumId="2">
    <w:nsid w:val="BE3DC1CE"/>
    <w:multiLevelType w:val="singleLevel"/>
    <w:tmpl w:val="BE3DC1CE"/>
    <w:lvl w:ilvl="0" w:tentative="0">
      <w:start w:val="1"/>
      <w:numFmt w:val="chineseCounting"/>
      <w:suff w:val="nothing"/>
      <w:lvlText w:val="（%1）"/>
      <w:lvlJc w:val="left"/>
      <w:rPr>
        <w:rFonts w:hint="eastAsia"/>
      </w:rPr>
    </w:lvl>
  </w:abstractNum>
  <w:abstractNum w:abstractNumId="3">
    <w:nsid w:val="3C61A842"/>
    <w:multiLevelType w:val="singleLevel"/>
    <w:tmpl w:val="3C61A842"/>
    <w:lvl w:ilvl="0" w:tentative="0">
      <w:start w:val="1"/>
      <w:numFmt w:val="chineseCounting"/>
      <w:suff w:val="nothing"/>
      <w:lvlText w:val="（%1）"/>
      <w:lvlJc w:val="left"/>
      <w:rPr>
        <w:rFonts w:hint="eastAsia"/>
      </w:rPr>
    </w:lvl>
  </w:abstractNum>
  <w:abstractNum w:abstractNumId="4">
    <w:nsid w:val="544517C4"/>
    <w:multiLevelType w:val="singleLevel"/>
    <w:tmpl w:val="544517C4"/>
    <w:lvl w:ilvl="0" w:tentative="0">
      <w:start w:val="1"/>
      <w:numFmt w:val="chineseCounting"/>
      <w:suff w:val="nothing"/>
      <w:lvlText w:val="（%1）"/>
      <w:lvlJc w:val="left"/>
      <w:rPr>
        <w:rFonts w:hint="eastAsia"/>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D5C7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40" w:firstLineChars="200"/>
      <w:jc w:val="both"/>
    </w:pPr>
    <w:rPr>
      <w:rFonts w:ascii="Times New Roman" w:hAnsi="Times New Roman" w:eastAsia="方正仿宋_GBK" w:cstheme="minorBidi"/>
      <w:kern w:val="2"/>
      <w:sz w:val="32"/>
      <w:szCs w:val="22"/>
      <w:lang w:val="en-US" w:eastAsia="zh-CN" w:bidi="ar-SA"/>
    </w:rPr>
  </w:style>
  <w:style w:type="paragraph" w:styleId="3">
    <w:name w:val="heading 1"/>
    <w:basedOn w:val="1"/>
    <w:next w:val="1"/>
    <w:qFormat/>
    <w:uiPriority w:val="0"/>
    <w:pPr>
      <w:keepNext/>
      <w:keepLines/>
      <w:spacing w:before="100" w:beforeLines="100" w:beforeAutospacing="0" w:afterLines="0" w:afterAutospacing="0" w:line="560" w:lineRule="exact"/>
      <w:ind w:firstLine="0" w:firstLineChars="0"/>
      <w:jc w:val="center"/>
      <w:outlineLvl w:val="0"/>
    </w:pPr>
    <w:rPr>
      <w:rFonts w:ascii="Arial" w:hAnsi="Arial" w:eastAsia="方正黑体_GBK"/>
      <w:kern w:val="44"/>
      <w:sz w:val="36"/>
    </w:rPr>
  </w:style>
  <w:style w:type="paragraph" w:styleId="4">
    <w:name w:val="heading 2"/>
    <w:basedOn w:val="1"/>
    <w:next w:val="1"/>
    <w:unhideWhenUsed/>
    <w:qFormat/>
    <w:uiPriority w:val="0"/>
    <w:pPr>
      <w:keepNext/>
      <w:keepLines/>
      <w:spacing w:before="100" w:beforeLines="100" w:beforeAutospacing="0" w:afterLines="0" w:afterAutospacing="0" w:line="560" w:lineRule="exact"/>
      <w:ind w:firstLine="0" w:firstLineChars="0"/>
      <w:jc w:val="left"/>
      <w:outlineLvl w:val="1"/>
    </w:pPr>
    <w:rPr>
      <w:rFonts w:ascii="Arial" w:hAnsi="Arial" w:eastAsia="方正黑体_GBK"/>
    </w:rPr>
  </w:style>
  <w:style w:type="character" w:default="1" w:styleId="13">
    <w:name w:val="Default Paragraph Font"/>
    <w:semiHidden/>
    <w:uiPriority w:val="0"/>
  </w:style>
  <w:style w:type="table" w:default="1" w:styleId="11">
    <w:name w:val="Normal Table"/>
    <w:semiHidden/>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5">
    <w:name w:val="Body Text"/>
    <w:basedOn w:val="1"/>
    <w:qFormat/>
    <w:uiPriority w:val="0"/>
    <w:pPr>
      <w:spacing w:after="120" w:afterLines="0" w:afterAutospacing="0"/>
    </w:pPr>
  </w:style>
  <w:style w:type="paragraph" w:styleId="6">
    <w:name w:val="footer"/>
    <w:basedOn w:val="1"/>
    <w:next w:val="7"/>
    <w:qFormat/>
    <w:uiPriority w:val="0"/>
    <w:pPr>
      <w:snapToGrid w:val="0"/>
      <w:jc w:val="left"/>
    </w:pPr>
    <w:rPr>
      <w:sz w:val="18"/>
    </w:rPr>
  </w:style>
  <w:style w:type="paragraph" w:customStyle="1" w:styleId="7">
    <w:name w:val="索引 51"/>
    <w:next w:val="1"/>
    <w:qFormat/>
    <w:uiPriority w:val="0"/>
    <w:pPr>
      <w:widowControl w:val="0"/>
      <w:ind w:left="1680"/>
      <w:jc w:val="both"/>
    </w:pPr>
    <w:rPr>
      <w:rFonts w:ascii="Calibri" w:hAnsi="Calibri" w:eastAsia="宋体" w:cs="Times New Roman"/>
      <w:kern w:val="2"/>
      <w:sz w:val="21"/>
      <w:szCs w:val="24"/>
      <w:lang w:val="en-US" w:eastAsia="zh-CN" w:bidi="ar-SA"/>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qFormat/>
    <w:uiPriority w:val="99"/>
    <w:pPr>
      <w:widowControl w:val="0"/>
      <w:spacing w:before="100" w:beforeAutospacing="1" w:after="100" w:afterAutospacing="1"/>
    </w:pPr>
    <w:rPr>
      <w:rFonts w:ascii="Calibri" w:hAnsi="Calibri" w:eastAsia="宋体" w:cs="Times New Roman"/>
      <w:sz w:val="24"/>
      <w:szCs w:val="24"/>
      <w:lang w:val="en-US" w:eastAsia="zh-CN" w:bidi="ar-SA"/>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表格内容"/>
    <w:basedOn w:val="1"/>
    <w:qFormat/>
    <w:uiPriority w:val="0"/>
    <w:pPr>
      <w:widowControl/>
      <w:adjustRightInd w:val="0"/>
      <w:snapToGrid w:val="0"/>
      <w:jc w:val="center"/>
    </w:pPr>
    <w:rPr>
      <w:rFonts w:ascii="方正仿宋_GBK" w:hAnsi="宋体" w:eastAsia="方正仿宋_GBK" w:cs="Times New Roman"/>
      <w:color w:val="000000"/>
      <w:kern w:val="0"/>
      <w:sz w:val="24"/>
      <w:szCs w:val="24"/>
    </w:rPr>
  </w:style>
  <w:style w:type="paragraph" w:customStyle="1" w:styleId="15">
    <w:name w:val="表格文字"/>
    <w:basedOn w:val="1"/>
    <w:qFormat/>
    <w:uiPriority w:val="0"/>
    <w:pPr>
      <w:adjustRightInd w:val="0"/>
      <w:snapToGrid w:val="0"/>
      <w:jc w:val="center"/>
    </w:pPr>
    <w:rPr>
      <w:rFonts w:ascii="方正仿宋_GBK" w:hAnsi="宋体" w:eastAsia="方正仿宋_GBK"/>
      <w:sz w:val="24"/>
      <w:szCs w:val="24"/>
    </w:rPr>
  </w:style>
  <w:style w:type="table" w:customStyle="1" w:styleId="16">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2025-06-06T07:29:00Z</dcterms:created>
  <dc:creator>Administrator</dc:creator>
  <cp:lastModifiedBy>Administrator</cp:lastModifiedBy>
  <dcterms:modified xsi:type="dcterms:W3CDTF">2025-06-06T07:31:31Z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