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before="100" w:beforeAutospacing="1" w:line="360" w:lineRule="auto"/>
        <w:jc w:val="center"/>
        <w:rPr>
          <w:rFonts w:ascii="宋体" w:hAnsi="宋体" w:eastAsia="宋体" w:cs="宋体"/>
          <w:b/>
          <w:sz w:val="44"/>
        </w:rPr>
      </w:pPr>
      <w:r>
        <w:rPr>
          <w:rFonts w:ascii="宋体" w:hAnsi="宋体" w:eastAsia="宋体" w:cs="宋体"/>
          <w:b/>
          <w:sz w:val="44"/>
        </w:rPr>
        <w:pict>
          <v:shape id="WordArt: Plain Text 7" o:spid="_x0000_s1026" o:spt="136" type="#_x0000_t136" style="position:absolute;left:0pt;margin-left:-10.65pt;margin-top:28.05pt;height:70.85pt;width:471.3pt;z-index:251658240;mso-width-relative:page;mso-height-relative:page;" fillcolor="#000000" filled="t" o:preferrelative="t" stroked="f" coordsize="21600,21600">
            <v:path/>
            <v:fill on="t" focussize="0,0"/>
            <v:stroke on="f"/>
            <v:imagedata o:title=""/>
            <o:lock v:ext="edit" text="f"/>
            <v:textpath on="t" fitshape="t" fitpath="t" trim="t" xscale="f" string="重庆开睿源会计师事务所有限公司" style="font-family:华文行楷;font-size:32pt;v-text-align:center;"/>
            <v:shadow on="t" color="#C0C0C0"/>
          </v:shape>
        </w:pict>
      </w:r>
    </w:p>
    <w:p>
      <w:pPr>
        <w:autoSpaceDE w:val="0"/>
        <w:autoSpaceDN w:val="0"/>
        <w:snapToGrid w:val="0"/>
        <w:spacing w:before="100" w:beforeAutospacing="1" w:line="360" w:lineRule="auto"/>
        <w:jc w:val="center"/>
        <w:rPr>
          <w:rFonts w:ascii="宋体" w:hAnsi="宋体" w:eastAsia="宋体" w:cs="宋体"/>
          <w:b/>
          <w:sz w:val="44"/>
        </w:rPr>
      </w:pPr>
    </w:p>
    <w:p>
      <w:pPr>
        <w:ind w:firstLine="132" w:firstLineChars="50"/>
        <w:jc w:val="center"/>
        <w:rPr>
          <w:spacing w:val="12"/>
          <w:sz w:val="24"/>
        </w:rPr>
      </w:pPr>
    </w:p>
    <w:p>
      <w:pPr>
        <w:ind w:firstLine="132" w:firstLineChars="50"/>
        <w:jc w:val="center"/>
        <w:rPr>
          <w:spacing w:val="12"/>
        </w:rPr>
      </w:pPr>
      <w:r>
        <w:rPr>
          <w:rFonts w:hint="eastAsia"/>
          <w:spacing w:val="12"/>
          <w:sz w:val="24"/>
        </w:rPr>
        <w:t>CHONGQING KAIRUIYUAN CERTIFIED PUBLIC ACCOUNTANTS CO.,LTD</w:t>
      </w:r>
      <w:r>
        <w:rPr>
          <w:rFonts w:hint="eastAsia"/>
          <w:spacing w:val="12"/>
        </w:rPr>
        <w:t>.</w:t>
      </w:r>
    </w:p>
    <w:p>
      <w:pPr>
        <w:spacing w:line="440" w:lineRule="exact"/>
        <w:jc w:val="center"/>
        <w:rPr>
          <w:rFonts w:ascii="仿宋_GB2312" w:eastAsia="仿宋_GB2312" w:hAnsiTheme="minorEastAsia"/>
          <w:szCs w:val="21"/>
        </w:rPr>
      </w:pPr>
      <w:r>
        <w:rPr>
          <w:rFonts w:hint="eastAsia" w:ascii="仿宋_GB2312" w:eastAsia="仿宋_GB2312" w:hAnsiTheme="minorEastAsia"/>
          <w:szCs w:val="21"/>
        </w:rPr>
        <w:t>渝开睿源专审字[2020]第</w:t>
      </w:r>
      <w:r>
        <w:rPr>
          <w:rFonts w:ascii="PingFangSC-Regular" w:hAnsi="PingFangSC-Regular"/>
          <w:color w:val="304265"/>
          <w:sz w:val="19"/>
          <w:szCs w:val="19"/>
          <w:shd w:val="clear" w:color="auto" w:fill="FFFFFF"/>
        </w:rPr>
        <w:t>091</w:t>
      </w:r>
      <w:r>
        <w:rPr>
          <w:rFonts w:hint="eastAsia" w:ascii="仿宋_GB2312" w:eastAsia="仿宋_GB2312" w:hAnsiTheme="minorEastAsia"/>
          <w:szCs w:val="21"/>
        </w:rPr>
        <w:t>号</w:t>
      </w:r>
    </w:p>
    <w:p>
      <w:pPr>
        <w:autoSpaceDE w:val="0"/>
        <w:autoSpaceDN w:val="0"/>
        <w:snapToGrid w:val="0"/>
        <w:spacing w:before="100" w:beforeAutospacing="1" w:line="360" w:lineRule="auto"/>
        <w:jc w:val="center"/>
        <w:rPr>
          <w:rFonts w:ascii="黑体" w:hAnsi="黑体" w:eastAsia="黑体" w:cs="黑体"/>
          <w:b/>
          <w:sz w:val="36"/>
          <w:szCs w:val="36"/>
        </w:rPr>
      </w:pPr>
      <w:r>
        <w:rPr>
          <w:rFonts w:ascii="黑体" w:hAnsi="黑体" w:eastAsia="黑体" w:cs="黑体"/>
          <w:b/>
          <w:sz w:val="36"/>
          <w:szCs w:val="36"/>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152400</wp:posOffset>
                </wp:positionV>
                <wp:extent cx="5605780" cy="0"/>
                <wp:effectExtent l="0" t="0" r="0" b="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605780"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16.5pt;margin-top:12pt;height:0pt;width:441.4pt;z-index:251660288;mso-width-relative:page;mso-height-relative:page;" filled="f" stroked="t" coordsize="21600,21600" o:gfxdata="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WTHm9cAAAAJAQAADwAAAAAAAAABACAAAAAiAAAAZHJzL2Rvd25yZXYueG1sUEsBAhQAFAAAAAgA&#10;h07iQN1fKiW0AQAAXwMAAA4AAAAAAAAAAQAgAAAAJgEAAGRycy9lMm9Eb2MueG1sUEsFBgAAAAAG&#10;AAYAWQEAAEwFAAAAAA==&#10;">
                <v:fill on="f" focussize="0,0"/>
                <v:stroke color="#000000" joinstyle="round"/>
                <v:imagedata o:title=""/>
                <o:lock v:ext="edit" aspectratio="f"/>
              </v:line>
            </w:pict>
          </mc:Fallback>
        </mc:AlternateContent>
      </w:r>
    </w:p>
    <w:p>
      <w:pPr>
        <w:autoSpaceDE w:val="0"/>
        <w:autoSpaceDN w:val="0"/>
        <w:snapToGrid w:val="0"/>
        <w:spacing w:before="100" w:beforeAutospacing="1" w:line="360" w:lineRule="auto"/>
        <w:jc w:val="center"/>
        <w:rPr>
          <w:rFonts w:ascii="黑体" w:hAnsi="黑体" w:eastAsia="黑体" w:cs="黑体"/>
          <w:b/>
          <w:sz w:val="36"/>
          <w:szCs w:val="36"/>
        </w:rPr>
      </w:pPr>
      <w:r>
        <w:rPr>
          <w:rFonts w:hint="eastAsia" w:ascii="黑体" w:hAnsi="黑体" w:eastAsia="黑体" w:cs="黑体"/>
          <w:b/>
          <w:sz w:val="36"/>
          <w:szCs w:val="36"/>
        </w:rPr>
        <w:t>垫江县环境卫生管理所</w:t>
      </w:r>
    </w:p>
    <w:p>
      <w:pPr>
        <w:autoSpaceDE w:val="0"/>
        <w:autoSpaceDN w:val="0"/>
        <w:snapToGrid w:val="0"/>
        <w:spacing w:before="100" w:beforeAutospacing="1" w:line="360" w:lineRule="auto"/>
        <w:jc w:val="center"/>
        <w:rPr>
          <w:rFonts w:ascii="黑体" w:hAnsi="黑体" w:eastAsia="黑体" w:cs="黑体"/>
          <w:b/>
          <w:sz w:val="36"/>
          <w:szCs w:val="36"/>
        </w:rPr>
      </w:pPr>
      <w:r>
        <w:rPr>
          <w:rFonts w:hint="eastAsia" w:ascii="黑体" w:hAnsi="黑体" w:eastAsia="黑体" w:cs="黑体"/>
          <w:b/>
          <w:sz w:val="36"/>
          <w:szCs w:val="36"/>
        </w:rPr>
        <w:t>农村生活垃圾中段收运和末端转运项目</w:t>
      </w:r>
    </w:p>
    <w:p>
      <w:pPr>
        <w:autoSpaceDE w:val="0"/>
        <w:autoSpaceDN w:val="0"/>
        <w:snapToGrid w:val="0"/>
        <w:spacing w:before="100" w:beforeAutospacing="1" w:line="360" w:lineRule="auto"/>
        <w:jc w:val="center"/>
        <w:rPr>
          <w:rFonts w:ascii="黑体" w:hAnsi="黑体" w:eastAsia="黑体" w:cs="黑体"/>
          <w:b/>
          <w:sz w:val="36"/>
          <w:szCs w:val="36"/>
        </w:rPr>
      </w:pPr>
      <w:r>
        <w:rPr>
          <w:rFonts w:hint="eastAsia" w:ascii="黑体" w:hAnsi="黑体" w:eastAsia="黑体" w:cs="黑体"/>
          <w:b/>
          <w:sz w:val="36"/>
          <w:szCs w:val="36"/>
        </w:rPr>
        <w:t>财政支出绩效评价报告</w:t>
      </w:r>
    </w:p>
    <w:p>
      <w:pPr>
        <w:autoSpaceDE w:val="0"/>
        <w:autoSpaceDN w:val="0"/>
        <w:snapToGrid w:val="0"/>
        <w:spacing w:before="2160" w:line="400" w:lineRule="exact"/>
        <w:ind w:left="198"/>
        <w:jc w:val="left"/>
        <w:rPr>
          <w:rFonts w:ascii="黑体" w:hAnsi="黑体" w:eastAsia="黑体" w:cs="黑体"/>
          <w:sz w:val="32"/>
        </w:rPr>
      </w:pPr>
      <w:r>
        <w:rPr>
          <w:rFonts w:ascii="黑体" w:hAnsi="黑体" w:eastAsia="黑体" w:cs="黑体"/>
          <w:spacing w:val="-1"/>
          <w:sz w:val="32"/>
        </w:rPr>
        <w:t>项目名称</w:t>
      </w:r>
      <w:r>
        <w:rPr>
          <w:rFonts w:ascii="黑体" w:hAnsi="黑体" w:eastAsia="黑体" w:cs="黑体"/>
          <w:spacing w:val="-7"/>
          <w:sz w:val="32"/>
        </w:rPr>
        <w:t>：</w:t>
      </w:r>
      <w:r>
        <w:rPr>
          <w:rFonts w:hint="eastAsia" w:ascii="黑体" w:hAnsi="黑体" w:eastAsia="黑体" w:cs="宋体"/>
          <w:sz w:val="32"/>
        </w:rPr>
        <w:t>农村生活垃圾中段收运和末端转运项目</w:t>
      </w:r>
    </w:p>
    <w:p>
      <w:pPr>
        <w:autoSpaceDE w:val="0"/>
        <w:autoSpaceDN w:val="0"/>
        <w:snapToGrid w:val="0"/>
        <w:spacing w:before="75" w:line="400" w:lineRule="exact"/>
        <w:ind w:left="200"/>
        <w:jc w:val="left"/>
        <w:rPr>
          <w:rFonts w:ascii="黑体" w:hAnsi="黑体" w:eastAsia="黑体" w:cs="黑体"/>
          <w:sz w:val="32"/>
        </w:rPr>
      </w:pPr>
      <w:r>
        <w:rPr>
          <w:rFonts w:ascii="黑体" w:hAnsi="黑体" w:eastAsia="黑体" w:cs="黑体"/>
          <w:sz w:val="32"/>
        </w:rPr>
        <w:t>项目单位：</w:t>
      </w:r>
      <w:r>
        <w:rPr>
          <w:rFonts w:hint="eastAsia" w:ascii="黑体" w:hAnsi="黑体" w:eastAsia="黑体" w:cs="黑体"/>
          <w:sz w:val="32"/>
        </w:rPr>
        <w:t>垫江县环境卫生管理所</w:t>
      </w:r>
    </w:p>
    <w:p>
      <w:pPr>
        <w:autoSpaceDE w:val="0"/>
        <w:autoSpaceDN w:val="0"/>
        <w:snapToGrid w:val="0"/>
        <w:spacing w:before="78" w:line="400" w:lineRule="exact"/>
        <w:ind w:left="200"/>
        <w:jc w:val="left"/>
        <w:rPr>
          <w:rFonts w:ascii="黑体" w:hAnsi="黑体" w:eastAsia="黑体" w:cs="黑体"/>
          <w:sz w:val="32"/>
        </w:rPr>
      </w:pPr>
      <w:r>
        <w:rPr>
          <w:rFonts w:ascii="黑体" w:hAnsi="黑体" w:eastAsia="黑体" w:cs="黑体"/>
          <w:sz w:val="32"/>
        </w:rPr>
        <w:t>主管部门：</w:t>
      </w:r>
      <w:r>
        <w:rPr>
          <w:rFonts w:hint="eastAsia" w:ascii="黑体" w:hAnsi="黑体" w:eastAsia="黑体" w:cs="黑体"/>
          <w:sz w:val="32"/>
        </w:rPr>
        <w:t>垫江县城市管理局</w:t>
      </w:r>
    </w:p>
    <w:p>
      <w:pPr>
        <w:autoSpaceDE w:val="0"/>
        <w:autoSpaceDN w:val="0"/>
        <w:snapToGrid w:val="0"/>
        <w:spacing w:before="78" w:line="400" w:lineRule="exact"/>
        <w:ind w:left="200"/>
        <w:jc w:val="left"/>
        <w:rPr>
          <w:rFonts w:hint="eastAsia" w:ascii="黑体" w:hAnsi="黑体" w:eastAsia="黑体" w:cs="黑体"/>
          <w:sz w:val="32"/>
          <w:lang w:eastAsia="zh-CN"/>
        </w:rPr>
      </w:pPr>
      <w:r>
        <w:rPr>
          <w:rFonts w:ascii="黑体" w:hAnsi="黑体" w:eastAsia="黑体" w:cs="黑体"/>
          <w:sz w:val="32"/>
        </w:rPr>
        <w:t>委托部门：</w:t>
      </w:r>
      <w:r>
        <w:rPr>
          <w:rFonts w:hint="eastAsia" w:ascii="黑体" w:hAnsi="黑体" w:eastAsia="黑体" w:cs="黑体"/>
          <w:sz w:val="32"/>
        </w:rPr>
        <w:t>垫江县预算绩效管理中心</w:t>
      </w:r>
    </w:p>
    <w:p>
      <w:pPr>
        <w:autoSpaceDE w:val="0"/>
        <w:autoSpaceDN w:val="0"/>
        <w:snapToGrid w:val="0"/>
        <w:spacing w:before="78" w:line="400" w:lineRule="exact"/>
        <w:ind w:left="200"/>
        <w:jc w:val="left"/>
        <w:rPr>
          <w:rFonts w:ascii="黑体" w:hAnsi="黑体" w:eastAsia="黑体" w:cs="黑体"/>
          <w:sz w:val="32"/>
        </w:rPr>
      </w:pPr>
      <w:r>
        <w:rPr>
          <w:rFonts w:ascii="黑体" w:hAnsi="黑体" w:eastAsia="黑体" w:cs="黑体"/>
          <w:sz w:val="32"/>
        </w:rPr>
        <w:t>评价机构：</w:t>
      </w:r>
      <w:r>
        <w:rPr>
          <w:rFonts w:hint="eastAsia" w:ascii="黑体" w:hAnsi="黑体" w:eastAsia="黑体" w:cs="黑体"/>
          <w:sz w:val="32"/>
        </w:rPr>
        <w:t>重庆开睿源会计师事务所</w:t>
      </w:r>
      <w:r>
        <w:rPr>
          <w:rFonts w:ascii="黑体" w:hAnsi="黑体" w:eastAsia="黑体" w:cs="黑体"/>
          <w:sz w:val="32"/>
        </w:rPr>
        <w:t>有限公司</w:t>
      </w:r>
    </w:p>
    <w:p>
      <w:pPr>
        <w:widowControl/>
        <w:jc w:val="center"/>
        <w:rPr>
          <w:spacing w:val="1"/>
          <w:sz w:val="32"/>
        </w:rPr>
      </w:pPr>
    </w:p>
    <w:p>
      <w:pPr>
        <w:widowControl/>
        <w:jc w:val="center"/>
        <w:rPr>
          <w:spacing w:val="1"/>
          <w:sz w:val="32"/>
        </w:rPr>
      </w:pPr>
    </w:p>
    <w:p>
      <w:pPr>
        <w:widowControl/>
        <w:jc w:val="center"/>
        <w:rPr>
          <w:rFonts w:ascii="黑体" w:hAnsi="黑体" w:eastAsia="黑体" w:cs="黑体"/>
          <w:sz w:val="32"/>
        </w:rPr>
      </w:pPr>
      <w:r>
        <w:rPr>
          <w:rFonts w:eastAsia="Times New Roman"/>
          <w:spacing w:val="1"/>
          <w:sz w:val="32"/>
        </w:rPr>
        <w:t>2020</w:t>
      </w:r>
      <w:r>
        <w:rPr>
          <w:rFonts w:ascii="黑体" w:hAnsi="黑体" w:eastAsia="黑体" w:cs="黑体"/>
          <w:spacing w:val="40"/>
          <w:sz w:val="32"/>
        </w:rPr>
        <w:t>年</w:t>
      </w:r>
      <w:r>
        <w:rPr>
          <w:rFonts w:eastAsia="Times New Roman"/>
          <w:spacing w:val="78"/>
          <w:sz w:val="32"/>
        </w:rPr>
        <w:t>10</w:t>
      </w:r>
      <w:r>
        <w:rPr>
          <w:rFonts w:ascii="黑体" w:hAnsi="黑体" w:eastAsia="黑体" w:cs="黑体"/>
          <w:sz w:val="32"/>
        </w:rPr>
        <w:t>月</w:t>
      </w:r>
    </w:p>
    <w:p>
      <w:pPr>
        <w:widowControl/>
        <w:jc w:val="center"/>
        <w:rPr>
          <w:rFonts w:ascii="黑体" w:hAnsi="黑体" w:eastAsia="黑体" w:cs="黑体"/>
          <w:sz w:val="32"/>
        </w:rPr>
      </w:pPr>
    </w:p>
    <w:p>
      <w:pPr>
        <w:widowControl/>
        <w:jc w:val="center"/>
        <w:rPr>
          <w:rFonts w:ascii="黑体" w:hAnsi="黑体" w:eastAsia="黑体" w:cs="黑体"/>
          <w:sz w:val="32"/>
        </w:rPr>
      </w:pPr>
    </w:p>
    <w:p>
      <w:pPr>
        <w:widowControl/>
        <w:jc w:val="center"/>
        <w:rPr>
          <w:rFonts w:ascii="黑体" w:hAnsi="黑体" w:eastAsia="黑体" w:cs="黑体"/>
          <w:sz w:val="32"/>
        </w:rPr>
        <w:sectPr>
          <w:footerReference r:id="rId3" w:type="default"/>
          <w:footnotePr>
            <w:numStart w:val="0"/>
          </w:footnotePr>
          <w:endnotePr>
            <w:numFmt w:val="decimal"/>
            <w:numStart w:val="0"/>
          </w:endnotePr>
          <w:pgSz w:w="11906" w:h="16838"/>
          <w:pgMar w:top="1134" w:right="1134" w:bottom="1134" w:left="1418" w:header="0" w:footer="624" w:gutter="0"/>
          <w:pgNumType w:start="0"/>
          <w:cols w:space="720" w:num="1"/>
          <w:docGrid w:linePitch="286" w:charSpace="0"/>
        </w:sectPr>
      </w:pPr>
      <w:r>
        <w:rPr>
          <w:rFonts w:ascii="黑体" w:hAnsi="黑体" w:eastAsia="黑体" w:cs="黑体"/>
          <w:sz w:val="32"/>
        </w:rPr>
        <w:br w:type="page"/>
      </w:r>
    </w:p>
    <w:p>
      <w:pPr>
        <w:autoSpaceDE w:val="0"/>
        <w:autoSpaceDN w:val="0"/>
        <w:snapToGrid w:val="0"/>
        <w:spacing w:before="2" w:line="400" w:lineRule="exact"/>
        <w:jc w:val="center"/>
        <w:rPr>
          <w:rFonts w:ascii="黑体" w:hAnsi="黑体" w:eastAsia="黑体" w:cs="黑体"/>
          <w:sz w:val="32"/>
        </w:rPr>
      </w:pPr>
      <w:r>
        <w:rPr>
          <w:rFonts w:ascii="黑体" w:hAnsi="黑体" w:eastAsia="黑体" w:cs="黑体"/>
          <w:sz w:val="32"/>
        </w:rPr>
        <w:t>摘 要</w:t>
      </w:r>
    </w:p>
    <w:p>
      <w:pPr>
        <w:autoSpaceDE w:val="0"/>
        <w:autoSpaceDN w:val="0"/>
        <w:snapToGrid w:val="0"/>
        <w:spacing w:beforeLines="150" w:line="360" w:lineRule="auto"/>
        <w:ind w:firstLine="484" w:firstLineChars="202"/>
        <w:rPr>
          <w:rFonts w:ascii="仿宋_GB2312" w:eastAsia="仿宋_GB2312" w:cs="仿宋_GB2312" w:hAnsiTheme="minorEastAsia"/>
          <w:sz w:val="24"/>
          <w:szCs w:val="24"/>
        </w:rPr>
      </w:pPr>
      <w:r>
        <w:rPr>
          <w:rFonts w:hint="eastAsia" w:ascii="仿宋_GB2312" w:eastAsia="仿宋_GB2312" w:cs="仿宋_GB2312" w:hAnsiTheme="minorEastAsia"/>
          <w:sz w:val="24"/>
          <w:szCs w:val="24"/>
        </w:rPr>
        <w:t>根据</w:t>
      </w:r>
      <w:bookmarkStart w:id="0" w:name="_Hlk52916963"/>
      <w:r>
        <w:rPr>
          <w:rFonts w:hint="eastAsia" w:ascii="仿宋_GB2312" w:eastAsia="仿宋_GB2312" w:cs="仿宋_GB2312" w:hAnsiTheme="minorEastAsia"/>
          <w:sz w:val="24"/>
          <w:szCs w:val="24"/>
        </w:rPr>
        <w:t>《重庆市财政局关于印发&lt;重庆市市级政策和项目预算绩效管理办法（试行）&gt;的通知》（渝财绩〔2019〕19号）</w:t>
      </w:r>
      <w:bookmarkEnd w:id="0"/>
      <w:r>
        <w:rPr>
          <w:rFonts w:hint="eastAsia" w:ascii="仿宋_GB2312" w:eastAsia="仿宋_GB2312" w:cs="仿宋_GB2312" w:hAnsiTheme="minorEastAsia"/>
          <w:sz w:val="24"/>
          <w:szCs w:val="24"/>
        </w:rPr>
        <w:t>的要求</w:t>
      </w:r>
      <w:r>
        <w:rPr>
          <w:rFonts w:hint="eastAsia" w:ascii="仿宋_GB2312" w:eastAsia="仿宋_GB2312" w:cs="仿宋_GB2312" w:hAnsiTheme="minorEastAsia"/>
          <w:spacing w:val="-1"/>
          <w:sz w:val="24"/>
          <w:szCs w:val="24"/>
        </w:rPr>
        <w:t>，垫江县预算绩效管理中心</w:t>
      </w:r>
      <w:r>
        <w:rPr>
          <w:rFonts w:hint="eastAsia" w:ascii="仿宋_GB2312" w:eastAsia="仿宋_GB2312" w:cs="仿宋_GB2312" w:hAnsiTheme="minorEastAsia"/>
          <w:sz w:val="24"/>
          <w:szCs w:val="24"/>
        </w:rPr>
        <w:t>对2019年农村生活垃圾中段收运和末端转运项目展开绩效评价。重庆开睿源会计师事务所有限公司受垫江县预算绩效管理中心委托，对本项目进行具体评价，形成评价报告。</w:t>
      </w:r>
    </w:p>
    <w:p>
      <w:pPr>
        <w:pStyle w:val="17"/>
        <w:numPr>
          <w:ilvl w:val="0"/>
          <w:numId w:val="3"/>
        </w:numPr>
        <w:autoSpaceDE w:val="0"/>
        <w:autoSpaceDN w:val="0"/>
        <w:snapToGrid w:val="0"/>
        <w:spacing w:before="50" w:line="360" w:lineRule="auto"/>
        <w:ind w:firstLineChars="0"/>
        <w:jc w:val="left"/>
        <w:rPr>
          <w:rFonts w:ascii="仿宋_GB2312" w:eastAsia="仿宋_GB2312" w:cs="仿宋_GB2312" w:hAnsiTheme="minorEastAsia"/>
          <w:b/>
          <w:bCs/>
          <w:sz w:val="24"/>
          <w:szCs w:val="24"/>
        </w:rPr>
      </w:pPr>
      <w:r>
        <w:rPr>
          <w:rFonts w:hint="eastAsia" w:ascii="仿宋_GB2312" w:eastAsia="仿宋_GB2312" w:cs="仿宋_GB2312" w:hAnsiTheme="minorEastAsia"/>
          <w:b/>
          <w:bCs/>
          <w:sz w:val="24"/>
          <w:szCs w:val="24"/>
        </w:rPr>
        <w:t>概 述</w:t>
      </w:r>
    </w:p>
    <w:p>
      <w:pPr>
        <w:pStyle w:val="17"/>
        <w:autoSpaceDE w:val="0"/>
        <w:autoSpaceDN w:val="0"/>
        <w:snapToGrid w:val="0"/>
        <w:spacing w:before="50" w:line="360" w:lineRule="auto"/>
        <w:ind w:firstLine="424" w:firstLineChars="177"/>
        <w:rPr>
          <w:rFonts w:ascii="仿宋_GB2312" w:eastAsia="仿宋_GB2312" w:cs="仿宋_GB2312" w:hAnsiTheme="minorEastAsia"/>
          <w:bCs/>
          <w:sz w:val="24"/>
          <w:szCs w:val="24"/>
        </w:rPr>
      </w:pPr>
      <w:r>
        <w:rPr>
          <w:rFonts w:hint="eastAsia" w:ascii="仿宋_GB2312" w:eastAsia="仿宋_GB2312" w:cs="仿宋_GB2312" w:hAnsiTheme="minorEastAsia"/>
          <w:bCs/>
          <w:sz w:val="24"/>
          <w:szCs w:val="24"/>
        </w:rPr>
        <w:t>根据《垫江县人民政府办公室关于印发垫江县农村生活垃圾治理工作实施方案（2016-2018年）的通知》(垫江府办发</w:t>
      </w:r>
      <w:r>
        <w:rPr>
          <w:rFonts w:hint="eastAsia" w:ascii="仿宋_GB2312" w:eastAsia="仿宋_GB2312" w:hAnsiTheme="majorEastAsia"/>
          <w:sz w:val="24"/>
          <w:szCs w:val="24"/>
        </w:rPr>
        <w:t>〔2016〕5号)</w:t>
      </w:r>
      <w:r>
        <w:rPr>
          <w:rFonts w:hint="eastAsia" w:ascii="仿宋_GB2312" w:eastAsia="仿宋_GB2312" w:cs="仿宋_GB2312" w:hAnsiTheme="minorEastAsia"/>
          <w:bCs/>
          <w:sz w:val="24"/>
          <w:szCs w:val="24"/>
        </w:rPr>
        <w:t>和《重庆市垫江县乡镇（街道）、农村生活垃圾中段收运和末端转运项目协议书》，本项目主管单位为垫江县城市管理局，主要职责为负责全县农村生活垃圾治理工作的统筹协调、指导、监督考核及其他日常工作。项目实施单位为垫江县环境卫生管理所，负责垃圾收运转运计量、付费等工作。</w:t>
      </w:r>
    </w:p>
    <w:p>
      <w:pPr>
        <w:pStyle w:val="17"/>
        <w:autoSpaceDE w:val="0"/>
        <w:autoSpaceDN w:val="0"/>
        <w:snapToGrid w:val="0"/>
        <w:spacing w:before="50" w:line="360" w:lineRule="auto"/>
        <w:ind w:firstLine="424" w:firstLineChars="177"/>
        <w:rPr>
          <w:rFonts w:ascii="仿宋_GB2312" w:eastAsia="仿宋_GB2312" w:cs="仿宋_GB2312" w:hAnsiTheme="minorEastAsia"/>
          <w:bCs/>
          <w:sz w:val="24"/>
          <w:szCs w:val="24"/>
        </w:rPr>
      </w:pPr>
      <w:r>
        <w:rPr>
          <w:rFonts w:hint="eastAsia" w:ascii="仿宋_GB2312" w:eastAsia="仿宋_GB2312" w:cs="仿宋_GB2312" w:hAnsiTheme="minorEastAsia"/>
          <w:bCs/>
          <w:sz w:val="24"/>
          <w:szCs w:val="24"/>
        </w:rPr>
        <w:t>农村生活垃圾收运转运的范围包括新民镇、沙坪镇、周嘉镇、普顺镇、永安镇、高安镇、高峰镇、五洞镇、澄溪镇、太平镇、鹤游镇、坪山镇、砚台镇、曹回镇、杠家镇、包家镇、白家镇、永平镇、三溪镇、裴兴镇、长龙镇、新民镇、黄沙镇、沙河乡、大石乡24个乡镇场镇和农村的生活垃圾中段收运和末端转运。（本次评价未包括桂溪街道、桂阳街道）。</w:t>
      </w:r>
    </w:p>
    <w:p>
      <w:pPr>
        <w:pStyle w:val="17"/>
        <w:numPr>
          <w:ilvl w:val="0"/>
          <w:numId w:val="3"/>
        </w:numPr>
        <w:autoSpaceDE w:val="0"/>
        <w:autoSpaceDN w:val="0"/>
        <w:snapToGrid w:val="0"/>
        <w:spacing w:before="50" w:line="360" w:lineRule="auto"/>
        <w:ind w:firstLineChars="0"/>
        <w:jc w:val="left"/>
        <w:rPr>
          <w:rFonts w:ascii="仿宋_GB2312" w:eastAsia="仿宋_GB2312" w:cs="仿宋_GB2312" w:hAnsiTheme="minorEastAsia"/>
          <w:b/>
          <w:bCs/>
          <w:sz w:val="24"/>
          <w:szCs w:val="24"/>
        </w:rPr>
      </w:pPr>
      <w:r>
        <w:rPr>
          <w:rFonts w:ascii="仿宋_GB2312" w:eastAsia="仿宋_GB2312" w:cs="仿宋_GB2312" w:hAnsiTheme="minorEastAsia"/>
          <w:b/>
          <w:bCs/>
          <w:sz w:val="24"/>
          <w:szCs w:val="24"/>
        </w:rPr>
        <w:t>评价结论和绩效分析</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按照项目组设计并经相关部门确认的评价指标体系及评分标准，通过数据采集、问卷调查及访谈，对重庆市垫江县2019年农村生活垃圾中段收运和末端转运项目绩效进行客观评价，最终评分结果为91.5分。根据相关规定，其绩效评级为“优”。</w:t>
      </w:r>
    </w:p>
    <w:p>
      <w:pPr>
        <w:autoSpaceDE w:val="0"/>
        <w:autoSpaceDN w:val="0"/>
        <w:snapToGrid w:val="0"/>
        <w:spacing w:before="100" w:beforeAutospacing="1" w:line="360" w:lineRule="auto"/>
        <w:ind w:firstLine="424" w:firstLineChars="177"/>
        <w:jc w:val="center"/>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各部分权重和绩效分值</w:t>
      </w:r>
    </w:p>
    <w:tbl>
      <w:tblPr>
        <w:tblStyle w:val="12"/>
        <w:tblW w:w="93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2"/>
        <w:gridCol w:w="1875"/>
        <w:gridCol w:w="1873"/>
        <w:gridCol w:w="1873"/>
        <w:gridCol w:w="1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20" w:hRule="atLeast"/>
        </w:trPr>
        <w:tc>
          <w:tcPr>
            <w:tcW w:w="1872" w:type="dxa"/>
            <w:vAlign w:val="center"/>
          </w:tcPr>
          <w:p>
            <w:pPr>
              <w:autoSpaceDE w:val="0"/>
              <w:autoSpaceDN w:val="0"/>
              <w:snapToGrid w:val="0"/>
              <w:spacing w:before="23" w:line="263" w:lineRule="exact"/>
              <w:ind w:left="583"/>
              <w:jc w:val="left"/>
              <w:rPr>
                <w:rFonts w:ascii="仿宋_GB2312" w:hAnsi="仿宋_GB2312" w:eastAsia="仿宋_GB2312" w:cs="仿宋_GB2312"/>
              </w:rPr>
            </w:pPr>
            <w:r>
              <w:rPr>
                <w:rFonts w:ascii="仿宋_GB2312" w:hAnsi="仿宋_GB2312" w:eastAsia="仿宋_GB2312" w:cs="仿宋_GB2312"/>
              </w:rPr>
              <w:t>指 标</w:t>
            </w:r>
          </w:p>
        </w:tc>
        <w:tc>
          <w:tcPr>
            <w:tcW w:w="1875" w:type="dxa"/>
            <w:vAlign w:val="center"/>
          </w:tcPr>
          <w:p>
            <w:pPr>
              <w:autoSpaceDE w:val="0"/>
              <w:autoSpaceDN w:val="0"/>
              <w:snapToGrid w:val="0"/>
              <w:spacing w:before="23" w:line="263" w:lineRule="exact"/>
              <w:ind w:left="319"/>
              <w:jc w:val="left"/>
              <w:rPr>
                <w:rFonts w:ascii="仿宋_GB2312" w:hAnsi="仿宋_GB2312" w:eastAsia="仿宋_GB2312" w:cs="仿宋_GB2312"/>
              </w:rPr>
            </w:pPr>
            <w:r>
              <w:rPr>
                <w:rFonts w:ascii="仿宋_GB2312" w:hAnsi="仿宋_GB2312" w:eastAsia="仿宋_GB2312" w:cs="仿宋_GB2312"/>
              </w:rPr>
              <w:t>项目决策类</w:t>
            </w:r>
          </w:p>
        </w:tc>
        <w:tc>
          <w:tcPr>
            <w:tcW w:w="1873" w:type="dxa"/>
            <w:vAlign w:val="center"/>
          </w:tcPr>
          <w:p>
            <w:pPr>
              <w:autoSpaceDE w:val="0"/>
              <w:autoSpaceDN w:val="0"/>
              <w:snapToGrid w:val="0"/>
              <w:spacing w:before="23" w:line="263" w:lineRule="exact"/>
              <w:ind w:left="319"/>
              <w:jc w:val="left"/>
              <w:rPr>
                <w:rFonts w:ascii="仿宋_GB2312" w:hAnsi="仿宋_GB2312" w:eastAsia="仿宋_GB2312" w:cs="仿宋_GB2312"/>
              </w:rPr>
            </w:pPr>
            <w:r>
              <w:rPr>
                <w:rFonts w:ascii="仿宋_GB2312" w:hAnsi="仿宋_GB2312" w:eastAsia="仿宋_GB2312" w:cs="仿宋_GB2312"/>
              </w:rPr>
              <w:t>项目管理类</w:t>
            </w:r>
          </w:p>
        </w:tc>
        <w:tc>
          <w:tcPr>
            <w:tcW w:w="1873" w:type="dxa"/>
            <w:vAlign w:val="center"/>
          </w:tcPr>
          <w:p>
            <w:pPr>
              <w:autoSpaceDE w:val="0"/>
              <w:autoSpaceDN w:val="0"/>
              <w:snapToGrid w:val="0"/>
              <w:spacing w:before="23" w:line="263" w:lineRule="exact"/>
              <w:ind w:left="319"/>
              <w:jc w:val="left"/>
              <w:rPr>
                <w:rFonts w:ascii="仿宋_GB2312" w:hAnsi="仿宋_GB2312" w:eastAsia="仿宋_GB2312" w:cs="仿宋_GB2312"/>
              </w:rPr>
            </w:pPr>
            <w:r>
              <w:rPr>
                <w:rFonts w:ascii="仿宋_GB2312" w:hAnsi="仿宋_GB2312" w:eastAsia="仿宋_GB2312" w:cs="仿宋_GB2312"/>
              </w:rPr>
              <w:t>项目绩效类</w:t>
            </w:r>
          </w:p>
        </w:tc>
        <w:tc>
          <w:tcPr>
            <w:tcW w:w="1871" w:type="dxa"/>
            <w:vAlign w:val="center"/>
          </w:tcPr>
          <w:p>
            <w:pPr>
              <w:autoSpaceDE w:val="0"/>
              <w:autoSpaceDN w:val="0"/>
              <w:snapToGrid w:val="0"/>
              <w:spacing w:before="23" w:line="263" w:lineRule="exact"/>
              <w:ind w:left="636"/>
              <w:jc w:val="left"/>
              <w:rPr>
                <w:rFonts w:ascii="仿宋_GB2312" w:hAnsi="仿宋_GB2312" w:eastAsia="仿宋_GB2312" w:cs="仿宋_GB2312"/>
              </w:rPr>
            </w:pPr>
            <w:r>
              <w:rPr>
                <w:rFonts w:ascii="仿宋_GB2312" w:hAnsi="仿宋_GB2312" w:eastAsia="仿宋_GB2312" w:cs="仿宋_GB2312"/>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20" w:hRule="atLeast"/>
        </w:trPr>
        <w:tc>
          <w:tcPr>
            <w:tcW w:w="1872" w:type="dxa"/>
            <w:vAlign w:val="center"/>
          </w:tcPr>
          <w:p>
            <w:pPr>
              <w:autoSpaceDE w:val="0"/>
              <w:autoSpaceDN w:val="0"/>
              <w:snapToGrid w:val="0"/>
              <w:spacing w:before="25" w:line="263" w:lineRule="exact"/>
              <w:ind w:left="583"/>
              <w:jc w:val="left"/>
              <w:rPr>
                <w:rFonts w:ascii="仿宋_GB2312" w:hAnsi="仿宋_GB2312" w:eastAsia="仿宋_GB2312" w:cs="仿宋_GB2312"/>
              </w:rPr>
            </w:pPr>
            <w:r>
              <w:rPr>
                <w:rFonts w:ascii="仿宋_GB2312" w:hAnsi="仿宋_GB2312" w:eastAsia="仿宋_GB2312" w:cs="仿宋_GB2312"/>
              </w:rPr>
              <w:t>权 重</w:t>
            </w:r>
          </w:p>
        </w:tc>
        <w:tc>
          <w:tcPr>
            <w:tcW w:w="1875" w:type="dxa"/>
            <w:vAlign w:val="center"/>
          </w:tcPr>
          <w:p>
            <w:pPr>
              <w:autoSpaceDE w:val="0"/>
              <w:autoSpaceDN w:val="0"/>
              <w:snapToGrid w:val="0"/>
              <w:spacing w:before="39"/>
              <w:ind w:left="742"/>
              <w:jc w:val="left"/>
              <w:rPr>
                <w:rFonts w:ascii="仿宋_GB2312" w:eastAsia="仿宋_GB2312"/>
              </w:rPr>
            </w:pPr>
            <w:r>
              <w:rPr>
                <w:rFonts w:hint="eastAsia" w:ascii="仿宋_GB2312" w:eastAsia="仿宋_GB2312"/>
              </w:rPr>
              <w:t>8</w:t>
            </w:r>
          </w:p>
        </w:tc>
        <w:tc>
          <w:tcPr>
            <w:tcW w:w="1873" w:type="dxa"/>
            <w:vAlign w:val="center"/>
          </w:tcPr>
          <w:p>
            <w:pPr>
              <w:autoSpaceDE w:val="0"/>
              <w:autoSpaceDN w:val="0"/>
              <w:snapToGrid w:val="0"/>
              <w:spacing w:before="39"/>
              <w:ind w:left="741"/>
              <w:jc w:val="left"/>
              <w:rPr>
                <w:rFonts w:ascii="仿宋_GB2312" w:eastAsia="仿宋_GB2312"/>
              </w:rPr>
            </w:pPr>
            <w:r>
              <w:rPr>
                <w:rFonts w:hint="eastAsia" w:ascii="仿宋_GB2312" w:eastAsia="仿宋_GB2312"/>
              </w:rPr>
              <w:t>26</w:t>
            </w:r>
          </w:p>
        </w:tc>
        <w:tc>
          <w:tcPr>
            <w:tcW w:w="1873" w:type="dxa"/>
            <w:vAlign w:val="center"/>
          </w:tcPr>
          <w:p>
            <w:pPr>
              <w:autoSpaceDE w:val="0"/>
              <w:autoSpaceDN w:val="0"/>
              <w:snapToGrid w:val="0"/>
              <w:spacing w:before="39"/>
              <w:ind w:left="741"/>
              <w:jc w:val="left"/>
              <w:rPr>
                <w:rFonts w:ascii="仿宋_GB2312" w:eastAsia="仿宋_GB2312"/>
              </w:rPr>
            </w:pPr>
            <w:r>
              <w:rPr>
                <w:rFonts w:hint="eastAsia" w:ascii="仿宋_GB2312" w:eastAsia="仿宋_GB2312"/>
              </w:rPr>
              <w:t>66</w:t>
            </w:r>
          </w:p>
        </w:tc>
        <w:tc>
          <w:tcPr>
            <w:tcW w:w="1871" w:type="dxa"/>
            <w:vAlign w:val="center"/>
          </w:tcPr>
          <w:p>
            <w:pPr>
              <w:autoSpaceDE w:val="0"/>
              <w:autoSpaceDN w:val="0"/>
              <w:snapToGrid w:val="0"/>
              <w:spacing w:before="39"/>
              <w:ind w:left="689"/>
              <w:jc w:val="left"/>
              <w:rPr>
                <w:rFonts w:ascii="仿宋_GB2312" w:eastAsia="仿宋_GB2312"/>
              </w:rPr>
            </w:pPr>
            <w:r>
              <w:rPr>
                <w:rFonts w:hint="eastAsia" w:ascii="仿宋_GB2312" w:eastAsia="仿宋_GB231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1872" w:type="dxa"/>
            <w:vAlign w:val="center"/>
          </w:tcPr>
          <w:p>
            <w:pPr>
              <w:autoSpaceDE w:val="0"/>
              <w:autoSpaceDN w:val="0"/>
              <w:snapToGrid w:val="0"/>
              <w:spacing w:before="23" w:line="263" w:lineRule="exact"/>
              <w:ind w:left="583"/>
              <w:jc w:val="left"/>
              <w:rPr>
                <w:rFonts w:ascii="仿宋_GB2312" w:hAnsi="仿宋_GB2312" w:eastAsia="仿宋_GB2312" w:cs="仿宋_GB2312"/>
              </w:rPr>
            </w:pPr>
            <w:r>
              <w:rPr>
                <w:rFonts w:ascii="仿宋_GB2312" w:hAnsi="仿宋_GB2312" w:eastAsia="仿宋_GB2312" w:cs="仿宋_GB2312"/>
              </w:rPr>
              <w:t>得 分</w:t>
            </w:r>
          </w:p>
        </w:tc>
        <w:tc>
          <w:tcPr>
            <w:tcW w:w="1875" w:type="dxa"/>
            <w:vAlign w:val="center"/>
          </w:tcPr>
          <w:p>
            <w:pPr>
              <w:autoSpaceDE w:val="0"/>
              <w:autoSpaceDN w:val="0"/>
              <w:snapToGrid w:val="0"/>
              <w:spacing w:before="39"/>
              <w:ind w:left="742"/>
              <w:jc w:val="left"/>
              <w:rPr>
                <w:rFonts w:ascii="仿宋_GB2312" w:eastAsia="仿宋_GB2312"/>
              </w:rPr>
            </w:pPr>
            <w:r>
              <w:rPr>
                <w:rFonts w:hint="eastAsia" w:ascii="仿宋_GB2312" w:eastAsia="仿宋_GB2312"/>
              </w:rPr>
              <w:t>8</w:t>
            </w:r>
          </w:p>
        </w:tc>
        <w:tc>
          <w:tcPr>
            <w:tcW w:w="1873" w:type="dxa"/>
            <w:vAlign w:val="center"/>
          </w:tcPr>
          <w:p>
            <w:pPr>
              <w:autoSpaceDE w:val="0"/>
              <w:autoSpaceDN w:val="0"/>
              <w:snapToGrid w:val="0"/>
              <w:spacing w:before="39"/>
              <w:ind w:left="741"/>
              <w:jc w:val="left"/>
              <w:rPr>
                <w:rFonts w:ascii="仿宋_GB2312" w:eastAsia="仿宋_GB2312"/>
              </w:rPr>
            </w:pPr>
            <w:r>
              <w:rPr>
                <w:rFonts w:hint="eastAsia" w:ascii="仿宋_GB2312" w:eastAsia="仿宋_GB2312"/>
              </w:rPr>
              <w:t>19.5</w:t>
            </w:r>
          </w:p>
        </w:tc>
        <w:tc>
          <w:tcPr>
            <w:tcW w:w="1873" w:type="dxa"/>
            <w:vAlign w:val="center"/>
          </w:tcPr>
          <w:p>
            <w:pPr>
              <w:autoSpaceDE w:val="0"/>
              <w:autoSpaceDN w:val="0"/>
              <w:snapToGrid w:val="0"/>
              <w:spacing w:before="39"/>
              <w:ind w:left="741"/>
              <w:jc w:val="left"/>
              <w:rPr>
                <w:rFonts w:ascii="仿宋_GB2312" w:eastAsia="仿宋_GB2312"/>
              </w:rPr>
            </w:pPr>
            <w:r>
              <w:rPr>
                <w:rFonts w:hint="eastAsia" w:ascii="仿宋_GB2312" w:eastAsia="仿宋_GB2312"/>
              </w:rPr>
              <w:t>64</w:t>
            </w:r>
          </w:p>
        </w:tc>
        <w:tc>
          <w:tcPr>
            <w:tcW w:w="1871" w:type="dxa"/>
            <w:vAlign w:val="center"/>
          </w:tcPr>
          <w:p>
            <w:pPr>
              <w:autoSpaceDE w:val="0"/>
              <w:autoSpaceDN w:val="0"/>
              <w:snapToGrid w:val="0"/>
              <w:spacing w:before="39"/>
              <w:ind w:left="742"/>
              <w:jc w:val="left"/>
              <w:rPr>
                <w:rFonts w:ascii="仿宋_GB2312" w:eastAsia="仿宋_GB2312"/>
              </w:rPr>
            </w:pPr>
            <w:r>
              <w:rPr>
                <w:rFonts w:hint="eastAsia" w:ascii="仿宋_GB2312" w:eastAsia="仿宋_GB2312"/>
              </w:rPr>
              <w:t>91.5</w:t>
            </w:r>
          </w:p>
        </w:tc>
      </w:tr>
    </w:tbl>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从项目完成情况来看，2019年农村生活垃圾中段收运和末端转运项目完成了全县24个乡镇的农村生活垃圾收运转运共计</w:t>
      </w:r>
      <w:r>
        <w:rPr>
          <w:rFonts w:ascii="仿宋_GB2312" w:eastAsia="仿宋_GB2312" w:cs="仿宋_GB2312" w:hAnsiTheme="minorEastAsia"/>
          <w:sz w:val="24"/>
          <w:szCs w:val="24"/>
        </w:rPr>
        <w:t>60847.87吨</w:t>
      </w:r>
      <w:r>
        <w:rPr>
          <w:rFonts w:hint="eastAsia" w:ascii="仿宋_GB2312" w:eastAsia="仿宋_GB2312" w:cs="仿宋_GB2312" w:hAnsiTheme="minorEastAsia"/>
          <w:sz w:val="24"/>
          <w:szCs w:val="24"/>
        </w:rPr>
        <w:t>，</w:t>
      </w:r>
      <w:r>
        <w:rPr>
          <w:rFonts w:ascii="仿宋_GB2312" w:eastAsia="仿宋_GB2312" w:cs="仿宋_GB2312" w:hAnsiTheme="minorEastAsia"/>
          <w:sz w:val="24"/>
          <w:szCs w:val="24"/>
        </w:rPr>
        <w:t>通过对样本乡镇群众的满意度调查</w:t>
      </w:r>
      <w:r>
        <w:rPr>
          <w:rFonts w:hint="eastAsia" w:ascii="仿宋_GB2312" w:eastAsia="仿宋_GB2312" w:cs="仿宋_GB2312" w:hAnsiTheme="minorEastAsia"/>
          <w:sz w:val="24"/>
          <w:szCs w:val="24"/>
        </w:rPr>
        <w:t>，</w:t>
      </w:r>
      <w:r>
        <w:rPr>
          <w:rFonts w:ascii="仿宋_GB2312" w:eastAsia="仿宋_GB2312" w:cs="仿宋_GB2312" w:hAnsiTheme="minorEastAsia"/>
          <w:sz w:val="24"/>
          <w:szCs w:val="24"/>
        </w:rPr>
        <w:t>满意度达到</w:t>
      </w:r>
      <w:r>
        <w:rPr>
          <w:rFonts w:hint="eastAsia" w:ascii="仿宋_GB2312" w:eastAsia="仿宋_GB2312" w:cs="仿宋_GB2312" w:hAnsiTheme="minorEastAsia"/>
          <w:sz w:val="24"/>
          <w:szCs w:val="24"/>
        </w:rPr>
        <w:t>99.36%。通过农村生活垃圾的集中收集、中段收运和末端转运，解决了农村生活垃圾随意处置的问题，改善了农村居住环境，项目总体实施效果较佳。</w:t>
      </w:r>
    </w:p>
    <w:p>
      <w:pPr>
        <w:pStyle w:val="17"/>
        <w:numPr>
          <w:ilvl w:val="0"/>
          <w:numId w:val="3"/>
        </w:numPr>
        <w:autoSpaceDE w:val="0"/>
        <w:autoSpaceDN w:val="0"/>
        <w:snapToGrid w:val="0"/>
        <w:spacing w:before="50" w:line="360" w:lineRule="auto"/>
        <w:ind w:firstLineChars="0"/>
        <w:jc w:val="left"/>
        <w:rPr>
          <w:rFonts w:ascii="仿宋_GB2312" w:eastAsia="仿宋_GB2312" w:cs="仿宋_GB2312" w:hAnsiTheme="minorEastAsia"/>
          <w:b/>
          <w:bCs/>
          <w:sz w:val="24"/>
          <w:szCs w:val="24"/>
        </w:rPr>
      </w:pPr>
      <w:r>
        <w:rPr>
          <w:rFonts w:ascii="仿宋_GB2312" w:eastAsia="仿宋_GB2312" w:cs="仿宋_GB2312" w:hAnsiTheme="minorEastAsia"/>
          <w:b/>
          <w:bCs/>
          <w:sz w:val="24"/>
          <w:szCs w:val="24"/>
        </w:rPr>
        <w:t>主要经验及做法</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一是压实县、镇（街）、村三级责任，建立齐抓共管的责任机制。二是夯实收集、转运、处理三大环节，构建稳定可靠的运行机制。三是统筹政府、村民、社会三方资金，创新“四个一点”经费保障机制。四是强化巡查、评比、考核三项措施，形成奖惩分明的质量管理机制。</w:t>
      </w:r>
    </w:p>
    <w:p>
      <w:pPr>
        <w:pStyle w:val="17"/>
        <w:numPr>
          <w:ilvl w:val="0"/>
          <w:numId w:val="3"/>
        </w:numPr>
        <w:autoSpaceDE w:val="0"/>
        <w:autoSpaceDN w:val="0"/>
        <w:snapToGrid w:val="0"/>
        <w:spacing w:before="50" w:line="360" w:lineRule="auto"/>
        <w:ind w:firstLineChars="0"/>
        <w:jc w:val="left"/>
        <w:rPr>
          <w:rFonts w:ascii="仿宋_GB2312" w:eastAsia="仿宋_GB2312" w:cs="仿宋_GB2312" w:hAnsiTheme="minorEastAsia"/>
          <w:b/>
          <w:bCs/>
          <w:sz w:val="24"/>
          <w:szCs w:val="24"/>
        </w:rPr>
      </w:pPr>
      <w:r>
        <w:rPr>
          <w:rFonts w:ascii="仿宋_GB2312" w:eastAsia="仿宋_GB2312" w:cs="仿宋_GB2312" w:hAnsiTheme="minorEastAsia"/>
          <w:b/>
          <w:bCs/>
          <w:sz w:val="24"/>
          <w:szCs w:val="24"/>
        </w:rPr>
        <w:t>存在的问题</w:t>
      </w:r>
    </w:p>
    <w:p>
      <w:pPr>
        <w:pStyle w:val="17"/>
        <w:autoSpaceDE w:val="0"/>
        <w:autoSpaceDN w:val="0"/>
        <w:snapToGrid w:val="0"/>
        <w:spacing w:before="50" w:line="360" w:lineRule="auto"/>
        <w:ind w:firstLine="480"/>
        <w:jc w:val="left"/>
        <w:rPr>
          <w:rFonts w:ascii="仿宋_GB2312" w:eastAsia="仿宋_GB2312" w:cs="仿宋_GB2312" w:hAnsiTheme="minorEastAsia"/>
          <w:bCs/>
          <w:sz w:val="24"/>
          <w:szCs w:val="24"/>
        </w:rPr>
      </w:pPr>
      <w:r>
        <w:rPr>
          <w:rFonts w:hint="eastAsia" w:ascii="仿宋_GB2312" w:eastAsia="仿宋_GB2312" w:cs="仿宋_GB2312" w:hAnsiTheme="minorEastAsia"/>
          <w:b/>
          <w:bCs/>
          <w:sz w:val="24"/>
          <w:szCs w:val="24"/>
        </w:rPr>
        <w:t>（一）资金保障。</w:t>
      </w:r>
      <w:r>
        <w:rPr>
          <w:rFonts w:hint="eastAsia" w:ascii="仿宋_GB2312" w:eastAsia="仿宋_GB2312" w:cs="仿宋_GB2312" w:hAnsiTheme="minorEastAsia"/>
          <w:bCs/>
          <w:sz w:val="24"/>
          <w:szCs w:val="24"/>
        </w:rPr>
        <w:t>财政部门在批复项目预算时，未按照项目下达批复，本项目预算和其他项目一起批复，导致项目预算金额无法直接区分，评价预算资金到位率、及时率和执行率时无明确的金额对象。</w:t>
      </w:r>
    </w:p>
    <w:p>
      <w:pPr>
        <w:pStyle w:val="17"/>
        <w:autoSpaceDE w:val="0"/>
        <w:autoSpaceDN w:val="0"/>
        <w:snapToGrid w:val="0"/>
        <w:spacing w:before="50" w:line="360" w:lineRule="auto"/>
        <w:ind w:firstLine="480"/>
        <w:jc w:val="left"/>
        <w:rPr>
          <w:rFonts w:ascii="仿宋_GB2312" w:eastAsia="仿宋_GB2312" w:cs="仿宋_GB2312" w:hAnsiTheme="minorEastAsia"/>
          <w:b/>
          <w:bCs/>
          <w:sz w:val="24"/>
          <w:szCs w:val="24"/>
        </w:rPr>
      </w:pPr>
      <w:r>
        <w:rPr>
          <w:rFonts w:hint="eastAsia" w:ascii="仿宋_GB2312" w:eastAsia="仿宋_GB2312" w:cs="仿宋_GB2312" w:hAnsiTheme="minorEastAsia"/>
          <w:b/>
          <w:bCs/>
          <w:sz w:val="24"/>
          <w:szCs w:val="24"/>
        </w:rPr>
        <w:t>（二）财务制度。</w:t>
      </w:r>
      <w:r>
        <w:rPr>
          <w:rFonts w:hint="eastAsia" w:ascii="仿宋_GB2312" w:eastAsia="仿宋_GB2312" w:cs="仿宋_GB2312" w:hAnsiTheme="minorEastAsia"/>
          <w:bCs/>
          <w:sz w:val="24"/>
          <w:szCs w:val="24"/>
        </w:rPr>
        <w:t>垫江县环境卫生管理所虽然制定了财务管理制度，但过于简单。只是规定了一般费用报销程序和审批权限，但对项目资金支付无明确的要求。如：所需要的表单、依据、确认程序及审批程序等。</w:t>
      </w:r>
    </w:p>
    <w:p>
      <w:pPr>
        <w:pStyle w:val="17"/>
        <w:autoSpaceDE w:val="0"/>
        <w:autoSpaceDN w:val="0"/>
        <w:snapToGrid w:val="0"/>
        <w:spacing w:before="50" w:line="360" w:lineRule="auto"/>
        <w:ind w:firstLine="480"/>
        <w:jc w:val="left"/>
        <w:rPr>
          <w:rFonts w:ascii="仿宋_GB2312" w:eastAsia="仿宋_GB2312" w:cs="仿宋_GB2312" w:hAnsiTheme="minorEastAsia"/>
          <w:b/>
          <w:bCs/>
          <w:sz w:val="24"/>
          <w:szCs w:val="24"/>
        </w:rPr>
      </w:pPr>
      <w:r>
        <w:rPr>
          <w:rFonts w:hint="eastAsia" w:ascii="仿宋_GB2312" w:eastAsia="仿宋_GB2312" w:cs="仿宋_GB2312" w:hAnsiTheme="minorEastAsia"/>
          <w:b/>
          <w:bCs/>
          <w:sz w:val="24"/>
          <w:szCs w:val="24"/>
        </w:rPr>
        <w:t>（三）项目管理。</w:t>
      </w:r>
      <w:r>
        <w:rPr>
          <w:rFonts w:hint="eastAsia" w:ascii="仿宋_GB2312" w:eastAsia="仿宋_GB2312" w:cs="仿宋_GB2312" w:hAnsiTheme="minorEastAsia"/>
          <w:bCs/>
          <w:sz w:val="24"/>
          <w:szCs w:val="24"/>
        </w:rPr>
        <w:t>（1）由农村生活垃圾由村保洁人员集中投放垃圾箱后，再由重庆市垫江县明洁环境服务有限公司辅助收运转运。因此，垃圾的收集工作十分重要，直接决定两级收运转运量。如将不属于生活垃圾的物品作为生活垃圾处理，势必会增加农村生活垃圾的收运转运成本。（2）评价过程中发现存在较多垃圾未上称称重的现象，由驾驶员、计量员和监磅人签字确认后，作为垃圾转运量确认依据，解释原因多为电脑故障或停电。</w:t>
      </w:r>
    </w:p>
    <w:p>
      <w:pPr>
        <w:pStyle w:val="17"/>
        <w:autoSpaceDE w:val="0"/>
        <w:autoSpaceDN w:val="0"/>
        <w:snapToGrid w:val="0"/>
        <w:spacing w:before="50" w:line="360" w:lineRule="auto"/>
        <w:ind w:firstLine="480"/>
        <w:jc w:val="left"/>
        <w:rPr>
          <w:rFonts w:ascii="仿宋_GB2312" w:eastAsia="仿宋_GB2312" w:cs="仿宋_GB2312" w:hAnsiTheme="minorEastAsia"/>
          <w:b/>
          <w:bCs/>
          <w:sz w:val="24"/>
          <w:szCs w:val="24"/>
        </w:rPr>
      </w:pPr>
      <w:r>
        <w:rPr>
          <w:rFonts w:hint="eastAsia" w:ascii="仿宋_GB2312" w:eastAsia="仿宋_GB2312" w:cs="仿宋_GB2312" w:hAnsiTheme="minorEastAsia"/>
          <w:b/>
          <w:bCs/>
          <w:sz w:val="24"/>
          <w:szCs w:val="24"/>
        </w:rPr>
        <w:t>（四）长效管理。</w:t>
      </w:r>
      <w:r>
        <w:rPr>
          <w:rFonts w:hint="eastAsia" w:ascii="仿宋_GB2312" w:eastAsia="仿宋_GB2312" w:cs="仿宋_GB2312" w:hAnsiTheme="minorEastAsia"/>
          <w:bCs/>
          <w:sz w:val="24"/>
          <w:szCs w:val="24"/>
        </w:rPr>
        <w:t>未建立系统的项目长效管理机制。</w:t>
      </w:r>
    </w:p>
    <w:p>
      <w:pPr>
        <w:pStyle w:val="17"/>
        <w:numPr>
          <w:ilvl w:val="0"/>
          <w:numId w:val="3"/>
        </w:numPr>
        <w:autoSpaceDE w:val="0"/>
        <w:autoSpaceDN w:val="0"/>
        <w:snapToGrid w:val="0"/>
        <w:spacing w:before="50" w:line="360" w:lineRule="auto"/>
        <w:ind w:firstLineChars="0"/>
        <w:jc w:val="left"/>
        <w:rPr>
          <w:rFonts w:ascii="仿宋_GB2312" w:eastAsia="仿宋_GB2312" w:cs="仿宋_GB2312" w:hAnsiTheme="minorEastAsia"/>
          <w:b/>
          <w:bCs/>
          <w:sz w:val="24"/>
          <w:szCs w:val="24"/>
        </w:rPr>
      </w:pPr>
      <w:r>
        <w:rPr>
          <w:rFonts w:ascii="仿宋_GB2312" w:eastAsia="仿宋_GB2312" w:cs="仿宋_GB2312" w:hAnsiTheme="minorEastAsia"/>
          <w:b/>
          <w:bCs/>
          <w:sz w:val="24"/>
          <w:szCs w:val="24"/>
        </w:rPr>
        <w:t>建议和改进措施</w:t>
      </w:r>
    </w:p>
    <w:p>
      <w:pPr>
        <w:pStyle w:val="17"/>
        <w:autoSpaceDE w:val="0"/>
        <w:autoSpaceDN w:val="0"/>
        <w:snapToGrid w:val="0"/>
        <w:spacing w:before="50" w:line="360" w:lineRule="auto"/>
        <w:ind w:firstLine="480"/>
        <w:jc w:val="left"/>
        <w:rPr>
          <w:rFonts w:ascii="仿宋_GB2312" w:eastAsia="仿宋_GB2312" w:cs="仿宋_GB2312" w:hAnsiTheme="minorEastAsia"/>
          <w:bCs/>
          <w:sz w:val="24"/>
          <w:szCs w:val="24"/>
        </w:rPr>
      </w:pPr>
      <w:r>
        <w:rPr>
          <w:rFonts w:hint="eastAsia" w:ascii="仿宋_GB2312" w:eastAsia="仿宋_GB2312" w:cs="仿宋_GB2312" w:hAnsiTheme="minorEastAsia"/>
          <w:bCs/>
          <w:sz w:val="24"/>
          <w:szCs w:val="24"/>
        </w:rPr>
        <w:t>（一）项目实施单位在编制项目预算尽可能地细化，财政部门批复预算时，严格按照项目批复，为考核确认明确的金额对象。</w:t>
      </w:r>
    </w:p>
    <w:p>
      <w:pPr>
        <w:pStyle w:val="17"/>
        <w:autoSpaceDE w:val="0"/>
        <w:autoSpaceDN w:val="0"/>
        <w:snapToGrid w:val="0"/>
        <w:spacing w:before="50" w:line="360" w:lineRule="auto"/>
        <w:ind w:firstLine="480"/>
        <w:jc w:val="left"/>
        <w:rPr>
          <w:rFonts w:ascii="仿宋_GB2312" w:eastAsia="仿宋_GB2312" w:cs="仿宋_GB2312" w:hAnsiTheme="minorEastAsia"/>
          <w:bCs/>
          <w:sz w:val="24"/>
          <w:szCs w:val="24"/>
        </w:rPr>
      </w:pPr>
      <w:r>
        <w:rPr>
          <w:rFonts w:hint="eastAsia" w:ascii="仿宋_GB2312" w:eastAsia="仿宋_GB2312" w:cs="仿宋_GB2312" w:hAnsiTheme="minorEastAsia"/>
          <w:bCs/>
          <w:sz w:val="24"/>
          <w:szCs w:val="24"/>
        </w:rPr>
        <w:t>（二）针对项目资金支付细化资金管理和使用的制度，细化资金审批流程及所需要的付款依据。</w:t>
      </w:r>
    </w:p>
    <w:p>
      <w:pPr>
        <w:pStyle w:val="17"/>
        <w:autoSpaceDE w:val="0"/>
        <w:autoSpaceDN w:val="0"/>
        <w:snapToGrid w:val="0"/>
        <w:spacing w:before="50" w:line="360" w:lineRule="auto"/>
        <w:ind w:firstLine="480"/>
        <w:jc w:val="left"/>
        <w:rPr>
          <w:rFonts w:ascii="仿宋_GB2312" w:eastAsia="仿宋_GB2312" w:cs="仿宋_GB2312" w:hAnsiTheme="minorEastAsia"/>
          <w:bCs/>
          <w:sz w:val="24"/>
          <w:szCs w:val="24"/>
        </w:rPr>
      </w:pPr>
      <w:r>
        <w:rPr>
          <w:rFonts w:hint="eastAsia" w:ascii="仿宋_GB2312" w:eastAsia="仿宋_GB2312" w:cs="仿宋_GB2312" w:hAnsiTheme="minorEastAsia"/>
          <w:bCs/>
          <w:sz w:val="24"/>
          <w:szCs w:val="24"/>
        </w:rPr>
        <w:t>（三）加强垃圾来源的管控，减少非生活垃圾的处理量。同时，做好转运过程中的垃圾种类的检查监督，保障垃圾转运数量的真实性。</w:t>
      </w:r>
    </w:p>
    <w:p>
      <w:pPr>
        <w:pStyle w:val="17"/>
        <w:autoSpaceDE w:val="0"/>
        <w:autoSpaceDN w:val="0"/>
        <w:snapToGrid w:val="0"/>
        <w:spacing w:before="50" w:line="360" w:lineRule="auto"/>
        <w:ind w:firstLine="480"/>
        <w:jc w:val="left"/>
        <w:rPr>
          <w:rFonts w:ascii="仿宋_GB2312" w:eastAsia="仿宋_GB2312" w:cs="仿宋_GB2312" w:hAnsiTheme="minorEastAsia"/>
          <w:bCs/>
          <w:sz w:val="24"/>
          <w:szCs w:val="24"/>
        </w:rPr>
      </w:pPr>
      <w:r>
        <w:rPr>
          <w:rFonts w:hint="eastAsia" w:ascii="仿宋_GB2312" w:eastAsia="仿宋_GB2312" w:cs="仿宋_GB2312" w:hAnsiTheme="minorEastAsia"/>
          <w:bCs/>
          <w:sz w:val="24"/>
          <w:szCs w:val="24"/>
        </w:rPr>
        <w:t>（四）加强计量设备的检修维护，保证计量设备正常运转。同时，针对经营停电的现象，可以考虑购置备用电源或发电设备。</w:t>
      </w:r>
    </w:p>
    <w:p>
      <w:pPr>
        <w:pStyle w:val="17"/>
        <w:autoSpaceDE w:val="0"/>
        <w:autoSpaceDN w:val="0"/>
        <w:snapToGrid w:val="0"/>
        <w:spacing w:before="50" w:line="360" w:lineRule="auto"/>
        <w:ind w:firstLine="480"/>
        <w:jc w:val="left"/>
        <w:rPr>
          <w:rFonts w:ascii="仿宋_GB2312" w:eastAsia="仿宋_GB2312" w:cs="仿宋_GB2312" w:hAnsiTheme="minorEastAsia"/>
          <w:bCs/>
          <w:sz w:val="24"/>
          <w:szCs w:val="24"/>
        </w:rPr>
      </w:pPr>
      <w:r>
        <w:rPr>
          <w:rFonts w:hint="eastAsia" w:ascii="仿宋_GB2312" w:eastAsia="仿宋_GB2312" w:cs="仿宋_GB2312" w:hAnsiTheme="minorEastAsia"/>
          <w:bCs/>
          <w:sz w:val="24"/>
          <w:szCs w:val="24"/>
        </w:rPr>
        <w:t>（五）根据目前政策文件，结合垫江县垃圾处理的整体布局，制定具体的工作方案，落实人员经费，保障项目持续运营和效果。比如垃圾入口的管控和垃圾分类处理相结合；垃圾的转运和垃圾的处理（再利用）相结合。</w:t>
      </w:r>
    </w:p>
    <w:p>
      <w:pPr>
        <w:widowControl/>
        <w:jc w:val="left"/>
        <w:rPr>
          <w:rFonts w:asciiTheme="majorEastAsia" w:hAnsiTheme="majorEastAsia" w:eastAsiaTheme="majorEastAsia"/>
          <w:b/>
          <w:bCs/>
          <w:sz w:val="30"/>
          <w:szCs w:val="30"/>
        </w:rPr>
        <w:sectPr>
          <w:footerReference r:id="rId4" w:type="default"/>
          <w:pgSz w:w="11906" w:h="16838"/>
          <w:pgMar w:top="1134" w:right="1134" w:bottom="1134" w:left="1418" w:header="850" w:footer="680" w:gutter="0"/>
          <w:cols w:space="425" w:num="1"/>
          <w:docGrid w:type="lines" w:linePitch="312" w:charSpace="0"/>
        </w:sectPr>
      </w:pPr>
    </w:p>
    <w:p>
      <w:pPr>
        <w:widowControl/>
        <w:jc w:val="left"/>
        <w:rPr>
          <w:rFonts w:asciiTheme="majorEastAsia" w:hAnsiTheme="majorEastAsia" w:eastAsiaTheme="majorEastAsia"/>
          <w:b/>
          <w:bCs/>
          <w:sz w:val="30"/>
          <w:szCs w:val="30"/>
        </w:rPr>
      </w:pPr>
    </w:p>
    <w:p>
      <w:pPr>
        <w:jc w:val="center"/>
        <w:rPr>
          <w:rFonts w:ascii="仿宋_GB2312" w:eastAsia="仿宋_GB2312" w:hAnsiTheme="majorEastAsia"/>
          <w:b/>
          <w:bCs/>
          <w:sz w:val="30"/>
          <w:szCs w:val="30"/>
        </w:rPr>
      </w:pPr>
      <w:bookmarkStart w:id="1" w:name="_Hlk52961001"/>
      <w:r>
        <w:rPr>
          <w:rFonts w:hint="eastAsia" w:ascii="仿宋_GB2312" w:eastAsia="仿宋_GB2312" w:hAnsiTheme="majorEastAsia"/>
          <w:b/>
          <w:bCs/>
          <w:sz w:val="30"/>
          <w:szCs w:val="30"/>
        </w:rPr>
        <w:t>目    录</w:t>
      </w:r>
    </w:p>
    <w:p>
      <w:pPr>
        <w:pStyle w:val="10"/>
        <w:tabs>
          <w:tab w:val="right" w:leader="dot" w:pos="8296"/>
        </w:tabs>
        <w:rPr>
          <w:kern w:val="2"/>
          <w:sz w:val="21"/>
        </w:rPr>
      </w:pPr>
      <w:r>
        <w:rPr>
          <w:rFonts w:ascii="仿宋_GB2312" w:eastAsia="仿宋_GB2312" w:hAnsiTheme="majorEastAsia"/>
          <w:b/>
          <w:bCs/>
          <w:sz w:val="30"/>
          <w:szCs w:val="30"/>
        </w:rPr>
        <w:fldChar w:fldCharType="begin"/>
      </w:r>
      <w:r>
        <w:rPr>
          <w:rFonts w:ascii="仿宋_GB2312" w:eastAsia="仿宋_GB2312" w:hAnsiTheme="majorEastAsia"/>
          <w:b/>
          <w:bCs/>
          <w:sz w:val="30"/>
          <w:szCs w:val="30"/>
        </w:rPr>
        <w:instrText xml:space="preserve"> TOC \h \z \t "报告1级,1,报告2级,2" </w:instrText>
      </w:r>
      <w:r>
        <w:rPr>
          <w:rFonts w:ascii="仿宋_GB2312" w:eastAsia="仿宋_GB2312" w:hAnsiTheme="majorEastAsia"/>
          <w:b/>
          <w:bCs/>
          <w:sz w:val="30"/>
          <w:szCs w:val="30"/>
        </w:rPr>
        <w:fldChar w:fldCharType="separate"/>
      </w:r>
      <w:r>
        <w:fldChar w:fldCharType="begin"/>
      </w:r>
      <w:r>
        <w:instrText xml:space="preserve"> HYPERLINK \l "_Toc54873762" </w:instrText>
      </w:r>
      <w:r>
        <w:fldChar w:fldCharType="separate"/>
      </w:r>
      <w:r>
        <w:rPr>
          <w:rStyle w:val="14"/>
          <w:rFonts w:hint="eastAsia"/>
        </w:rPr>
        <w:t>一、 基本情况</w:t>
      </w:r>
      <w:r>
        <w:tab/>
      </w:r>
      <w:r>
        <w:fldChar w:fldCharType="begin"/>
      </w:r>
      <w:r>
        <w:instrText xml:space="preserve"> PAGEREF _Toc54873762 \h </w:instrText>
      </w:r>
      <w:r>
        <w:fldChar w:fldCharType="separate"/>
      </w:r>
      <w:r>
        <w:t>7</w:t>
      </w:r>
      <w:r>
        <w:fldChar w:fldCharType="end"/>
      </w:r>
      <w:r>
        <w:fldChar w:fldCharType="end"/>
      </w:r>
    </w:p>
    <w:p>
      <w:pPr>
        <w:pStyle w:val="11"/>
        <w:tabs>
          <w:tab w:val="left" w:pos="1260"/>
          <w:tab w:val="right" w:leader="dot" w:pos="8296"/>
        </w:tabs>
        <w:rPr>
          <w:kern w:val="2"/>
          <w:sz w:val="21"/>
        </w:rPr>
      </w:pPr>
      <w:r>
        <w:fldChar w:fldCharType="begin"/>
      </w:r>
      <w:r>
        <w:instrText xml:space="preserve"> HYPERLINK \l "_Toc54873763" </w:instrText>
      </w:r>
      <w:r>
        <w:fldChar w:fldCharType="separate"/>
      </w:r>
      <w:r>
        <w:rPr>
          <w:rStyle w:val="14"/>
          <w:rFonts w:hint="eastAsia"/>
        </w:rPr>
        <w:t>（一）</w:t>
      </w:r>
      <w:r>
        <w:rPr>
          <w:kern w:val="2"/>
          <w:sz w:val="21"/>
        </w:rPr>
        <w:tab/>
      </w:r>
      <w:r>
        <w:rPr>
          <w:rStyle w:val="14"/>
          <w:rFonts w:hint="eastAsia"/>
        </w:rPr>
        <w:t>项目背景</w:t>
      </w:r>
      <w:r>
        <w:tab/>
      </w:r>
      <w:r>
        <w:fldChar w:fldCharType="begin"/>
      </w:r>
      <w:r>
        <w:instrText xml:space="preserve"> PAGEREF _Toc54873763 \h </w:instrText>
      </w:r>
      <w:r>
        <w:fldChar w:fldCharType="separate"/>
      </w:r>
      <w:r>
        <w:t>7</w:t>
      </w:r>
      <w:r>
        <w:fldChar w:fldCharType="end"/>
      </w:r>
      <w:r>
        <w:fldChar w:fldCharType="end"/>
      </w:r>
    </w:p>
    <w:p>
      <w:pPr>
        <w:pStyle w:val="11"/>
        <w:tabs>
          <w:tab w:val="left" w:pos="1260"/>
          <w:tab w:val="right" w:leader="dot" w:pos="8296"/>
        </w:tabs>
        <w:rPr>
          <w:kern w:val="2"/>
          <w:sz w:val="21"/>
        </w:rPr>
      </w:pPr>
      <w:r>
        <w:fldChar w:fldCharType="begin"/>
      </w:r>
      <w:r>
        <w:instrText xml:space="preserve"> HYPERLINK \l "_Toc54873764" </w:instrText>
      </w:r>
      <w:r>
        <w:fldChar w:fldCharType="separate"/>
      </w:r>
      <w:r>
        <w:rPr>
          <w:rStyle w:val="14"/>
          <w:rFonts w:hint="eastAsia"/>
        </w:rPr>
        <w:t>（二）</w:t>
      </w:r>
      <w:r>
        <w:rPr>
          <w:kern w:val="2"/>
          <w:sz w:val="21"/>
        </w:rPr>
        <w:tab/>
      </w:r>
      <w:r>
        <w:rPr>
          <w:rStyle w:val="14"/>
          <w:rFonts w:hint="eastAsia"/>
        </w:rPr>
        <w:t>项目概况</w:t>
      </w:r>
      <w:r>
        <w:tab/>
      </w:r>
      <w:r>
        <w:fldChar w:fldCharType="begin"/>
      </w:r>
      <w:r>
        <w:instrText xml:space="preserve"> PAGEREF _Toc54873764 \h </w:instrText>
      </w:r>
      <w:r>
        <w:fldChar w:fldCharType="separate"/>
      </w:r>
      <w:r>
        <w:t>7</w:t>
      </w:r>
      <w:r>
        <w:fldChar w:fldCharType="end"/>
      </w:r>
      <w:r>
        <w:fldChar w:fldCharType="end"/>
      </w:r>
    </w:p>
    <w:p>
      <w:pPr>
        <w:pStyle w:val="11"/>
        <w:tabs>
          <w:tab w:val="left" w:pos="1260"/>
          <w:tab w:val="right" w:leader="dot" w:pos="8296"/>
        </w:tabs>
        <w:rPr>
          <w:kern w:val="2"/>
          <w:sz w:val="21"/>
        </w:rPr>
      </w:pPr>
      <w:r>
        <w:fldChar w:fldCharType="begin"/>
      </w:r>
      <w:r>
        <w:instrText xml:space="preserve"> HYPERLINK \l "_Toc54873765" </w:instrText>
      </w:r>
      <w:r>
        <w:fldChar w:fldCharType="separate"/>
      </w:r>
      <w:r>
        <w:rPr>
          <w:rStyle w:val="14"/>
          <w:rFonts w:hint="eastAsia"/>
        </w:rPr>
        <w:t>（三）</w:t>
      </w:r>
      <w:r>
        <w:rPr>
          <w:kern w:val="2"/>
          <w:sz w:val="21"/>
        </w:rPr>
        <w:tab/>
      </w:r>
      <w:r>
        <w:rPr>
          <w:rStyle w:val="14"/>
          <w:rFonts w:hint="eastAsia"/>
        </w:rPr>
        <w:t>资金来源及使用情况</w:t>
      </w:r>
      <w:r>
        <w:tab/>
      </w:r>
      <w:r>
        <w:fldChar w:fldCharType="begin"/>
      </w:r>
      <w:r>
        <w:instrText xml:space="preserve"> PAGEREF _Toc54873765 \h </w:instrText>
      </w:r>
      <w:r>
        <w:fldChar w:fldCharType="separate"/>
      </w:r>
      <w:r>
        <w:t>8</w:t>
      </w:r>
      <w:r>
        <w:fldChar w:fldCharType="end"/>
      </w:r>
      <w:r>
        <w:fldChar w:fldCharType="end"/>
      </w:r>
    </w:p>
    <w:p>
      <w:pPr>
        <w:pStyle w:val="11"/>
        <w:tabs>
          <w:tab w:val="left" w:pos="1260"/>
          <w:tab w:val="right" w:leader="dot" w:pos="8296"/>
        </w:tabs>
        <w:rPr>
          <w:kern w:val="2"/>
          <w:sz w:val="21"/>
        </w:rPr>
      </w:pPr>
      <w:r>
        <w:fldChar w:fldCharType="begin"/>
      </w:r>
      <w:r>
        <w:instrText xml:space="preserve"> HYPERLINK \l "_Toc54873766" </w:instrText>
      </w:r>
      <w:r>
        <w:fldChar w:fldCharType="separate"/>
      </w:r>
      <w:r>
        <w:rPr>
          <w:rStyle w:val="14"/>
          <w:rFonts w:hint="eastAsia"/>
        </w:rPr>
        <w:t>（四）</w:t>
      </w:r>
      <w:r>
        <w:rPr>
          <w:kern w:val="2"/>
          <w:sz w:val="21"/>
        </w:rPr>
        <w:tab/>
      </w:r>
      <w:r>
        <w:rPr>
          <w:rStyle w:val="14"/>
          <w:rFonts w:hint="eastAsia"/>
        </w:rPr>
        <w:t>项目实施情况</w:t>
      </w:r>
      <w:r>
        <w:tab/>
      </w:r>
      <w:r>
        <w:fldChar w:fldCharType="begin"/>
      </w:r>
      <w:r>
        <w:instrText xml:space="preserve"> PAGEREF _Toc54873766 \h </w:instrText>
      </w:r>
      <w:r>
        <w:fldChar w:fldCharType="separate"/>
      </w:r>
      <w:r>
        <w:t>8</w:t>
      </w:r>
      <w:r>
        <w:fldChar w:fldCharType="end"/>
      </w:r>
      <w:r>
        <w:fldChar w:fldCharType="end"/>
      </w:r>
    </w:p>
    <w:p>
      <w:pPr>
        <w:pStyle w:val="11"/>
        <w:tabs>
          <w:tab w:val="left" w:pos="1260"/>
          <w:tab w:val="right" w:leader="dot" w:pos="8296"/>
        </w:tabs>
        <w:rPr>
          <w:kern w:val="2"/>
          <w:sz w:val="21"/>
        </w:rPr>
      </w:pPr>
      <w:r>
        <w:fldChar w:fldCharType="begin"/>
      </w:r>
      <w:r>
        <w:instrText xml:space="preserve"> HYPERLINK \l "_Toc54873767" </w:instrText>
      </w:r>
      <w:r>
        <w:fldChar w:fldCharType="separate"/>
      </w:r>
      <w:r>
        <w:rPr>
          <w:rStyle w:val="14"/>
          <w:rFonts w:hint="eastAsia"/>
        </w:rPr>
        <w:t>（五）</w:t>
      </w:r>
      <w:r>
        <w:rPr>
          <w:kern w:val="2"/>
          <w:sz w:val="21"/>
        </w:rPr>
        <w:tab/>
      </w:r>
      <w:r>
        <w:rPr>
          <w:rStyle w:val="14"/>
          <w:rFonts w:hint="eastAsia"/>
        </w:rPr>
        <w:t>项目绩效目标</w:t>
      </w:r>
      <w:r>
        <w:tab/>
      </w:r>
      <w:r>
        <w:fldChar w:fldCharType="begin"/>
      </w:r>
      <w:r>
        <w:instrText xml:space="preserve"> PAGEREF _Toc54873767 \h </w:instrText>
      </w:r>
      <w:r>
        <w:fldChar w:fldCharType="separate"/>
      </w:r>
      <w:r>
        <w:t>9</w:t>
      </w:r>
      <w:r>
        <w:fldChar w:fldCharType="end"/>
      </w:r>
      <w:r>
        <w:fldChar w:fldCharType="end"/>
      </w:r>
    </w:p>
    <w:p>
      <w:pPr>
        <w:pStyle w:val="10"/>
        <w:tabs>
          <w:tab w:val="right" w:leader="dot" w:pos="8296"/>
        </w:tabs>
        <w:rPr>
          <w:kern w:val="2"/>
          <w:sz w:val="21"/>
        </w:rPr>
      </w:pPr>
      <w:r>
        <w:fldChar w:fldCharType="begin"/>
      </w:r>
      <w:r>
        <w:instrText xml:space="preserve"> HYPERLINK \l "_Toc54873768" </w:instrText>
      </w:r>
      <w:r>
        <w:fldChar w:fldCharType="separate"/>
      </w:r>
      <w:r>
        <w:rPr>
          <w:rStyle w:val="14"/>
          <w:rFonts w:hint="eastAsia"/>
        </w:rPr>
        <w:t>二、 绩效评价组织工作</w:t>
      </w:r>
      <w:r>
        <w:tab/>
      </w:r>
      <w:r>
        <w:fldChar w:fldCharType="begin"/>
      </w:r>
      <w:r>
        <w:instrText xml:space="preserve"> PAGEREF _Toc54873768 \h </w:instrText>
      </w:r>
      <w:r>
        <w:fldChar w:fldCharType="separate"/>
      </w:r>
      <w:r>
        <w:t>9</w:t>
      </w:r>
      <w:r>
        <w:fldChar w:fldCharType="end"/>
      </w:r>
      <w:r>
        <w:fldChar w:fldCharType="end"/>
      </w:r>
    </w:p>
    <w:p>
      <w:pPr>
        <w:pStyle w:val="11"/>
        <w:tabs>
          <w:tab w:val="left" w:pos="1260"/>
          <w:tab w:val="right" w:leader="dot" w:pos="8296"/>
        </w:tabs>
        <w:rPr>
          <w:kern w:val="2"/>
          <w:sz w:val="21"/>
        </w:rPr>
      </w:pPr>
      <w:r>
        <w:fldChar w:fldCharType="begin"/>
      </w:r>
      <w:r>
        <w:instrText xml:space="preserve"> HYPERLINK \l "_Toc54873769" </w:instrText>
      </w:r>
      <w:r>
        <w:fldChar w:fldCharType="separate"/>
      </w:r>
      <w:r>
        <w:rPr>
          <w:rStyle w:val="14"/>
          <w:rFonts w:hint="eastAsia"/>
        </w:rPr>
        <w:t>（一）</w:t>
      </w:r>
      <w:r>
        <w:rPr>
          <w:kern w:val="2"/>
          <w:sz w:val="21"/>
        </w:rPr>
        <w:tab/>
      </w:r>
      <w:r>
        <w:rPr>
          <w:rStyle w:val="14"/>
          <w:rFonts w:hint="eastAsia"/>
        </w:rPr>
        <w:t>绩效评价目的</w:t>
      </w:r>
      <w:r>
        <w:tab/>
      </w:r>
      <w:r>
        <w:fldChar w:fldCharType="begin"/>
      </w:r>
      <w:r>
        <w:instrText xml:space="preserve"> PAGEREF _Toc54873769 \h </w:instrText>
      </w:r>
      <w:r>
        <w:fldChar w:fldCharType="separate"/>
      </w:r>
      <w:r>
        <w:t>9</w:t>
      </w:r>
      <w:r>
        <w:fldChar w:fldCharType="end"/>
      </w:r>
      <w:r>
        <w:fldChar w:fldCharType="end"/>
      </w:r>
    </w:p>
    <w:p>
      <w:pPr>
        <w:pStyle w:val="11"/>
        <w:tabs>
          <w:tab w:val="left" w:pos="1260"/>
          <w:tab w:val="right" w:leader="dot" w:pos="8296"/>
        </w:tabs>
        <w:rPr>
          <w:kern w:val="2"/>
          <w:sz w:val="21"/>
        </w:rPr>
      </w:pPr>
      <w:r>
        <w:fldChar w:fldCharType="begin"/>
      </w:r>
      <w:r>
        <w:instrText xml:space="preserve"> HYPERLINK \l "_Toc54873770" </w:instrText>
      </w:r>
      <w:r>
        <w:fldChar w:fldCharType="separate"/>
      </w:r>
      <w:r>
        <w:rPr>
          <w:rStyle w:val="14"/>
          <w:rFonts w:hint="eastAsia"/>
        </w:rPr>
        <w:t>（二）</w:t>
      </w:r>
      <w:r>
        <w:rPr>
          <w:kern w:val="2"/>
          <w:sz w:val="21"/>
        </w:rPr>
        <w:tab/>
      </w:r>
      <w:r>
        <w:rPr>
          <w:rStyle w:val="14"/>
          <w:rFonts w:hint="eastAsia"/>
        </w:rPr>
        <w:t>绩效评价原则</w:t>
      </w:r>
      <w:r>
        <w:tab/>
      </w:r>
      <w:r>
        <w:fldChar w:fldCharType="begin"/>
      </w:r>
      <w:r>
        <w:instrText xml:space="preserve"> PAGEREF _Toc54873770 \h </w:instrText>
      </w:r>
      <w:r>
        <w:fldChar w:fldCharType="separate"/>
      </w:r>
      <w:r>
        <w:t>9</w:t>
      </w:r>
      <w:r>
        <w:fldChar w:fldCharType="end"/>
      </w:r>
      <w:r>
        <w:fldChar w:fldCharType="end"/>
      </w:r>
    </w:p>
    <w:p>
      <w:pPr>
        <w:pStyle w:val="11"/>
        <w:tabs>
          <w:tab w:val="left" w:pos="1260"/>
          <w:tab w:val="right" w:leader="dot" w:pos="8296"/>
        </w:tabs>
        <w:rPr>
          <w:kern w:val="2"/>
          <w:sz w:val="21"/>
        </w:rPr>
      </w:pPr>
      <w:r>
        <w:fldChar w:fldCharType="begin"/>
      </w:r>
      <w:r>
        <w:instrText xml:space="preserve"> HYPERLINK \l "_Toc54873771" </w:instrText>
      </w:r>
      <w:r>
        <w:fldChar w:fldCharType="separate"/>
      </w:r>
      <w:r>
        <w:rPr>
          <w:rStyle w:val="14"/>
          <w:rFonts w:hint="eastAsia"/>
        </w:rPr>
        <w:t>（三）</w:t>
      </w:r>
      <w:r>
        <w:rPr>
          <w:kern w:val="2"/>
          <w:sz w:val="21"/>
        </w:rPr>
        <w:tab/>
      </w:r>
      <w:r>
        <w:rPr>
          <w:rStyle w:val="14"/>
          <w:rFonts w:hint="eastAsia"/>
        </w:rPr>
        <w:t>评价方法</w:t>
      </w:r>
      <w:r>
        <w:tab/>
      </w:r>
      <w:r>
        <w:fldChar w:fldCharType="begin"/>
      </w:r>
      <w:r>
        <w:instrText xml:space="preserve"> PAGEREF _Toc54873771 \h </w:instrText>
      </w:r>
      <w:r>
        <w:fldChar w:fldCharType="separate"/>
      </w:r>
      <w:r>
        <w:t>10</w:t>
      </w:r>
      <w:r>
        <w:fldChar w:fldCharType="end"/>
      </w:r>
      <w:r>
        <w:fldChar w:fldCharType="end"/>
      </w:r>
    </w:p>
    <w:p>
      <w:pPr>
        <w:pStyle w:val="11"/>
        <w:tabs>
          <w:tab w:val="left" w:pos="1260"/>
          <w:tab w:val="right" w:leader="dot" w:pos="8296"/>
        </w:tabs>
        <w:rPr>
          <w:kern w:val="2"/>
          <w:sz w:val="21"/>
        </w:rPr>
      </w:pPr>
      <w:r>
        <w:fldChar w:fldCharType="begin"/>
      </w:r>
      <w:r>
        <w:instrText xml:space="preserve"> HYPERLINK \l "_Toc54873772" </w:instrText>
      </w:r>
      <w:r>
        <w:fldChar w:fldCharType="separate"/>
      </w:r>
      <w:r>
        <w:rPr>
          <w:rStyle w:val="14"/>
          <w:rFonts w:hint="eastAsia"/>
        </w:rPr>
        <w:t>（四）</w:t>
      </w:r>
      <w:r>
        <w:rPr>
          <w:kern w:val="2"/>
          <w:sz w:val="21"/>
        </w:rPr>
        <w:tab/>
      </w:r>
      <w:r>
        <w:rPr>
          <w:rStyle w:val="14"/>
          <w:rFonts w:hint="eastAsia"/>
        </w:rPr>
        <w:t>评价指标和标准</w:t>
      </w:r>
      <w:r>
        <w:tab/>
      </w:r>
      <w:r>
        <w:fldChar w:fldCharType="begin"/>
      </w:r>
      <w:r>
        <w:instrText xml:space="preserve"> PAGEREF _Toc54873772 \h </w:instrText>
      </w:r>
      <w:r>
        <w:fldChar w:fldCharType="separate"/>
      </w:r>
      <w:r>
        <w:t>10</w:t>
      </w:r>
      <w:r>
        <w:fldChar w:fldCharType="end"/>
      </w:r>
      <w:r>
        <w:fldChar w:fldCharType="end"/>
      </w:r>
    </w:p>
    <w:p>
      <w:pPr>
        <w:pStyle w:val="11"/>
        <w:tabs>
          <w:tab w:val="left" w:pos="1260"/>
          <w:tab w:val="right" w:leader="dot" w:pos="8296"/>
        </w:tabs>
        <w:rPr>
          <w:kern w:val="2"/>
          <w:sz w:val="21"/>
        </w:rPr>
      </w:pPr>
      <w:r>
        <w:fldChar w:fldCharType="begin"/>
      </w:r>
      <w:r>
        <w:instrText xml:space="preserve"> HYPERLINK \l "_Toc54873773" </w:instrText>
      </w:r>
      <w:r>
        <w:fldChar w:fldCharType="separate"/>
      </w:r>
      <w:r>
        <w:rPr>
          <w:rStyle w:val="14"/>
          <w:rFonts w:hint="eastAsia"/>
        </w:rPr>
        <w:t>（五）</w:t>
      </w:r>
      <w:r>
        <w:rPr>
          <w:kern w:val="2"/>
          <w:sz w:val="21"/>
        </w:rPr>
        <w:tab/>
      </w:r>
      <w:r>
        <w:rPr>
          <w:rStyle w:val="14"/>
          <w:rFonts w:hint="eastAsia"/>
        </w:rPr>
        <w:t>绩效评价过程</w:t>
      </w:r>
      <w:r>
        <w:tab/>
      </w:r>
      <w:r>
        <w:fldChar w:fldCharType="begin"/>
      </w:r>
      <w:r>
        <w:instrText xml:space="preserve"> PAGEREF _Toc54873773 \h </w:instrText>
      </w:r>
      <w:r>
        <w:fldChar w:fldCharType="separate"/>
      </w:r>
      <w:r>
        <w:t>13</w:t>
      </w:r>
      <w:r>
        <w:fldChar w:fldCharType="end"/>
      </w:r>
      <w:r>
        <w:fldChar w:fldCharType="end"/>
      </w:r>
    </w:p>
    <w:p>
      <w:pPr>
        <w:pStyle w:val="10"/>
        <w:tabs>
          <w:tab w:val="right" w:leader="dot" w:pos="8296"/>
        </w:tabs>
        <w:rPr>
          <w:kern w:val="2"/>
          <w:sz w:val="21"/>
        </w:rPr>
      </w:pPr>
      <w:r>
        <w:fldChar w:fldCharType="begin"/>
      </w:r>
      <w:r>
        <w:instrText xml:space="preserve"> HYPERLINK \l "_Toc54873774" </w:instrText>
      </w:r>
      <w:r>
        <w:fldChar w:fldCharType="separate"/>
      </w:r>
      <w:r>
        <w:rPr>
          <w:rStyle w:val="14"/>
          <w:rFonts w:hint="eastAsia"/>
        </w:rPr>
        <w:t>三、 主要经验和做法</w:t>
      </w:r>
      <w:r>
        <w:tab/>
      </w:r>
      <w:r>
        <w:fldChar w:fldCharType="begin"/>
      </w:r>
      <w:r>
        <w:instrText xml:space="preserve"> PAGEREF _Toc54873774 \h </w:instrText>
      </w:r>
      <w:r>
        <w:fldChar w:fldCharType="separate"/>
      </w:r>
      <w:r>
        <w:t>14</w:t>
      </w:r>
      <w:r>
        <w:fldChar w:fldCharType="end"/>
      </w:r>
      <w:r>
        <w:fldChar w:fldCharType="end"/>
      </w:r>
    </w:p>
    <w:p>
      <w:pPr>
        <w:pStyle w:val="10"/>
        <w:tabs>
          <w:tab w:val="right" w:leader="dot" w:pos="8296"/>
        </w:tabs>
        <w:rPr>
          <w:kern w:val="2"/>
          <w:sz w:val="21"/>
        </w:rPr>
      </w:pPr>
      <w:r>
        <w:fldChar w:fldCharType="begin"/>
      </w:r>
      <w:r>
        <w:instrText xml:space="preserve"> HYPERLINK \l "_Toc54873775" </w:instrText>
      </w:r>
      <w:r>
        <w:fldChar w:fldCharType="separate"/>
      </w:r>
      <w:r>
        <w:rPr>
          <w:rStyle w:val="14"/>
          <w:rFonts w:hint="eastAsia"/>
        </w:rPr>
        <w:t>四、 评价结论和绩效分析</w:t>
      </w:r>
      <w:r>
        <w:tab/>
      </w:r>
      <w:r>
        <w:fldChar w:fldCharType="begin"/>
      </w:r>
      <w:r>
        <w:instrText xml:space="preserve"> PAGEREF _Toc54873775 \h </w:instrText>
      </w:r>
      <w:r>
        <w:fldChar w:fldCharType="separate"/>
      </w:r>
      <w:r>
        <w:t>14</w:t>
      </w:r>
      <w:r>
        <w:fldChar w:fldCharType="end"/>
      </w:r>
      <w:r>
        <w:fldChar w:fldCharType="end"/>
      </w:r>
    </w:p>
    <w:p>
      <w:pPr>
        <w:pStyle w:val="11"/>
        <w:tabs>
          <w:tab w:val="right" w:leader="dot" w:pos="8296"/>
        </w:tabs>
        <w:rPr>
          <w:kern w:val="2"/>
          <w:sz w:val="21"/>
        </w:rPr>
      </w:pPr>
      <w:r>
        <w:fldChar w:fldCharType="begin"/>
      </w:r>
      <w:r>
        <w:instrText xml:space="preserve"> HYPERLINK \l "_Toc54873776" </w:instrText>
      </w:r>
      <w:r>
        <w:fldChar w:fldCharType="separate"/>
      </w:r>
      <w:r>
        <w:rPr>
          <w:rStyle w:val="14"/>
          <w:rFonts w:hint="eastAsia"/>
        </w:rPr>
        <w:t>（一）评价结论</w:t>
      </w:r>
      <w:r>
        <w:tab/>
      </w:r>
      <w:r>
        <w:fldChar w:fldCharType="begin"/>
      </w:r>
      <w:r>
        <w:instrText xml:space="preserve"> PAGEREF _Toc54873776 \h </w:instrText>
      </w:r>
      <w:r>
        <w:fldChar w:fldCharType="separate"/>
      </w:r>
      <w:r>
        <w:t>14</w:t>
      </w:r>
      <w:r>
        <w:fldChar w:fldCharType="end"/>
      </w:r>
      <w:r>
        <w:fldChar w:fldCharType="end"/>
      </w:r>
    </w:p>
    <w:p>
      <w:pPr>
        <w:pStyle w:val="11"/>
        <w:tabs>
          <w:tab w:val="right" w:leader="dot" w:pos="8296"/>
        </w:tabs>
        <w:rPr>
          <w:kern w:val="2"/>
          <w:sz w:val="21"/>
        </w:rPr>
      </w:pPr>
      <w:r>
        <w:fldChar w:fldCharType="begin"/>
      </w:r>
      <w:r>
        <w:instrText xml:space="preserve"> HYPERLINK \l "_Toc54873777" </w:instrText>
      </w:r>
      <w:r>
        <w:fldChar w:fldCharType="separate"/>
      </w:r>
      <w:r>
        <w:rPr>
          <w:rStyle w:val="14"/>
          <w:rFonts w:hint="eastAsia"/>
        </w:rPr>
        <w:t>（二）绩效分析</w:t>
      </w:r>
      <w:r>
        <w:tab/>
      </w:r>
      <w:r>
        <w:fldChar w:fldCharType="begin"/>
      </w:r>
      <w:r>
        <w:instrText xml:space="preserve"> PAGEREF _Toc54873777 \h </w:instrText>
      </w:r>
      <w:r>
        <w:fldChar w:fldCharType="separate"/>
      </w:r>
      <w:r>
        <w:t>14</w:t>
      </w:r>
      <w:r>
        <w:fldChar w:fldCharType="end"/>
      </w:r>
      <w:r>
        <w:fldChar w:fldCharType="end"/>
      </w:r>
    </w:p>
    <w:p>
      <w:pPr>
        <w:pStyle w:val="10"/>
        <w:tabs>
          <w:tab w:val="right" w:leader="dot" w:pos="8296"/>
        </w:tabs>
        <w:rPr>
          <w:kern w:val="2"/>
          <w:sz w:val="21"/>
        </w:rPr>
      </w:pPr>
      <w:r>
        <w:fldChar w:fldCharType="begin"/>
      </w:r>
      <w:r>
        <w:instrText xml:space="preserve"> HYPERLINK \l "_Toc54873778" </w:instrText>
      </w:r>
      <w:r>
        <w:fldChar w:fldCharType="separate"/>
      </w:r>
      <w:r>
        <w:rPr>
          <w:rStyle w:val="14"/>
          <w:rFonts w:hint="eastAsia"/>
        </w:rPr>
        <w:t>五、 存在问题及建议</w:t>
      </w:r>
      <w:r>
        <w:tab/>
      </w:r>
      <w:r>
        <w:fldChar w:fldCharType="begin"/>
      </w:r>
      <w:r>
        <w:instrText xml:space="preserve"> PAGEREF _Toc54873778 \h </w:instrText>
      </w:r>
      <w:r>
        <w:fldChar w:fldCharType="separate"/>
      </w:r>
      <w:r>
        <w:t>19</w:t>
      </w:r>
      <w:r>
        <w:fldChar w:fldCharType="end"/>
      </w:r>
      <w:r>
        <w:fldChar w:fldCharType="end"/>
      </w:r>
    </w:p>
    <w:p>
      <w:pPr>
        <w:pStyle w:val="10"/>
        <w:tabs>
          <w:tab w:val="right" w:leader="dot" w:pos="8296"/>
        </w:tabs>
        <w:rPr>
          <w:kern w:val="2"/>
          <w:sz w:val="21"/>
        </w:rPr>
      </w:pPr>
      <w:r>
        <w:fldChar w:fldCharType="begin"/>
      </w:r>
      <w:r>
        <w:instrText xml:space="preserve"> HYPERLINK \l "_Toc54873779" </w:instrText>
      </w:r>
      <w:r>
        <w:fldChar w:fldCharType="separate"/>
      </w:r>
      <w:r>
        <w:rPr>
          <w:rStyle w:val="14"/>
          <w:rFonts w:hint="eastAsia"/>
        </w:rPr>
        <w:t>六、 评价结论及应用建议</w:t>
      </w:r>
      <w:r>
        <w:tab/>
      </w:r>
      <w:r>
        <w:fldChar w:fldCharType="begin"/>
      </w:r>
      <w:r>
        <w:instrText xml:space="preserve"> PAGEREF _Toc54873779 \h </w:instrText>
      </w:r>
      <w:r>
        <w:fldChar w:fldCharType="separate"/>
      </w:r>
      <w:r>
        <w:t>21</w:t>
      </w:r>
      <w:r>
        <w:fldChar w:fldCharType="end"/>
      </w:r>
      <w:r>
        <w:fldChar w:fldCharType="end"/>
      </w:r>
    </w:p>
    <w:p>
      <w:pPr>
        <w:pStyle w:val="10"/>
        <w:tabs>
          <w:tab w:val="right" w:leader="dot" w:pos="8296"/>
        </w:tabs>
        <w:rPr>
          <w:kern w:val="2"/>
          <w:sz w:val="21"/>
        </w:rPr>
      </w:pPr>
      <w:r>
        <w:fldChar w:fldCharType="begin"/>
      </w:r>
      <w:r>
        <w:instrText xml:space="preserve"> HYPERLINK \l "_Toc54873780" </w:instrText>
      </w:r>
      <w:r>
        <w:fldChar w:fldCharType="separate"/>
      </w:r>
      <w:r>
        <w:rPr>
          <w:rStyle w:val="14"/>
          <w:rFonts w:hint="eastAsia"/>
        </w:rPr>
        <w:t>七、 其他需要说明的问题</w:t>
      </w:r>
      <w:r>
        <w:tab/>
      </w:r>
      <w:r>
        <w:fldChar w:fldCharType="begin"/>
      </w:r>
      <w:r>
        <w:instrText xml:space="preserve"> PAGEREF _Toc54873780 \h </w:instrText>
      </w:r>
      <w:r>
        <w:fldChar w:fldCharType="separate"/>
      </w:r>
      <w:r>
        <w:t>21</w:t>
      </w:r>
      <w:r>
        <w:fldChar w:fldCharType="end"/>
      </w:r>
      <w:r>
        <w:fldChar w:fldCharType="end"/>
      </w:r>
    </w:p>
    <w:p>
      <w:pPr>
        <w:jc w:val="left"/>
        <w:rPr>
          <w:rFonts w:ascii="仿宋_GB2312" w:eastAsia="仿宋_GB2312" w:hAnsiTheme="majorEastAsia"/>
          <w:b/>
          <w:bCs/>
          <w:sz w:val="30"/>
          <w:szCs w:val="30"/>
        </w:rPr>
      </w:pPr>
      <w:r>
        <w:rPr>
          <w:rFonts w:ascii="仿宋_GB2312" w:eastAsia="仿宋_GB2312" w:hAnsiTheme="majorEastAsia"/>
          <w:b/>
          <w:bCs/>
          <w:sz w:val="30"/>
          <w:szCs w:val="30"/>
        </w:rPr>
        <w:fldChar w:fldCharType="end"/>
      </w:r>
    </w:p>
    <w:p>
      <w:pPr>
        <w:widowControl/>
        <w:jc w:val="left"/>
        <w:rPr>
          <w:rFonts w:ascii="仿宋_GB2312" w:eastAsia="仿宋_GB2312" w:hAnsiTheme="majorEastAsia"/>
          <w:b/>
          <w:bCs/>
          <w:sz w:val="30"/>
          <w:szCs w:val="30"/>
        </w:rPr>
      </w:pPr>
    </w:p>
    <w:p>
      <w:pPr>
        <w:jc w:val="center"/>
        <w:rPr>
          <w:rFonts w:ascii="仿宋_GB2312" w:eastAsia="仿宋_GB2312" w:hAnsiTheme="majorEastAsia"/>
          <w:b/>
          <w:bCs/>
          <w:sz w:val="30"/>
          <w:szCs w:val="30"/>
        </w:rPr>
      </w:pPr>
    </w:p>
    <w:p>
      <w:pPr>
        <w:rPr>
          <w:rFonts w:ascii="仿宋_GB2312" w:eastAsia="仿宋_GB2312" w:hAnsiTheme="majorEastAsia"/>
          <w:b/>
          <w:bCs/>
          <w:sz w:val="30"/>
          <w:szCs w:val="30"/>
        </w:rPr>
        <w:sectPr>
          <w:footerReference r:id="rId5" w:type="default"/>
          <w:pgSz w:w="11906" w:h="16838"/>
          <w:pgMar w:top="1134" w:right="1134" w:bottom="1134" w:left="1418" w:header="851" w:footer="680" w:gutter="0"/>
          <w:cols w:space="425" w:num="1"/>
          <w:docGrid w:type="lines" w:linePitch="312" w:charSpace="0"/>
        </w:sectPr>
      </w:pPr>
    </w:p>
    <w:p>
      <w:pPr>
        <w:widowControl/>
        <w:jc w:val="left"/>
        <w:rPr>
          <w:rFonts w:ascii="仿宋_GB2312" w:eastAsia="仿宋_GB2312" w:hAnsiTheme="majorEastAsia"/>
          <w:b/>
          <w:bCs/>
          <w:sz w:val="30"/>
          <w:szCs w:val="30"/>
        </w:rPr>
      </w:pPr>
    </w:p>
    <w:bookmarkEnd w:id="1"/>
    <w:p>
      <w:pPr>
        <w:jc w:val="center"/>
        <w:rPr>
          <w:rFonts w:ascii="仿宋_GB2312" w:eastAsia="仿宋_GB2312" w:hAnsiTheme="majorEastAsia"/>
          <w:b/>
          <w:bCs/>
          <w:sz w:val="30"/>
          <w:szCs w:val="30"/>
        </w:rPr>
      </w:pPr>
      <w:r>
        <w:rPr>
          <w:rFonts w:hint="eastAsia" w:ascii="仿宋_GB2312" w:eastAsia="仿宋_GB2312" w:hAnsiTheme="majorEastAsia"/>
          <w:b/>
          <w:bCs/>
          <w:sz w:val="30"/>
          <w:szCs w:val="30"/>
        </w:rPr>
        <w:t>垫江县城市管理局</w:t>
      </w:r>
    </w:p>
    <w:p>
      <w:pPr>
        <w:jc w:val="center"/>
        <w:rPr>
          <w:rFonts w:ascii="仿宋_GB2312" w:eastAsia="仿宋_GB2312" w:hAnsiTheme="majorEastAsia"/>
          <w:b/>
          <w:bCs/>
          <w:sz w:val="30"/>
          <w:szCs w:val="30"/>
        </w:rPr>
      </w:pPr>
      <w:r>
        <w:rPr>
          <w:rFonts w:hint="eastAsia" w:ascii="仿宋_GB2312" w:eastAsia="仿宋_GB2312" w:hAnsiTheme="majorEastAsia"/>
          <w:b/>
          <w:bCs/>
          <w:sz w:val="30"/>
          <w:szCs w:val="30"/>
        </w:rPr>
        <w:t>农村生活垃圾中段收运和末端转运项目</w:t>
      </w:r>
    </w:p>
    <w:p>
      <w:pPr>
        <w:jc w:val="center"/>
        <w:rPr>
          <w:rFonts w:ascii="仿宋_GB2312" w:eastAsia="仿宋_GB2312" w:hAnsiTheme="majorEastAsia"/>
          <w:b/>
          <w:bCs/>
          <w:sz w:val="30"/>
          <w:szCs w:val="30"/>
        </w:rPr>
      </w:pPr>
      <w:r>
        <w:rPr>
          <w:rFonts w:hint="eastAsia" w:ascii="仿宋_GB2312" w:eastAsia="仿宋_GB2312" w:hAnsiTheme="majorEastAsia"/>
          <w:b/>
          <w:bCs/>
          <w:sz w:val="30"/>
          <w:szCs w:val="30"/>
        </w:rPr>
        <w:t>财政支出绩效评价报告</w:t>
      </w:r>
    </w:p>
    <w:p>
      <w:pPr>
        <w:spacing w:beforeLines="100" w:line="360" w:lineRule="auto"/>
        <w:jc w:val="left"/>
        <w:rPr>
          <w:rFonts w:ascii="仿宋_GB2312" w:eastAsia="仿宋_GB2312" w:hAnsiTheme="majorEastAsia"/>
          <w:b/>
          <w:bCs/>
          <w:sz w:val="28"/>
          <w:szCs w:val="28"/>
        </w:rPr>
      </w:pPr>
      <w:r>
        <w:rPr>
          <w:rFonts w:hint="eastAsia" w:ascii="仿宋_GB2312" w:eastAsia="仿宋_GB2312" w:hAnsiTheme="majorEastAsia"/>
          <w:b/>
          <w:bCs/>
          <w:sz w:val="28"/>
          <w:szCs w:val="28"/>
        </w:rPr>
        <w:t>垫江县预算绩效管理中心：</w:t>
      </w:r>
    </w:p>
    <w:p>
      <w:pPr>
        <w:spacing w:beforeLines="50" w:line="360" w:lineRule="auto"/>
        <w:ind w:firstLine="424" w:firstLineChars="177"/>
        <w:rPr>
          <w:rFonts w:ascii="仿宋_GB2312" w:eastAsia="仿宋_GB2312" w:hAnsiTheme="majorEastAsia"/>
          <w:sz w:val="24"/>
          <w:szCs w:val="24"/>
        </w:rPr>
      </w:pPr>
      <w:r>
        <w:rPr>
          <w:rFonts w:hint="eastAsia" w:ascii="仿宋_GB2312" w:eastAsia="仿宋_GB2312" w:hAnsiTheme="majorEastAsia"/>
          <w:sz w:val="24"/>
          <w:szCs w:val="24"/>
        </w:rPr>
        <w:t>我们接受委托，对垫江县城市管理局组织实施的2019年度垫江县农村生活垃圾中段收运和末端转运项目进行绩效评价。项目主管单位垫江县城市管理局和实施单位垫江县环境卫生管理所提供了项目绩效评价相关的资料。资料提供单位对相关资料的真实性、合法性和完整性负责。我们的责任是根据评价资料对相关技术性服务费的财政资金支出进行绩效评价，并出具绩效评价报告。</w:t>
      </w:r>
    </w:p>
    <w:p>
      <w:pPr>
        <w:spacing w:beforeLines="50" w:line="360" w:lineRule="auto"/>
        <w:ind w:firstLine="424" w:firstLineChars="177"/>
        <w:rPr>
          <w:rFonts w:ascii="仿宋_GB2312" w:eastAsia="仿宋_GB2312" w:hAnsiTheme="majorEastAsia"/>
          <w:sz w:val="24"/>
          <w:szCs w:val="24"/>
        </w:rPr>
      </w:pPr>
      <w:r>
        <w:rPr>
          <w:rFonts w:hint="eastAsia" w:ascii="仿宋_GB2312" w:eastAsia="仿宋_GB2312" w:hAnsiTheme="majorEastAsia"/>
          <w:sz w:val="24"/>
          <w:szCs w:val="24"/>
        </w:rPr>
        <w:t>我们的绩效评价工作是依据《项目支出绩效评价管理办法》（财预〔2020〕10号）、《重庆市财政局关于印发&lt;重庆市市级政策和项目预算绩效管理办法（试行）&gt;的通知》、《中国注册会计师审计准则》、《会计师事务所财政支出绩效评价业务指引》（会协〔2016〕10号）等进行的。在绩效评价过程中，结合项目的实际情况，采用现场考核评价和非现场考核评价相结合的方式。运用现场勘察、问询、复核、检查和问卷调查等多种方式，对评价项目的有关情况进行核实，对所掌握的有关信息资料进行分类、整理和分析。</w:t>
      </w:r>
    </w:p>
    <w:p>
      <w:pPr>
        <w:spacing w:beforeLines="50" w:line="360" w:lineRule="auto"/>
        <w:ind w:firstLine="424" w:firstLineChars="177"/>
        <w:rPr>
          <w:rFonts w:ascii="仿宋_GB2312" w:eastAsia="仿宋_GB2312" w:hAnsiTheme="majorEastAsia"/>
          <w:sz w:val="24"/>
          <w:szCs w:val="24"/>
        </w:rPr>
      </w:pPr>
      <w:r>
        <w:rPr>
          <w:rFonts w:hint="eastAsia" w:ascii="仿宋_GB2312" w:eastAsia="仿宋_GB2312" w:hAnsiTheme="majorEastAsia"/>
          <w:sz w:val="24"/>
          <w:szCs w:val="24"/>
        </w:rPr>
        <w:t>本次绩效评价主要根据</w:t>
      </w:r>
      <w:bookmarkStart w:id="2" w:name="_Hlk52917264"/>
      <w:r>
        <w:rPr>
          <w:rFonts w:hint="eastAsia" w:ascii="仿宋_GB2312" w:eastAsia="仿宋_GB2312" w:hAnsiTheme="majorEastAsia"/>
          <w:sz w:val="24"/>
          <w:szCs w:val="24"/>
        </w:rPr>
        <w:t>《重庆市财政局关于印发&lt;重庆市市级政策和项目预算绩效管理办法（试行）&gt;的通知》</w:t>
      </w:r>
      <w:bookmarkEnd w:id="2"/>
      <w:r>
        <w:rPr>
          <w:rFonts w:hint="eastAsia" w:ascii="仿宋_GB2312" w:eastAsia="仿宋_GB2312" w:hAnsiTheme="majorEastAsia"/>
          <w:sz w:val="24"/>
          <w:szCs w:val="24"/>
        </w:rPr>
        <w:t>（渝财绩〔2019〕19号）的要求，通过指标评价、数据采集和社会调查对项目立项情况，绩效指标设定情况、项目投入情况、财务管理情况、实施管理情况、项目绩效目标的实现程度，包括是否达到预定产出和效果等内容进行评价，并形成本报告。</w:t>
      </w:r>
    </w:p>
    <w:p>
      <w:pPr>
        <w:pStyle w:val="23"/>
      </w:pPr>
      <w:bookmarkStart w:id="3" w:name="_Toc54873762"/>
      <w:r>
        <w:rPr>
          <w:rFonts w:hint="eastAsia"/>
        </w:rPr>
        <w:t>基本情况</w:t>
      </w:r>
      <w:bookmarkEnd w:id="3"/>
    </w:p>
    <w:p>
      <w:pPr>
        <w:pStyle w:val="24"/>
      </w:pPr>
      <w:bookmarkStart w:id="4" w:name="_Toc54873763"/>
      <w:r>
        <w:rPr>
          <w:rFonts w:hint="eastAsia"/>
        </w:rPr>
        <w:t>项目背景</w:t>
      </w:r>
      <w:bookmarkEnd w:id="4"/>
    </w:p>
    <w:p>
      <w:pPr>
        <w:pStyle w:val="17"/>
        <w:autoSpaceDE w:val="0"/>
        <w:autoSpaceDN w:val="0"/>
        <w:snapToGrid w:val="0"/>
        <w:spacing w:before="100" w:beforeAutospacing="1" w:line="360" w:lineRule="auto"/>
        <w:ind w:firstLineChars="175"/>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为贯彻落实党的十八大和十八届三中、四中、五中全会以及重庆市委四届六次、七次全会精神，贯彻党中央、国务院以及市委、市政府的决策部署，以统筹城乡发展、造福农民群众为出发点，以实现农村生活垃圾全面长效治理为目标，以切实改善和提高农村生态环境水平为导向，深化落实《住房和城乡建设部等部门关于全面推进农村垃圾治理的指导意见》(建村</w:t>
      </w:r>
      <w:r>
        <w:rPr>
          <w:rFonts w:hint="eastAsia" w:ascii="仿宋_GB2312" w:eastAsia="仿宋_GB2312" w:hAnsiTheme="majorEastAsia"/>
          <w:sz w:val="24"/>
          <w:szCs w:val="24"/>
        </w:rPr>
        <w:t>〔2015〕</w:t>
      </w:r>
      <w:r>
        <w:rPr>
          <w:rFonts w:hint="eastAsia" w:ascii="仿宋_GB2312" w:eastAsia="仿宋_GB2312" w:cs="仿宋_GB2312" w:hAnsiTheme="minorEastAsia"/>
          <w:sz w:val="24"/>
          <w:szCs w:val="24"/>
        </w:rPr>
        <w:t xml:space="preserve"> 170号)、全国农村生活垃圾治理工作电视电话会议和重庆关于农村生活垃圾治理相关文件要求，进一步理顺体制机制，完善工作措施，因地制宜推进农村生活垃圾全面治理，加快形成人居环境与乡风文明相互促进的良好局面，建设整洁卫生、环境优美、和谐宜居的美丽乡村。</w:t>
      </w:r>
    </w:p>
    <w:p>
      <w:pPr>
        <w:pStyle w:val="24"/>
      </w:pPr>
      <w:bookmarkStart w:id="5" w:name="_Toc54873764"/>
      <w:r>
        <w:rPr>
          <w:rFonts w:hint="eastAsia"/>
        </w:rPr>
        <w:t>项目概况</w:t>
      </w:r>
      <w:bookmarkEnd w:id="5"/>
    </w:p>
    <w:p>
      <w:pPr>
        <w:pStyle w:val="17"/>
        <w:autoSpaceDE w:val="0"/>
        <w:autoSpaceDN w:val="0"/>
        <w:snapToGrid w:val="0"/>
        <w:spacing w:before="100" w:beforeAutospacing="1" w:line="360" w:lineRule="auto"/>
        <w:ind w:firstLine="424" w:firstLineChars="177"/>
        <w:jc w:val="left"/>
        <w:rPr>
          <w:rFonts w:ascii="仿宋_GB2312" w:eastAsia="仿宋_GB2312" w:cs="仿宋_GB2312" w:hAnsiTheme="minorEastAsia"/>
          <w:bCs/>
          <w:sz w:val="24"/>
          <w:szCs w:val="24"/>
        </w:rPr>
      </w:pPr>
      <w:r>
        <w:rPr>
          <w:rFonts w:hint="eastAsia" w:ascii="仿宋_GB2312" w:eastAsia="仿宋_GB2312" w:cs="仿宋_GB2312" w:hAnsiTheme="minorEastAsia"/>
          <w:bCs/>
          <w:sz w:val="24"/>
          <w:szCs w:val="24"/>
        </w:rPr>
        <w:t>根据《垫江县人民政府办公室关于印发垫江县农村生活垃圾治理工作实施方案（2016-2018年）的通知》(垫江府办发</w:t>
      </w:r>
      <w:r>
        <w:rPr>
          <w:rFonts w:hint="eastAsia" w:ascii="仿宋_GB2312" w:eastAsia="仿宋_GB2312" w:hAnsiTheme="majorEastAsia"/>
          <w:sz w:val="24"/>
          <w:szCs w:val="24"/>
        </w:rPr>
        <w:t>〔2016〕5号)</w:t>
      </w:r>
      <w:r>
        <w:rPr>
          <w:rFonts w:hint="eastAsia" w:ascii="仿宋_GB2312" w:eastAsia="仿宋_GB2312" w:cs="仿宋_GB2312" w:hAnsiTheme="minorEastAsia"/>
          <w:bCs/>
          <w:sz w:val="24"/>
          <w:szCs w:val="24"/>
        </w:rPr>
        <w:t>和《重庆市垫江县乡镇（街道）、农村生活垃圾中段收运和末端转运项目协议书》，本</w:t>
      </w:r>
      <w:r>
        <w:rPr>
          <w:rFonts w:ascii="仿宋_GB2312" w:eastAsia="仿宋_GB2312" w:cs="仿宋_GB2312" w:hAnsiTheme="minorEastAsia"/>
          <w:bCs/>
          <w:sz w:val="24"/>
          <w:szCs w:val="24"/>
        </w:rPr>
        <w:t>项目主管单位为垫江县城市管理局</w:t>
      </w:r>
      <w:r>
        <w:rPr>
          <w:rFonts w:hint="eastAsia" w:ascii="仿宋_GB2312" w:eastAsia="仿宋_GB2312" w:cs="仿宋_GB2312" w:hAnsiTheme="minorEastAsia"/>
          <w:bCs/>
          <w:sz w:val="24"/>
          <w:szCs w:val="24"/>
        </w:rPr>
        <w:t>，主要职责为负责全县农村生活垃圾治理工作的统筹协调、指导、监督考核及其他日常工作。</w:t>
      </w:r>
      <w:r>
        <w:rPr>
          <w:rFonts w:ascii="仿宋_GB2312" w:eastAsia="仿宋_GB2312" w:cs="仿宋_GB2312" w:hAnsiTheme="minorEastAsia"/>
          <w:bCs/>
          <w:sz w:val="24"/>
          <w:szCs w:val="24"/>
        </w:rPr>
        <w:t>项目实施单位为</w:t>
      </w:r>
      <w:r>
        <w:rPr>
          <w:rFonts w:hint="eastAsia" w:ascii="仿宋_GB2312" w:eastAsia="仿宋_GB2312" w:cs="仿宋_GB2312" w:hAnsiTheme="minorEastAsia"/>
          <w:bCs/>
          <w:sz w:val="24"/>
          <w:szCs w:val="24"/>
        </w:rPr>
        <w:t>垫江县环境卫生管理所，负责垃圾收运转运计量、付费等工作。</w:t>
      </w:r>
    </w:p>
    <w:p>
      <w:pPr>
        <w:pStyle w:val="17"/>
        <w:autoSpaceDE w:val="0"/>
        <w:autoSpaceDN w:val="0"/>
        <w:snapToGrid w:val="0"/>
        <w:spacing w:before="100" w:beforeAutospacing="1" w:line="360" w:lineRule="auto"/>
        <w:ind w:firstLine="424" w:firstLineChars="177"/>
        <w:rPr>
          <w:rFonts w:ascii="仿宋_GB2312" w:eastAsia="仿宋_GB2312" w:cs="仿宋_GB2312" w:hAnsiTheme="minorEastAsia"/>
          <w:bCs/>
          <w:sz w:val="24"/>
          <w:szCs w:val="24"/>
        </w:rPr>
      </w:pPr>
      <w:r>
        <w:rPr>
          <w:rFonts w:ascii="仿宋_GB2312" w:eastAsia="仿宋_GB2312" w:cs="仿宋_GB2312" w:hAnsiTheme="minorEastAsia"/>
          <w:bCs/>
          <w:sz w:val="24"/>
          <w:szCs w:val="24"/>
        </w:rPr>
        <w:t>农村生活垃圾收运转运的范围包括</w:t>
      </w:r>
      <w:r>
        <w:rPr>
          <w:rFonts w:hint="eastAsia" w:ascii="仿宋_GB2312" w:eastAsia="仿宋_GB2312" w:cs="仿宋_GB2312" w:hAnsiTheme="minorEastAsia"/>
          <w:bCs/>
          <w:sz w:val="24"/>
          <w:szCs w:val="24"/>
        </w:rPr>
        <w:t>新民镇、沙坪镇、周嘉镇、普顺镇、永安镇、高安镇、高峰镇、五洞镇、澄溪镇、太平镇、鹤游镇、坪山镇、砚台镇、曹回镇、杠家镇、包家镇、白家镇、永平镇、三溪镇、裴兴镇、长龙镇、新民镇、黄沙镇、沙河乡、大石乡24个乡镇场镇和农村的生活垃圾中段收运和末端转运。（本次评价未包括桂溪街道、桂阳街道）。</w:t>
      </w:r>
    </w:p>
    <w:p>
      <w:pPr>
        <w:pStyle w:val="17"/>
        <w:autoSpaceDE w:val="0"/>
        <w:autoSpaceDN w:val="0"/>
        <w:snapToGrid w:val="0"/>
        <w:spacing w:before="100" w:beforeAutospacing="1" w:line="360" w:lineRule="auto"/>
        <w:ind w:firstLine="424" w:firstLineChars="177"/>
        <w:rPr>
          <w:rFonts w:ascii="仿宋_GB2312" w:eastAsia="仿宋_GB2312" w:cs="仿宋_GB2312" w:hAnsiTheme="minorEastAsia"/>
          <w:bCs/>
          <w:sz w:val="24"/>
          <w:szCs w:val="24"/>
        </w:rPr>
      </w:pPr>
      <w:r>
        <w:rPr>
          <w:rFonts w:hint="eastAsia" w:ascii="仿宋_GB2312" w:eastAsia="仿宋_GB2312" w:cs="仿宋_GB2312" w:hAnsiTheme="minorEastAsia"/>
          <w:bCs/>
          <w:sz w:val="24"/>
          <w:szCs w:val="24"/>
        </w:rPr>
        <w:t>农村的生活垃圾中段收运工作内容为：将各乡镇街道、行政村(居）公路沿线及居民集中居住点等统筹布置的垃圾箱体运输至各乡镇垃圾中转站。末端转运的工作内容为：将各乡镇垃圾中转站内的生活垃圾压缩并转运至生活垃圾终端处置场所。</w:t>
      </w:r>
    </w:p>
    <w:p>
      <w:pPr>
        <w:pStyle w:val="24"/>
      </w:pPr>
      <w:bookmarkStart w:id="6" w:name="_Toc54873765"/>
      <w:r>
        <w:rPr>
          <w:rFonts w:hint="eastAsia"/>
        </w:rPr>
        <w:t>资金来源及使用情况</w:t>
      </w:r>
      <w:bookmarkEnd w:id="6"/>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 xml:space="preserve"> 根据《垫江县城市管理局关于转发&lt;</w:t>
      </w:r>
      <w:r>
        <w:rPr>
          <w:rFonts w:hint="eastAsia" w:ascii="仿宋_GB2312" w:eastAsia="仿宋_GB2312" w:cs="仿宋_GB2312" w:hAnsiTheme="minorEastAsia"/>
          <w:sz w:val="24"/>
          <w:szCs w:val="24"/>
          <w:lang w:eastAsia="zh-CN"/>
        </w:rPr>
        <w:t>垫江县财政局</w:t>
      </w:r>
      <w:r>
        <w:rPr>
          <w:rFonts w:hint="eastAsia" w:ascii="仿宋_GB2312" w:eastAsia="仿宋_GB2312" w:cs="仿宋_GB2312" w:hAnsiTheme="minorEastAsia"/>
          <w:sz w:val="24"/>
          <w:szCs w:val="24"/>
        </w:rPr>
        <w:t>关于下达2019年度县级部门预算的通知&gt;的通知》（垫江城管发</w:t>
      </w:r>
      <w:r>
        <w:rPr>
          <w:rFonts w:hint="eastAsia" w:ascii="仿宋_GB2312" w:eastAsia="仿宋_GB2312" w:hAnsiTheme="majorEastAsia"/>
          <w:sz w:val="24"/>
          <w:szCs w:val="24"/>
        </w:rPr>
        <w:t>〔2019〕</w:t>
      </w:r>
      <w:r>
        <w:rPr>
          <w:rFonts w:hint="eastAsia" w:ascii="仿宋_GB2312" w:eastAsia="仿宋_GB2312" w:cs="仿宋_GB2312" w:hAnsiTheme="minorEastAsia"/>
          <w:sz w:val="24"/>
          <w:szCs w:val="24"/>
        </w:rPr>
        <w:t>16号，2019年度垫江县环境卫生管理所的城市保洁费预算为4998.12万元，包括城市保洁、车辆运行经费、农村生活垃圾收运转运费用、县城区域污泥干化处理费用和县城区域渗滤液处理费用。通知对2019年度城市保洁费预算未按照项目分解，按照垫江县环境卫生管理所项目绩效目标申报表，2019年度农村生活垃圾收运转运费用设定预算为1500万元。</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2019年垫江县环境卫生管理所账面实际支出农村生活垃圾收运服务费1441.77万元，包括2018年12月下半月的服务费</w:t>
      </w:r>
      <w:r>
        <w:rPr>
          <w:rFonts w:ascii="仿宋_GB2312" w:eastAsia="仿宋_GB2312" w:cs="仿宋_GB2312" w:hAnsiTheme="minorEastAsia"/>
          <w:sz w:val="24"/>
          <w:szCs w:val="24"/>
        </w:rPr>
        <w:t>63</w:t>
      </w:r>
      <w:r>
        <w:rPr>
          <w:rFonts w:hint="eastAsia" w:ascii="仿宋_GB2312" w:eastAsia="仿宋_GB2312" w:cs="仿宋_GB2312" w:hAnsiTheme="minorEastAsia"/>
          <w:sz w:val="24"/>
          <w:szCs w:val="24"/>
        </w:rPr>
        <w:t>.</w:t>
      </w:r>
      <w:r>
        <w:rPr>
          <w:rFonts w:ascii="仿宋_GB2312" w:eastAsia="仿宋_GB2312" w:cs="仿宋_GB2312" w:hAnsiTheme="minorEastAsia"/>
          <w:sz w:val="24"/>
          <w:szCs w:val="24"/>
        </w:rPr>
        <w:t>0</w:t>
      </w:r>
      <w:r>
        <w:rPr>
          <w:rFonts w:hint="eastAsia" w:ascii="仿宋_GB2312" w:eastAsia="仿宋_GB2312" w:cs="仿宋_GB2312" w:hAnsiTheme="minorEastAsia"/>
          <w:sz w:val="24"/>
          <w:szCs w:val="24"/>
        </w:rPr>
        <w:t>4万元；2019年1至9月的服务费</w:t>
      </w:r>
      <w:r>
        <w:rPr>
          <w:rFonts w:ascii="仿宋_GB2312" w:eastAsia="仿宋_GB2312" w:cs="仿宋_GB2312" w:hAnsiTheme="minorEastAsia"/>
          <w:sz w:val="24"/>
          <w:szCs w:val="24"/>
        </w:rPr>
        <w:t>1378</w:t>
      </w:r>
      <w:r>
        <w:rPr>
          <w:rFonts w:hint="eastAsia" w:ascii="仿宋_GB2312" w:eastAsia="仿宋_GB2312" w:cs="仿宋_GB2312" w:hAnsiTheme="minorEastAsia"/>
          <w:sz w:val="24"/>
          <w:szCs w:val="24"/>
        </w:rPr>
        <w:t>.</w:t>
      </w:r>
      <w:r>
        <w:rPr>
          <w:rFonts w:ascii="仿宋_GB2312" w:eastAsia="仿宋_GB2312" w:cs="仿宋_GB2312" w:hAnsiTheme="minorEastAsia"/>
          <w:sz w:val="24"/>
          <w:szCs w:val="24"/>
        </w:rPr>
        <w:t>7</w:t>
      </w:r>
      <w:r>
        <w:rPr>
          <w:rFonts w:hint="eastAsia" w:ascii="仿宋_GB2312" w:eastAsia="仿宋_GB2312" w:cs="仿宋_GB2312" w:hAnsiTheme="minorEastAsia"/>
          <w:sz w:val="24"/>
          <w:szCs w:val="24"/>
        </w:rPr>
        <w:t>3万元。</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2019年垫江县24个乡镇农村生活垃圾收运服务费实际发生金额为</w:t>
      </w:r>
      <w:r>
        <w:rPr>
          <w:rFonts w:ascii="仿宋_GB2312" w:eastAsia="仿宋_GB2312" w:cs="仿宋_GB2312" w:hAnsiTheme="minorEastAsia"/>
          <w:sz w:val="24"/>
          <w:szCs w:val="24"/>
        </w:rPr>
        <w:t>1764</w:t>
      </w:r>
      <w:r>
        <w:rPr>
          <w:rFonts w:hint="eastAsia" w:ascii="仿宋_GB2312" w:eastAsia="仿宋_GB2312" w:cs="仿宋_GB2312" w:hAnsiTheme="minorEastAsia"/>
          <w:sz w:val="24"/>
          <w:szCs w:val="24"/>
        </w:rPr>
        <w:t>.</w:t>
      </w:r>
      <w:r>
        <w:rPr>
          <w:rFonts w:ascii="仿宋_GB2312" w:eastAsia="仿宋_GB2312" w:cs="仿宋_GB2312" w:hAnsiTheme="minorEastAsia"/>
          <w:sz w:val="24"/>
          <w:szCs w:val="24"/>
        </w:rPr>
        <w:t>0</w:t>
      </w:r>
      <w:r>
        <w:rPr>
          <w:rFonts w:hint="eastAsia" w:ascii="仿宋_GB2312" w:eastAsia="仿宋_GB2312" w:cs="仿宋_GB2312" w:hAnsiTheme="minorEastAsia"/>
          <w:sz w:val="24"/>
          <w:szCs w:val="24"/>
        </w:rPr>
        <w:t>8万元(截止2019年12月21日)，实际支付2019年1至9月的服务费</w:t>
      </w:r>
      <w:r>
        <w:rPr>
          <w:rFonts w:ascii="仿宋_GB2312" w:eastAsia="仿宋_GB2312" w:cs="仿宋_GB2312" w:hAnsiTheme="minorEastAsia"/>
          <w:sz w:val="24"/>
          <w:szCs w:val="24"/>
        </w:rPr>
        <w:t>1378</w:t>
      </w:r>
      <w:r>
        <w:rPr>
          <w:rFonts w:hint="eastAsia" w:ascii="仿宋_GB2312" w:eastAsia="仿宋_GB2312" w:cs="仿宋_GB2312" w:hAnsiTheme="minorEastAsia"/>
          <w:sz w:val="24"/>
          <w:szCs w:val="24"/>
        </w:rPr>
        <w:t>.</w:t>
      </w:r>
      <w:r>
        <w:rPr>
          <w:rFonts w:ascii="仿宋_GB2312" w:eastAsia="仿宋_GB2312" w:cs="仿宋_GB2312" w:hAnsiTheme="minorEastAsia"/>
          <w:sz w:val="24"/>
          <w:szCs w:val="24"/>
        </w:rPr>
        <w:t>7</w:t>
      </w:r>
      <w:r>
        <w:rPr>
          <w:rFonts w:hint="eastAsia" w:ascii="仿宋_GB2312" w:eastAsia="仿宋_GB2312" w:cs="仿宋_GB2312" w:hAnsiTheme="minorEastAsia"/>
          <w:sz w:val="24"/>
          <w:szCs w:val="24"/>
        </w:rPr>
        <w:t>3万元，剩余于385.35万元（10-12月）未在2019年度支付，实际支付时间为2020年1月。</w:t>
      </w:r>
      <w:r>
        <w:rPr>
          <w:rFonts w:hint="eastAsia" w:ascii="仿宋_GB2312" w:eastAsia="仿宋_GB2312" w:cs="仿宋_GB2312" w:hAnsiTheme="minorEastAsia"/>
          <w:sz w:val="24"/>
          <w:szCs w:val="24"/>
        </w:rPr>
        <w:tab/>
      </w:r>
    </w:p>
    <w:p>
      <w:pPr>
        <w:pStyle w:val="24"/>
      </w:pPr>
      <w:bookmarkStart w:id="7" w:name="_Toc54873766"/>
      <w:r>
        <w:rPr>
          <w:rFonts w:hint="eastAsia"/>
        </w:rPr>
        <w:t>项目实施情况</w:t>
      </w:r>
      <w:bookmarkEnd w:id="7"/>
    </w:p>
    <w:p>
      <w:pPr>
        <w:pStyle w:val="17"/>
        <w:autoSpaceDE w:val="0"/>
        <w:autoSpaceDN w:val="0"/>
        <w:snapToGrid w:val="0"/>
        <w:spacing w:before="100" w:beforeAutospacing="1" w:line="360" w:lineRule="auto"/>
        <w:ind w:left="6" w:firstLineChars="175"/>
        <w:rPr>
          <w:rFonts w:ascii="仿宋_GB2312" w:eastAsia="仿宋_GB2312" w:cs="仿宋_GB2312" w:hAnsiTheme="minorEastAsia"/>
          <w:sz w:val="24"/>
          <w:szCs w:val="24"/>
        </w:rPr>
      </w:pPr>
      <w:r>
        <w:rPr>
          <w:rFonts w:hint="eastAsia" w:ascii="仿宋_GB2312" w:eastAsia="仿宋_GB2312" w:cs="仿宋_GB2312" w:hAnsiTheme="minorEastAsia"/>
          <w:bCs/>
          <w:sz w:val="24"/>
          <w:szCs w:val="24"/>
        </w:rPr>
        <w:t>2016年12月，垫江县市政园林管理局、垫江县环境卫生管理所与重庆市环卫集团有限公司、重庆市垫江县明洁环境服务有限公司签订了《重庆市垫江县乡镇（街道）、农村生活垃圾中段收运和末端转运项目协议书》，由重庆市垫江县明洁环境服务有限公司负责农村生活垃圾的收运转运工作，但项目主管单位和实施单位均未能提供项目招投标相关资料。</w:t>
      </w:r>
    </w:p>
    <w:p>
      <w:pPr>
        <w:pStyle w:val="17"/>
        <w:autoSpaceDE w:val="0"/>
        <w:autoSpaceDN w:val="0"/>
        <w:snapToGrid w:val="0"/>
        <w:spacing w:before="100" w:beforeAutospacing="1" w:line="360" w:lineRule="auto"/>
        <w:ind w:left="6" w:firstLineChars="175"/>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农村生活垃圾由重庆市环卫集团有限公司的项目公司、重庆市垫江县明洁环境服务有限公司将各乡镇街道、行政村(居）公路沿线及居民集中居住点等统筹布置的垃圾箱体运输至各乡镇垃圾中转站，压缩后转运至生活垃圾终端处置场所。</w:t>
      </w:r>
    </w:p>
    <w:p>
      <w:pPr>
        <w:pStyle w:val="17"/>
        <w:autoSpaceDE w:val="0"/>
        <w:autoSpaceDN w:val="0"/>
        <w:snapToGrid w:val="0"/>
        <w:spacing w:before="100" w:beforeAutospacing="1" w:line="360" w:lineRule="auto"/>
        <w:ind w:left="6" w:firstLineChars="175"/>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垫江县城市管理局根据《垫江县乡镇（街道）、农村生活垃圾中段收运和末端转运项目运营作业标准和考核管理办法》的规定，每月对重庆市垫江县明洁环境服务有限公司的工作情况进行考核，并编制考核统计表。考核内容主要包括群众、媒体投诉；车容车貌及垃圾箱体清洁；运输撒漏和清洁；弄虚作假和设施设备故障未及时修复等内容。</w:t>
      </w:r>
    </w:p>
    <w:p>
      <w:pPr>
        <w:pStyle w:val="17"/>
        <w:autoSpaceDE w:val="0"/>
        <w:autoSpaceDN w:val="0"/>
        <w:snapToGrid w:val="0"/>
        <w:spacing w:before="100" w:beforeAutospacing="1" w:line="360" w:lineRule="auto"/>
        <w:ind w:left="6" w:firstLineChars="175"/>
        <w:rPr>
          <w:rFonts w:ascii="仿宋_GB2312" w:eastAsia="仿宋_GB2312" w:cs="仿宋_GB2312" w:hAnsiTheme="minorEastAsia"/>
          <w:sz w:val="24"/>
          <w:szCs w:val="24"/>
        </w:rPr>
      </w:pPr>
      <w:r>
        <w:rPr>
          <w:rFonts w:hint="eastAsia" w:ascii="仿宋_GB2312" w:eastAsia="仿宋_GB2312" w:cs="仿宋_GB2312" w:hAnsiTheme="minorEastAsia"/>
          <w:sz w:val="24"/>
          <w:szCs w:val="24"/>
        </w:rPr>
        <w:t xml:space="preserve">垫江县卫生管理所根据重庆垫江县生活垃圾处理厂的每月按照称重时间查询数据核对确认重庆市垫江县明洁环境服务有限公司的农村垃圾收运转运数据。对于核对过程中出现的差异，由重庆市垫江县明洁环境服务有限公司提出关于垃圾量称重的情况说明及明细表，经通过相关人员签字确认。财务部门根据经审核（批）的发票、结算单、考核表、称重记录等原始凭证支付服务费。 </w:t>
      </w:r>
    </w:p>
    <w:p>
      <w:pPr>
        <w:pStyle w:val="24"/>
      </w:pPr>
      <w:bookmarkStart w:id="8" w:name="_Toc54873767"/>
      <w:r>
        <w:rPr>
          <w:rFonts w:hint="eastAsia"/>
        </w:rPr>
        <w:t>项目绩效目标</w:t>
      </w:r>
      <w:bookmarkEnd w:id="8"/>
    </w:p>
    <w:p>
      <w:pPr>
        <w:pStyle w:val="17"/>
        <w:autoSpaceDE w:val="0"/>
        <w:autoSpaceDN w:val="0"/>
        <w:snapToGrid w:val="0"/>
        <w:spacing w:before="100" w:beforeAutospacing="1" w:line="360" w:lineRule="auto"/>
        <w:ind w:left="6" w:firstLineChars="175"/>
        <w:rPr>
          <w:rFonts w:ascii="仿宋_GB2312" w:eastAsia="仿宋_GB2312" w:cs="仿宋_GB2312" w:hAnsiTheme="minorEastAsia"/>
          <w:bCs/>
          <w:sz w:val="24"/>
          <w:szCs w:val="24"/>
        </w:rPr>
      </w:pPr>
      <w:r>
        <w:rPr>
          <w:rFonts w:hint="eastAsia" w:ascii="仿宋_GB2312" w:eastAsia="仿宋_GB2312" w:cs="仿宋_GB2312" w:hAnsiTheme="minorEastAsia"/>
          <w:bCs/>
          <w:sz w:val="24"/>
          <w:szCs w:val="24"/>
        </w:rPr>
        <w:t>2019年实现全县24个乡镇农村生活垃圾的收运转运，农村生活垃圾得到有效收集治理，实行农村生活垃圾无害化处理，创造干净整洁的环境，促进经济、社会、环境、城乡发展和建设的发展。</w:t>
      </w:r>
    </w:p>
    <w:p>
      <w:pPr>
        <w:pStyle w:val="23"/>
      </w:pPr>
      <w:bookmarkStart w:id="9" w:name="_Toc54873768"/>
      <w:r>
        <w:rPr>
          <w:rFonts w:hint="eastAsia"/>
        </w:rPr>
        <w:t>绩效评价组织工作</w:t>
      </w:r>
      <w:bookmarkEnd w:id="9"/>
    </w:p>
    <w:p>
      <w:pPr>
        <w:pStyle w:val="24"/>
        <w:numPr>
          <w:ilvl w:val="0"/>
          <w:numId w:val="4"/>
        </w:numPr>
      </w:pPr>
      <w:bookmarkStart w:id="10" w:name="_Toc54873769"/>
      <w:r>
        <w:rPr>
          <w:rFonts w:hint="eastAsia"/>
        </w:rPr>
        <w:t>绩效评价目的</w:t>
      </w:r>
      <w:bookmarkEnd w:id="10"/>
    </w:p>
    <w:p>
      <w:pPr>
        <w:autoSpaceDE w:val="0"/>
        <w:autoSpaceDN w:val="0"/>
        <w:snapToGrid w:val="0"/>
        <w:spacing w:before="100" w:beforeAutospacing="1" w:line="360" w:lineRule="auto"/>
        <w:ind w:firstLine="424" w:firstLineChars="177"/>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通过绩效评价，评价项目资金预期目标实现程度，考评资金使用效率和综合效果。发现项目实施过程中的问题并总结经验，提出改进的意见和建议。完善管理制度、建立创新机制、强化监督机制，保证项目、资金使用管理的规范性、安全性和有效性，提升项目管理水平，提高财政资金使用效率和效益。</w:t>
      </w:r>
    </w:p>
    <w:p>
      <w:pPr>
        <w:pStyle w:val="24"/>
      </w:pPr>
      <w:bookmarkStart w:id="11" w:name="_Toc54873770"/>
      <w:r>
        <w:rPr>
          <w:rFonts w:hint="eastAsia"/>
        </w:rPr>
        <w:t>绩效评价原则</w:t>
      </w:r>
      <w:bookmarkEnd w:id="11"/>
    </w:p>
    <w:p>
      <w:pPr>
        <w:pStyle w:val="17"/>
        <w:numPr>
          <w:ilvl w:val="0"/>
          <w:numId w:val="5"/>
        </w:numPr>
        <w:autoSpaceDE w:val="0"/>
        <w:autoSpaceDN w:val="0"/>
        <w:snapToGrid w:val="0"/>
        <w:spacing w:before="100" w:beforeAutospacing="1" w:line="360" w:lineRule="auto"/>
        <w:ind w:left="0" w:firstLine="426" w:firstLineChars="0"/>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科学规范原则。绩效评价注重财政支出的经济性、效率性和有效性，严格执行规定的程序，采用定量与定性分析相结合的方法。</w:t>
      </w:r>
    </w:p>
    <w:p>
      <w:pPr>
        <w:pStyle w:val="17"/>
        <w:numPr>
          <w:ilvl w:val="0"/>
          <w:numId w:val="5"/>
        </w:numPr>
        <w:autoSpaceDE w:val="0"/>
        <w:autoSpaceDN w:val="0"/>
        <w:snapToGrid w:val="0"/>
        <w:spacing w:before="100" w:beforeAutospacing="1" w:line="360" w:lineRule="auto"/>
        <w:ind w:left="0" w:firstLine="426" w:firstLineChars="0"/>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公正公开原则。绩效评价应当符合真实、客观、公正的要求，依法公开并接受监督；</w:t>
      </w:r>
    </w:p>
    <w:p>
      <w:pPr>
        <w:pStyle w:val="17"/>
        <w:numPr>
          <w:ilvl w:val="0"/>
          <w:numId w:val="5"/>
        </w:numPr>
        <w:autoSpaceDE w:val="0"/>
        <w:autoSpaceDN w:val="0"/>
        <w:snapToGrid w:val="0"/>
        <w:spacing w:before="100" w:beforeAutospacing="1" w:line="360" w:lineRule="auto"/>
        <w:ind w:left="0" w:firstLine="426" w:firstLineChars="0"/>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绩效相关原则。绩效评价应当针对具体专项资金及其产出绩效进行，评价结果应当清晰反映专项资金和产出绩效之间的紧密对应关系。</w:t>
      </w:r>
    </w:p>
    <w:p>
      <w:pPr>
        <w:pStyle w:val="24"/>
      </w:pPr>
      <w:bookmarkStart w:id="12" w:name="_Toc54873771"/>
      <w:r>
        <w:rPr>
          <w:rFonts w:hint="eastAsia"/>
        </w:rPr>
        <w:t>评价方法</w:t>
      </w:r>
      <w:bookmarkEnd w:id="12"/>
    </w:p>
    <w:p>
      <w:pPr>
        <w:autoSpaceDE w:val="0"/>
        <w:autoSpaceDN w:val="0"/>
        <w:snapToGrid w:val="0"/>
        <w:spacing w:before="100" w:beforeAutospacing="1" w:line="360" w:lineRule="auto"/>
        <w:ind w:left="42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本次绩效评价主要采用成本效益法、比较法和公众评判法进行评价。</w:t>
      </w:r>
    </w:p>
    <w:p>
      <w:pPr>
        <w:pStyle w:val="17"/>
        <w:numPr>
          <w:ilvl w:val="0"/>
          <w:numId w:val="6"/>
        </w:numPr>
        <w:autoSpaceDE w:val="0"/>
        <w:autoSpaceDN w:val="0"/>
        <w:snapToGrid w:val="0"/>
        <w:spacing w:before="100" w:beforeAutospacing="1" w:line="360" w:lineRule="auto"/>
        <w:ind w:firstLineChars="0"/>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成本效益分析法。是指将投入与产出、效益进行关联性分析的方法。</w:t>
      </w:r>
    </w:p>
    <w:p>
      <w:pPr>
        <w:pStyle w:val="17"/>
        <w:numPr>
          <w:ilvl w:val="0"/>
          <w:numId w:val="6"/>
        </w:numPr>
        <w:autoSpaceDE w:val="0"/>
        <w:autoSpaceDN w:val="0"/>
        <w:snapToGrid w:val="0"/>
        <w:spacing w:before="100" w:beforeAutospacing="1" w:line="360" w:lineRule="auto"/>
        <w:ind w:left="0" w:firstLine="426" w:firstLineChars="0"/>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比较法。是指将实施情况与绩效目标、历史情况、不同部门和地区同类支出情况进行比较的方法。</w:t>
      </w:r>
    </w:p>
    <w:p>
      <w:pPr>
        <w:pStyle w:val="17"/>
        <w:numPr>
          <w:ilvl w:val="0"/>
          <w:numId w:val="6"/>
        </w:numPr>
        <w:autoSpaceDE w:val="0"/>
        <w:autoSpaceDN w:val="0"/>
        <w:snapToGrid w:val="0"/>
        <w:spacing w:before="100" w:beforeAutospacing="1" w:line="360" w:lineRule="auto"/>
        <w:ind w:left="0" w:firstLine="426" w:firstLineChars="0"/>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公众评判法。是指通过专家评估、公众问卷及抽样调查等方式进行评判的方法。</w:t>
      </w:r>
    </w:p>
    <w:p>
      <w:pPr>
        <w:pStyle w:val="24"/>
      </w:pPr>
      <w:bookmarkStart w:id="13" w:name="_Toc54873772"/>
      <w:r>
        <w:rPr>
          <w:rFonts w:hint="eastAsia"/>
        </w:rPr>
        <w:t>评价指标和标准</w:t>
      </w:r>
      <w:bookmarkEnd w:id="13"/>
    </w:p>
    <w:p>
      <w:pPr>
        <w:autoSpaceDE w:val="0"/>
        <w:autoSpaceDN w:val="0"/>
        <w:snapToGrid w:val="0"/>
        <w:spacing w:before="100" w:beforeAutospacing="1" w:line="360" w:lineRule="auto"/>
        <w:ind w:firstLine="424" w:firstLineChars="177"/>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本次绩效评价共设置一级评价指标3个，二级评价指标7个，三级评价指标21个，指标及分值设置情况见评价指标体系表，全部指标分值综合为1</w:t>
      </w:r>
      <w:r>
        <w:rPr>
          <w:rFonts w:ascii="仿宋_GB2312" w:eastAsia="仿宋_GB2312" w:cs="仿宋_GB2312" w:hAnsiTheme="minorEastAsia"/>
          <w:sz w:val="24"/>
          <w:szCs w:val="24"/>
        </w:rPr>
        <w:t>00</w:t>
      </w:r>
      <w:r>
        <w:rPr>
          <w:rFonts w:hint="eastAsia" w:ascii="仿宋_GB2312" w:eastAsia="仿宋_GB2312" w:cs="仿宋_GB2312" w:hAnsiTheme="minorEastAsia"/>
          <w:sz w:val="24"/>
          <w:szCs w:val="24"/>
        </w:rPr>
        <w:t>分。项目绩效的评价结论按照得分情况确定为四个等级：</w:t>
      </w:r>
    </w:p>
    <w:p>
      <w:pPr>
        <w:autoSpaceDE w:val="0"/>
        <w:autoSpaceDN w:val="0"/>
        <w:snapToGrid w:val="0"/>
        <w:spacing w:before="100" w:beforeAutospacing="1" w:line="360" w:lineRule="auto"/>
        <w:ind w:firstLine="424" w:firstLineChars="177"/>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（一）得分在90分以上的，为优。</w:t>
      </w:r>
    </w:p>
    <w:p>
      <w:pPr>
        <w:autoSpaceDE w:val="0"/>
        <w:autoSpaceDN w:val="0"/>
        <w:snapToGrid w:val="0"/>
        <w:spacing w:before="100" w:beforeAutospacing="1" w:line="360" w:lineRule="auto"/>
        <w:ind w:firstLine="424" w:firstLineChars="177"/>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（二）得分在80分以上、低于90分的，为良。</w:t>
      </w:r>
    </w:p>
    <w:p>
      <w:pPr>
        <w:autoSpaceDE w:val="0"/>
        <w:autoSpaceDN w:val="0"/>
        <w:snapToGrid w:val="0"/>
        <w:spacing w:before="100" w:beforeAutospacing="1" w:line="360" w:lineRule="auto"/>
        <w:ind w:firstLine="424" w:firstLineChars="177"/>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（三）得分在60分以上、低于80分的，为中。</w:t>
      </w:r>
    </w:p>
    <w:p>
      <w:pPr>
        <w:autoSpaceDE w:val="0"/>
        <w:autoSpaceDN w:val="0"/>
        <w:snapToGrid w:val="0"/>
        <w:spacing w:before="100" w:beforeAutospacing="1" w:line="360" w:lineRule="auto"/>
        <w:ind w:firstLine="424" w:firstLineChars="177"/>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（四）得分不足60分的，为差。</w:t>
      </w:r>
    </w:p>
    <w:p>
      <w:pPr>
        <w:autoSpaceDE w:val="0"/>
        <w:autoSpaceDN w:val="0"/>
        <w:snapToGrid w:val="0"/>
        <w:spacing w:before="100" w:beforeAutospacing="1" w:line="360" w:lineRule="auto"/>
        <w:ind w:firstLine="371" w:firstLineChars="177"/>
        <w:jc w:val="center"/>
        <w:rPr>
          <w:rFonts w:ascii="仿宋_GB2312" w:eastAsia="仿宋_GB2312" w:cs="仿宋_GB2312" w:hAnsiTheme="minorEastAsia"/>
          <w:szCs w:val="21"/>
        </w:rPr>
      </w:pPr>
      <w:r>
        <w:rPr>
          <w:rFonts w:hint="eastAsia" w:ascii="仿宋_GB2312" w:eastAsia="仿宋_GB2312" w:cs="仿宋_GB2312" w:hAnsiTheme="minorEastAsia"/>
          <w:szCs w:val="21"/>
        </w:rPr>
        <w:t>指标评价体系表</w:t>
      </w:r>
    </w:p>
    <w:tbl>
      <w:tblPr>
        <w:tblStyle w:val="12"/>
        <w:tblW w:w="9570" w:type="dxa"/>
        <w:tblInd w:w="0" w:type="dxa"/>
        <w:tblLayout w:type="fixed"/>
        <w:tblCellMar>
          <w:top w:w="0" w:type="dxa"/>
          <w:left w:w="108" w:type="dxa"/>
          <w:bottom w:w="0" w:type="dxa"/>
          <w:right w:w="108" w:type="dxa"/>
        </w:tblCellMar>
      </w:tblPr>
      <w:tblGrid>
        <w:gridCol w:w="759"/>
        <w:gridCol w:w="636"/>
        <w:gridCol w:w="799"/>
        <w:gridCol w:w="800"/>
        <w:gridCol w:w="3288"/>
        <w:gridCol w:w="3288"/>
      </w:tblGrid>
      <w:tr>
        <w:tblPrEx>
          <w:tblLayout w:type="fixed"/>
          <w:tblCellMar>
            <w:top w:w="0" w:type="dxa"/>
            <w:left w:w="108" w:type="dxa"/>
            <w:bottom w:w="0" w:type="dxa"/>
            <w:right w:w="108" w:type="dxa"/>
          </w:tblCellMar>
        </w:tblPrEx>
        <w:trPr>
          <w:trHeight w:val="48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b/>
                <w:bCs/>
                <w:color w:val="000000"/>
                <w:kern w:val="0"/>
                <w:szCs w:val="21"/>
              </w:rPr>
            </w:pPr>
            <w:r>
              <w:rPr>
                <w:rFonts w:hint="eastAsia" w:ascii="仿宋_GB2312" w:hAnsi="Times New Roman" w:eastAsia="仿宋_GB2312" w:cs="Times New Roman"/>
                <w:b/>
                <w:bCs/>
                <w:color w:val="000000"/>
                <w:kern w:val="0"/>
                <w:szCs w:val="21"/>
              </w:rPr>
              <w:t>一级指标</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b/>
                <w:bCs/>
                <w:color w:val="000000"/>
                <w:kern w:val="0"/>
                <w:szCs w:val="21"/>
              </w:rPr>
            </w:pPr>
            <w:r>
              <w:rPr>
                <w:rFonts w:hint="eastAsia" w:ascii="仿宋_GB2312" w:hAnsi="Times New Roman" w:eastAsia="仿宋_GB2312" w:cs="Times New Roman"/>
                <w:b/>
                <w:bCs/>
                <w:color w:val="000000"/>
                <w:kern w:val="0"/>
                <w:szCs w:val="21"/>
              </w:rPr>
              <w:t>权重</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b/>
                <w:bCs/>
                <w:color w:val="000000"/>
                <w:kern w:val="0"/>
                <w:szCs w:val="21"/>
              </w:rPr>
            </w:pPr>
            <w:r>
              <w:rPr>
                <w:rFonts w:hint="eastAsia" w:ascii="仿宋_GB2312" w:hAnsi="Times New Roman" w:eastAsia="仿宋_GB2312" w:cs="Times New Roman"/>
                <w:b/>
                <w:bCs/>
                <w:color w:val="000000"/>
                <w:kern w:val="0"/>
                <w:szCs w:val="21"/>
              </w:rPr>
              <w:t>二级指标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b/>
                <w:bCs/>
                <w:color w:val="000000"/>
                <w:kern w:val="0"/>
                <w:szCs w:val="21"/>
              </w:rPr>
            </w:pPr>
            <w:r>
              <w:rPr>
                <w:rFonts w:hint="eastAsia" w:ascii="仿宋_GB2312" w:hAnsi="Times New Roman" w:eastAsia="仿宋_GB2312" w:cs="Times New Roman"/>
                <w:b/>
                <w:bCs/>
                <w:color w:val="000000"/>
                <w:kern w:val="0"/>
                <w:szCs w:val="21"/>
              </w:rPr>
              <w:t>三级指标</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b/>
                <w:bCs/>
                <w:color w:val="000000"/>
                <w:kern w:val="0"/>
                <w:szCs w:val="21"/>
              </w:rPr>
            </w:pPr>
            <w:r>
              <w:rPr>
                <w:rFonts w:hint="eastAsia" w:ascii="仿宋_GB2312" w:hAnsi="Times New Roman" w:eastAsia="仿宋_GB2312" w:cs="Times New Roman"/>
                <w:b/>
                <w:bCs/>
                <w:color w:val="000000"/>
                <w:kern w:val="0"/>
                <w:szCs w:val="21"/>
              </w:rPr>
              <w:t>指标解释</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指标说明</w:t>
            </w:r>
          </w:p>
        </w:tc>
      </w:tr>
      <w:tr>
        <w:tblPrEx>
          <w:tblLayout w:type="fixed"/>
          <w:tblCellMar>
            <w:top w:w="0" w:type="dxa"/>
            <w:left w:w="108" w:type="dxa"/>
            <w:bottom w:w="0" w:type="dxa"/>
            <w:right w:w="108" w:type="dxa"/>
          </w:tblCellMar>
        </w:tblPrEx>
        <w:trPr>
          <w:trHeight w:val="540"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项目决策</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8</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立项合理性</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项目立项的规范性</w:t>
            </w:r>
          </w:p>
        </w:tc>
        <w:tc>
          <w:tcPr>
            <w:tcW w:w="3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项目的申请、设立过程是否符合相关要求，立项资料是否齐全，用以反映和考核项目立项的规范情况。</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有项目立项申请、方案得</w:t>
            </w:r>
            <w:r>
              <w:rPr>
                <w:rFonts w:hint="eastAsia" w:ascii="仿宋_GB2312" w:hAnsi="Times New Roman" w:eastAsia="仿宋_GB2312" w:cs="Times New Roman"/>
                <w:color w:val="000000"/>
                <w:kern w:val="0"/>
                <w:szCs w:val="21"/>
              </w:rPr>
              <w:t>1</w:t>
            </w:r>
            <w:r>
              <w:rPr>
                <w:rFonts w:hint="eastAsia" w:ascii="仿宋_GB2312" w:hAnsi="宋体" w:eastAsia="仿宋_GB2312" w:cs="宋体"/>
                <w:color w:val="000000"/>
                <w:kern w:val="0"/>
                <w:szCs w:val="21"/>
              </w:rPr>
              <w:t>分，缺少一项扣</w:t>
            </w:r>
            <w:r>
              <w:rPr>
                <w:rFonts w:hint="eastAsia" w:ascii="仿宋_GB2312" w:hAnsi="Times New Roman" w:eastAsia="仿宋_GB2312" w:cs="Times New Roman"/>
                <w:color w:val="000000"/>
                <w:kern w:val="0"/>
                <w:szCs w:val="21"/>
              </w:rPr>
              <w:t>0.5</w:t>
            </w:r>
            <w:r>
              <w:rPr>
                <w:rFonts w:hint="eastAsia" w:ascii="仿宋_GB2312" w:hAnsi="宋体" w:eastAsia="仿宋_GB2312" w:cs="宋体"/>
                <w:color w:val="000000"/>
                <w:kern w:val="0"/>
                <w:szCs w:val="21"/>
              </w:rPr>
              <w:t>分</w:t>
            </w:r>
          </w:p>
        </w:tc>
      </w:tr>
      <w:tr>
        <w:tblPrEx>
          <w:tblLayout w:type="fixed"/>
          <w:tblCellMar>
            <w:top w:w="0" w:type="dxa"/>
            <w:left w:w="108" w:type="dxa"/>
            <w:bottom w:w="0" w:type="dxa"/>
            <w:right w:w="108" w:type="dxa"/>
          </w:tblCellMar>
        </w:tblPrEx>
        <w:trPr>
          <w:trHeight w:val="54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Cs w:val="21"/>
              </w:rPr>
            </w:pPr>
          </w:p>
        </w:tc>
        <w:tc>
          <w:tcPr>
            <w:tcW w:w="32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方案合理清晰可执行性高得1分，否则扣0.5分</w:t>
            </w:r>
          </w:p>
        </w:tc>
      </w:tr>
      <w:tr>
        <w:tblPrEx>
          <w:tblLayout w:type="fixed"/>
          <w:tblCellMar>
            <w:top w:w="0" w:type="dxa"/>
            <w:left w:w="108" w:type="dxa"/>
            <w:bottom w:w="0" w:type="dxa"/>
            <w:right w:w="108" w:type="dxa"/>
          </w:tblCellMar>
        </w:tblPrEx>
        <w:trPr>
          <w:trHeight w:val="402"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立项依据的充分性</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项目立项是否有充分的依据</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由相关的政策文件依据得2分，否则扣2分</w:t>
            </w:r>
          </w:p>
        </w:tc>
      </w:tr>
      <w:tr>
        <w:tblPrEx>
          <w:tblLayout w:type="fixed"/>
          <w:tblCellMar>
            <w:top w:w="0" w:type="dxa"/>
            <w:left w:w="108" w:type="dxa"/>
            <w:bottom w:w="0" w:type="dxa"/>
            <w:right w:w="108" w:type="dxa"/>
          </w:tblCellMar>
        </w:tblPrEx>
        <w:trPr>
          <w:trHeight w:val="54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绩效目标的合理性</w:t>
            </w:r>
          </w:p>
        </w:tc>
        <w:tc>
          <w:tcPr>
            <w:tcW w:w="3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项目所设定的绩效目标是否依据充分，是否符合客观实际，用以反映和考核项目绩效目标与项目实施的相符情况。</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设置了项目绩效目标得1分，否则扣2分</w:t>
            </w:r>
          </w:p>
        </w:tc>
      </w:tr>
      <w:tr>
        <w:tblPrEx>
          <w:tblLayout w:type="fixed"/>
          <w:tblCellMar>
            <w:top w:w="0" w:type="dxa"/>
            <w:left w:w="108" w:type="dxa"/>
            <w:bottom w:w="0" w:type="dxa"/>
            <w:right w:w="108" w:type="dxa"/>
          </w:tblCellMar>
        </w:tblPrEx>
        <w:trPr>
          <w:trHeight w:val="54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328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绩效目标设置符合项实际情况，得1分</w:t>
            </w:r>
          </w:p>
        </w:tc>
      </w:tr>
      <w:tr>
        <w:tblPrEx>
          <w:tblLayout w:type="fixed"/>
          <w:tblCellMar>
            <w:top w:w="0" w:type="dxa"/>
            <w:left w:w="108" w:type="dxa"/>
            <w:bottom w:w="0" w:type="dxa"/>
            <w:right w:w="108" w:type="dxa"/>
          </w:tblCellMar>
        </w:tblPrEx>
        <w:trPr>
          <w:trHeight w:val="1002"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绩效指标明确性</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依据项目申报或执行中绩效目标设定的绩效指标是否清晰、细化、可衡量等，用以反映和考核项目绩效目标与项目实施的相符情况。</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项目绩效目标清晰、细化、可衡量得2分，否则扣1分</w:t>
            </w:r>
          </w:p>
        </w:tc>
      </w:tr>
      <w:tr>
        <w:tblPrEx>
          <w:tblLayout w:type="fixed"/>
          <w:tblCellMar>
            <w:top w:w="0" w:type="dxa"/>
            <w:left w:w="108" w:type="dxa"/>
            <w:bottom w:w="0" w:type="dxa"/>
            <w:right w:w="108" w:type="dxa"/>
          </w:tblCellMar>
        </w:tblPrEx>
        <w:trPr>
          <w:trHeight w:val="600"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项目管理</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26</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投入管理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预算执行率</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预算执行率=</w:t>
            </w:r>
            <w:r>
              <w:rPr>
                <w:rFonts w:hint="eastAsia" w:ascii="仿宋_GB2312" w:hAnsi="宋体" w:eastAsia="仿宋_GB2312" w:cs="Times New Roman"/>
                <w:color w:val="000000"/>
                <w:kern w:val="0"/>
                <w:szCs w:val="21"/>
              </w:rPr>
              <w:t>实际支出</w:t>
            </w:r>
            <w:r>
              <w:rPr>
                <w:rFonts w:hint="eastAsia" w:ascii="仿宋_GB2312" w:hAnsi="Times New Roman" w:eastAsia="仿宋_GB2312" w:cs="Times New Roman"/>
                <w:color w:val="000000"/>
                <w:kern w:val="0"/>
                <w:szCs w:val="21"/>
              </w:rPr>
              <w:t>/</w:t>
            </w:r>
            <w:r>
              <w:rPr>
                <w:rFonts w:hint="eastAsia" w:ascii="仿宋_GB2312" w:hAnsi="宋体" w:eastAsia="仿宋_GB2312" w:cs="Times New Roman"/>
                <w:color w:val="000000"/>
                <w:kern w:val="0"/>
                <w:szCs w:val="21"/>
              </w:rPr>
              <w:t>实际到位预算</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预算执行率&gt;95%，得2分，90%-95%得1.5分，80%-90%得1分，80%以下得0.5分</w:t>
            </w:r>
          </w:p>
        </w:tc>
      </w:tr>
      <w:tr>
        <w:tblPrEx>
          <w:tblLayout w:type="fixed"/>
          <w:tblCellMar>
            <w:top w:w="0" w:type="dxa"/>
            <w:left w:w="108" w:type="dxa"/>
            <w:bottom w:w="0" w:type="dxa"/>
            <w:right w:w="108" w:type="dxa"/>
          </w:tblCellMar>
        </w:tblPrEx>
        <w:trPr>
          <w:trHeight w:val="84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预算资金到位率</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到位率=</w:t>
            </w:r>
            <w:r>
              <w:rPr>
                <w:rFonts w:hint="eastAsia" w:ascii="仿宋_GB2312" w:hAnsi="宋体" w:eastAsia="仿宋_GB2312" w:cs="Times New Roman"/>
                <w:color w:val="000000"/>
                <w:kern w:val="0"/>
                <w:szCs w:val="21"/>
              </w:rPr>
              <w:t>实际到位</w:t>
            </w:r>
            <w:r>
              <w:rPr>
                <w:rFonts w:hint="eastAsia" w:ascii="仿宋_GB2312" w:hAnsi="Times New Roman" w:eastAsia="仿宋_GB2312" w:cs="Times New Roman"/>
                <w:color w:val="000000"/>
                <w:kern w:val="0"/>
                <w:szCs w:val="21"/>
              </w:rPr>
              <w:t>/</w:t>
            </w:r>
            <w:r>
              <w:rPr>
                <w:rFonts w:hint="eastAsia" w:ascii="仿宋_GB2312" w:hAnsi="宋体" w:eastAsia="仿宋_GB2312" w:cs="Times New Roman"/>
                <w:color w:val="000000"/>
                <w:kern w:val="0"/>
                <w:szCs w:val="21"/>
              </w:rPr>
              <w:t>计划到位，到位时效主要考察资金是否及时到位，若未及时到位，是否影响项目进度</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资金到位率&gt;95%，得2分，90%-95%得1.5分，80%-90%得1分，80%以下得0.5分；若资金未到位影响项目进度，本指标得0.5分</w:t>
            </w:r>
          </w:p>
        </w:tc>
      </w:tr>
      <w:tr>
        <w:tblPrEx>
          <w:tblLayout w:type="fixed"/>
          <w:tblCellMar>
            <w:top w:w="0" w:type="dxa"/>
            <w:left w:w="108" w:type="dxa"/>
            <w:bottom w:w="0" w:type="dxa"/>
            <w:right w:w="108" w:type="dxa"/>
          </w:tblCellMar>
        </w:tblPrEx>
        <w:trPr>
          <w:trHeight w:val="60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财务管理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资金使用合规性</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资金使用是否符合有关制度规定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每发现1次未按照制度规定使用资金的情形扣0.5分，本指标最低得分0.5分</w:t>
            </w:r>
          </w:p>
        </w:tc>
      </w:tr>
      <w:tr>
        <w:tblPrEx>
          <w:tblLayout w:type="fixed"/>
          <w:tblCellMar>
            <w:top w:w="0" w:type="dxa"/>
            <w:left w:w="108" w:type="dxa"/>
            <w:bottom w:w="0" w:type="dxa"/>
            <w:right w:w="108" w:type="dxa"/>
          </w:tblCellMar>
        </w:tblPrEx>
        <w:trPr>
          <w:trHeight w:val="98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财务管理制度健全性</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是否按规定建立了财务、资产管理制度、内控制度及其执行情况</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建立了相关制度得1分；制度完善符合单位实际情况得1分。每发现制度执行偏差1次扣0.5分；本指标最低得分0.5分</w:t>
            </w:r>
          </w:p>
        </w:tc>
      </w:tr>
      <w:tr>
        <w:tblPrEx>
          <w:tblLayout w:type="fixed"/>
          <w:tblCellMar>
            <w:top w:w="0" w:type="dxa"/>
            <w:left w:w="108" w:type="dxa"/>
            <w:bottom w:w="0" w:type="dxa"/>
            <w:right w:w="108" w:type="dxa"/>
          </w:tblCellMar>
        </w:tblPrEx>
        <w:trPr>
          <w:trHeight w:val="60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支出控制情况</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是否按项目进行成本核算及成本差异情况</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对项目支出实施专项核算，得1分；发票、进度审核、支付审批齐全得1分；</w:t>
            </w:r>
          </w:p>
        </w:tc>
      </w:tr>
      <w:tr>
        <w:tblPrEx>
          <w:tblLayout w:type="fixed"/>
          <w:tblCellMar>
            <w:top w:w="0" w:type="dxa"/>
            <w:left w:w="108" w:type="dxa"/>
            <w:bottom w:w="0" w:type="dxa"/>
            <w:right w:w="108" w:type="dxa"/>
          </w:tblCellMar>
        </w:tblPrEx>
        <w:trPr>
          <w:trHeight w:val="124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财务监控的有效性</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项目实施单位是否为保障资金的安全、规范运行而采取了必要的监控措施，用以反映和考核项目实施单位对资金运行的控制情况</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按照合同约定及项目进度付款得3分；未及时付款扣1分；发现资金挪用扣1分；发现发票、进度与付款金额不一致1次扣1分；发现付款资料不完整付款扣1分；</w:t>
            </w:r>
          </w:p>
        </w:tc>
      </w:tr>
      <w:tr>
        <w:tblPrEx>
          <w:tblLayout w:type="fixed"/>
          <w:tblCellMar>
            <w:top w:w="0" w:type="dxa"/>
            <w:left w:w="108" w:type="dxa"/>
            <w:bottom w:w="0" w:type="dxa"/>
            <w:right w:w="108" w:type="dxa"/>
          </w:tblCellMar>
        </w:tblPrEx>
        <w:trPr>
          <w:trHeight w:val="1279"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项目实施</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管理制度的健全性及制度执行的有效性</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项目实施单位的业务管理制度是否健全，用以反映和考核业务管理制度对项目顺利实施的保障情况；项目实施是否符合相关业务管理规定，用以反映和考核业务管理制度的有效执行情况。</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建立了业务管理制度得1分，每发现一项重要制度缺失扣0.5分；制度有效执行得1分，每发现一次制度执行偏差扣0.5分</w:t>
            </w:r>
          </w:p>
        </w:tc>
      </w:tr>
      <w:tr>
        <w:tblPrEx>
          <w:tblLayout w:type="fixed"/>
          <w:tblCellMar>
            <w:top w:w="0" w:type="dxa"/>
            <w:left w:w="108" w:type="dxa"/>
            <w:bottom w:w="0" w:type="dxa"/>
            <w:right w:w="108" w:type="dxa"/>
          </w:tblCellMar>
        </w:tblPrEx>
        <w:trPr>
          <w:trHeight w:val="148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项目实施过程的合规性</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项目实施单位的服务商选择、进度控制、费用结算、质量验收及档案是否符合规定。</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服务商选择方式合规得1分；进度和质量控制科学，资料齐全得2分；费用结算依据充分并及时得1分；验收及时资料充分得2分；档案完整合规并及时归档得1分；每发现1次缺陷扣0.5分；</w:t>
            </w:r>
          </w:p>
        </w:tc>
      </w:tr>
      <w:tr>
        <w:tblPrEx>
          <w:tblLayout w:type="fixed"/>
          <w:tblCellMar>
            <w:top w:w="0" w:type="dxa"/>
            <w:left w:w="108" w:type="dxa"/>
            <w:bottom w:w="0" w:type="dxa"/>
            <w:right w:w="108" w:type="dxa"/>
          </w:tblCellMar>
        </w:tblPrEx>
        <w:trPr>
          <w:trHeight w:val="124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项目质量的可控性</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项目实施单位是否为达到项目质量要求而采取了必需的措施，用以反映和考核项目实施单位对项目质量的控制情况。</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对项目人员及相关单位或人员组织了适当的培训工作且资料完善得1分；项目单位人员对项目实施开展了必要的监督检查工作且记录完善得1分；</w:t>
            </w:r>
          </w:p>
        </w:tc>
      </w:tr>
      <w:tr>
        <w:tblPrEx>
          <w:tblLayout w:type="fixed"/>
          <w:tblCellMar>
            <w:top w:w="0" w:type="dxa"/>
            <w:left w:w="108" w:type="dxa"/>
            <w:bottom w:w="0" w:type="dxa"/>
            <w:right w:w="108" w:type="dxa"/>
          </w:tblCellMar>
        </w:tblPrEx>
        <w:trPr>
          <w:trHeight w:val="702" w:hRule="atLeast"/>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项目绩效</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66</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项目产出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产出数量</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项目实施的实际产出数与计划产出数的比较，用以分析项目产出数量目标的实现程度。</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统计分析2019年度农村生活垃圾收运转运量，与协议约定最低处理量进行对比分析。</w:t>
            </w:r>
          </w:p>
        </w:tc>
      </w:tr>
      <w:tr>
        <w:tblPrEx>
          <w:tblLayout w:type="fixed"/>
          <w:tblCellMar>
            <w:top w:w="0" w:type="dxa"/>
            <w:left w:w="108" w:type="dxa"/>
            <w:bottom w:w="0" w:type="dxa"/>
            <w:right w:w="108" w:type="dxa"/>
          </w:tblCellMar>
        </w:tblPrEx>
        <w:trPr>
          <w:trHeight w:val="739"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产出时效</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 xml:space="preserve">农村垃圾收运转运时间是否合理，反映是否存在收运转运不及时的现象 </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实地观察存在未发现没有及时转运的情况得2分；满意度调查90%以上得3分。</w:t>
            </w:r>
          </w:p>
        </w:tc>
      </w:tr>
      <w:tr>
        <w:tblPrEx>
          <w:tblLayout w:type="fixed"/>
          <w:tblCellMar>
            <w:top w:w="0" w:type="dxa"/>
            <w:left w:w="108" w:type="dxa"/>
            <w:bottom w:w="0" w:type="dxa"/>
            <w:right w:w="108" w:type="dxa"/>
          </w:tblCellMar>
        </w:tblPrEx>
        <w:trPr>
          <w:trHeight w:val="90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产出质量</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反映农村垃圾收运转运的实施质量</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未发现转运质量投诉得3分；现场观察未发现脏乱差现象得3分。</w:t>
            </w:r>
          </w:p>
        </w:tc>
      </w:tr>
      <w:tr>
        <w:tblPrEx>
          <w:tblLayout w:type="fixed"/>
          <w:tblCellMar>
            <w:top w:w="0" w:type="dxa"/>
            <w:left w:w="108" w:type="dxa"/>
            <w:bottom w:w="0" w:type="dxa"/>
            <w:right w:w="108" w:type="dxa"/>
          </w:tblCellMar>
        </w:tblPrEx>
        <w:trPr>
          <w:trHeight w:val="126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项目结果</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农村垃圾收运转运后，农村居住环境显著提高，能够带动农民收入。</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满意度&gt;95%,得10分，满意度&gt;90%，得8分，满意度&lt;90%,得5分。</w:t>
            </w:r>
          </w:p>
        </w:tc>
      </w:tr>
      <w:tr>
        <w:tblPrEx>
          <w:tblLayout w:type="fixed"/>
          <w:tblCellMar>
            <w:top w:w="0" w:type="dxa"/>
            <w:left w:w="108" w:type="dxa"/>
            <w:bottom w:w="0" w:type="dxa"/>
            <w:right w:w="108" w:type="dxa"/>
          </w:tblCellMar>
        </w:tblPrEx>
        <w:trPr>
          <w:trHeight w:val="60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环境效益</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项目实施对生态环境所带来的直接或间接影响情况</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现场观察未发现脏乱差现象得2分，满意度调查90%以上得3分。</w:t>
            </w:r>
          </w:p>
        </w:tc>
      </w:tr>
      <w:tr>
        <w:tblPrEx>
          <w:tblLayout w:type="fixed"/>
          <w:tblCellMar>
            <w:top w:w="0" w:type="dxa"/>
            <w:left w:w="108" w:type="dxa"/>
            <w:bottom w:w="0" w:type="dxa"/>
            <w:right w:w="108" w:type="dxa"/>
          </w:tblCellMar>
        </w:tblPrEx>
        <w:trPr>
          <w:trHeight w:val="86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社会效益</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垃圾集中处理覆盖率</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大于95%得15分，90%-95%得10分，90%以下得5分。</w:t>
            </w:r>
          </w:p>
        </w:tc>
      </w:tr>
      <w:tr>
        <w:tblPrEx>
          <w:tblLayout w:type="fixed"/>
          <w:tblCellMar>
            <w:top w:w="0" w:type="dxa"/>
            <w:left w:w="108" w:type="dxa"/>
            <w:bottom w:w="0" w:type="dxa"/>
            <w:right w:w="108" w:type="dxa"/>
          </w:tblCellMar>
        </w:tblPrEx>
        <w:trPr>
          <w:trHeight w:val="70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社会公众或服务对象满意度</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社会公众或服务对象对项目实施效果的满意程度</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调查问卷满意度&gt;95%,得5分；95%-90%，得4分；80%-90%，得3分；80%以下，得2分。</w:t>
            </w:r>
          </w:p>
        </w:tc>
      </w:tr>
      <w:tr>
        <w:tblPrEx>
          <w:tblLayout w:type="fixed"/>
          <w:tblCellMar>
            <w:top w:w="0" w:type="dxa"/>
            <w:left w:w="108" w:type="dxa"/>
            <w:bottom w:w="0" w:type="dxa"/>
            <w:right w:w="108" w:type="dxa"/>
          </w:tblCellMar>
        </w:tblPrEx>
        <w:trPr>
          <w:trHeight w:val="116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color w:val="000000"/>
                <w:kern w:val="0"/>
                <w:szCs w:val="21"/>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能力建设及可持续影响</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长效管理情况</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维持项目发展所需要的制度建设及维护费用等落实情况</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制定了农村生活垃圾收运转运长效运转的制度及措施得2分；落实工作经费得2分；落实人员得1分</w:t>
            </w:r>
          </w:p>
        </w:tc>
      </w:tr>
      <w:tr>
        <w:tblPrEx>
          <w:tblLayout w:type="fixed"/>
          <w:tblCellMar>
            <w:top w:w="0" w:type="dxa"/>
            <w:left w:w="108" w:type="dxa"/>
            <w:bottom w:w="0" w:type="dxa"/>
            <w:right w:w="108" w:type="dxa"/>
          </w:tblCellMar>
        </w:tblPrEx>
        <w:trPr>
          <w:trHeight w:val="499"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总分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100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Times New Roman" w:eastAsia="仿宋_GB2312" w:cs="Times New Roman"/>
                <w:color w:val="000000"/>
                <w:kern w:val="0"/>
                <w:szCs w:val="21"/>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Times New Roman" w:eastAsia="仿宋_GB2312" w:cs="Times New Roman"/>
                <w:color w:val="000000"/>
                <w:kern w:val="0"/>
                <w:szCs w:val="21"/>
              </w:rPr>
            </w:pP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color w:val="000000"/>
                <w:kern w:val="0"/>
                <w:szCs w:val="21"/>
              </w:rPr>
            </w:pPr>
          </w:p>
        </w:tc>
      </w:tr>
    </w:tbl>
    <w:p>
      <w:pPr>
        <w:pStyle w:val="24"/>
      </w:pPr>
      <w:bookmarkStart w:id="14" w:name="_Toc54873773"/>
      <w:r>
        <w:rPr>
          <w:rFonts w:hint="eastAsia"/>
        </w:rPr>
        <w:t>绩效评价过程</w:t>
      </w:r>
      <w:bookmarkEnd w:id="14"/>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项目组严格按照工作方案中确定的评价思路，通过研读相关文件资料、填写基础数据表格、问卷调查、访谈等方法收集相关数据。具体实施过程如下：</w:t>
      </w:r>
    </w:p>
    <w:p>
      <w:pPr>
        <w:pStyle w:val="17"/>
        <w:numPr>
          <w:ilvl w:val="1"/>
          <w:numId w:val="7"/>
        </w:numPr>
        <w:autoSpaceDE w:val="0"/>
        <w:autoSpaceDN w:val="0"/>
        <w:snapToGrid w:val="0"/>
        <w:spacing w:before="100" w:beforeAutospacing="1" w:line="360" w:lineRule="auto"/>
        <w:ind w:left="0" w:firstLine="426" w:firstLineChars="0"/>
        <w:rPr>
          <w:rFonts w:ascii="仿宋_GB2312" w:eastAsia="仿宋_GB2312" w:cs="仿宋_GB2312" w:hAnsiTheme="minorEastAsia"/>
          <w:b/>
          <w:bCs/>
          <w:sz w:val="24"/>
          <w:szCs w:val="24"/>
        </w:rPr>
      </w:pPr>
      <w:r>
        <w:rPr>
          <w:rFonts w:hint="eastAsia" w:ascii="仿宋_GB2312" w:eastAsia="仿宋_GB2312" w:cs="仿宋_GB2312" w:hAnsiTheme="minorEastAsia"/>
          <w:b/>
          <w:bCs/>
          <w:sz w:val="24"/>
          <w:szCs w:val="24"/>
        </w:rPr>
        <w:t>前期准备</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（1）成立评价组，明确工作范围和职责，召开评价组成员会议，提出对本次绩效评价的要求，初步确定评价的总体时间安排。</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（2）拟定的指标体系和实施方案，征求意见后，对实施方案和指标体系进行补充和完善。</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（3）组织评价组人员进行业务培训。学习财政支出绩效评价和项目管理方面的政策；学习项目评价指标体系和项目评价方案，使各参评人员对项目情况作进一步了解，明确评价工作程序及要求。</w:t>
      </w:r>
    </w:p>
    <w:p>
      <w:pPr>
        <w:pStyle w:val="17"/>
        <w:numPr>
          <w:ilvl w:val="1"/>
          <w:numId w:val="7"/>
        </w:numPr>
        <w:autoSpaceDE w:val="0"/>
        <w:autoSpaceDN w:val="0"/>
        <w:snapToGrid w:val="0"/>
        <w:spacing w:before="100" w:beforeAutospacing="1" w:line="360" w:lineRule="auto"/>
        <w:ind w:left="0" w:firstLine="426" w:firstLineChars="0"/>
        <w:jc w:val="left"/>
        <w:rPr>
          <w:rFonts w:ascii="仿宋_GB2312" w:eastAsia="仿宋_GB2312" w:cs="仿宋_GB2312" w:hAnsiTheme="minorEastAsia"/>
          <w:b/>
          <w:bCs/>
          <w:sz w:val="24"/>
          <w:szCs w:val="24"/>
        </w:rPr>
      </w:pPr>
      <w:r>
        <w:rPr>
          <w:rFonts w:hint="eastAsia" w:ascii="仿宋_GB2312" w:eastAsia="仿宋_GB2312" w:cs="仿宋_GB2312" w:hAnsiTheme="minorEastAsia"/>
          <w:b/>
          <w:bCs/>
          <w:sz w:val="24"/>
          <w:szCs w:val="24"/>
        </w:rPr>
        <w:t>数据填报和采集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项目组就所需采集的数据与垫江县城市管理局和垫江县环境卫生管理所进行沟通，并收集项目资金使用情况、目标完成情况、项目管理制度与执行情况及项目能力建设情况等相关资料，收集的所有数据经核查后进行汇总。</w:t>
      </w:r>
    </w:p>
    <w:p>
      <w:pPr>
        <w:pStyle w:val="17"/>
        <w:numPr>
          <w:ilvl w:val="1"/>
          <w:numId w:val="7"/>
        </w:numPr>
        <w:autoSpaceDE w:val="0"/>
        <w:autoSpaceDN w:val="0"/>
        <w:snapToGrid w:val="0"/>
        <w:spacing w:before="100" w:beforeAutospacing="1" w:line="360" w:lineRule="auto"/>
        <w:ind w:left="0" w:firstLine="426" w:firstLineChars="0"/>
        <w:jc w:val="left"/>
        <w:rPr>
          <w:rFonts w:ascii="仿宋_GB2312" w:eastAsia="仿宋_GB2312" w:cs="仿宋_GB2312" w:hAnsiTheme="minorEastAsia"/>
          <w:b/>
          <w:bCs/>
          <w:sz w:val="24"/>
          <w:szCs w:val="24"/>
        </w:rPr>
      </w:pPr>
      <w:r>
        <w:rPr>
          <w:rFonts w:hint="eastAsia" w:ascii="仿宋_GB2312" w:eastAsia="仿宋_GB2312" w:cs="仿宋_GB2312" w:hAnsiTheme="minorEastAsia"/>
          <w:b/>
          <w:bCs/>
          <w:sz w:val="24"/>
          <w:szCs w:val="24"/>
        </w:rPr>
        <w:t>社会调查</w:t>
      </w:r>
    </w:p>
    <w:p>
      <w:pPr>
        <w:autoSpaceDE w:val="0"/>
        <w:autoSpaceDN w:val="0"/>
        <w:snapToGrid w:val="0"/>
        <w:spacing w:before="100" w:beforeAutospacing="1" w:line="360" w:lineRule="auto"/>
        <w:ind w:firstLine="424" w:firstLineChars="177"/>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根据工作方案中确定的调查对象、调查内容和抽样方式，项目组以问卷调查的形式对本项目实施范围内的农民开展满意度调查，发放问卷，统计实际有效回收问卷数量及有效回收率，并根据问卷调查结果进行评价。</w:t>
      </w:r>
    </w:p>
    <w:p>
      <w:pPr>
        <w:pStyle w:val="17"/>
        <w:numPr>
          <w:ilvl w:val="1"/>
          <w:numId w:val="7"/>
        </w:numPr>
        <w:autoSpaceDE w:val="0"/>
        <w:autoSpaceDN w:val="0"/>
        <w:snapToGrid w:val="0"/>
        <w:spacing w:before="100" w:beforeAutospacing="1" w:line="360" w:lineRule="auto"/>
        <w:ind w:left="0" w:firstLine="426" w:firstLineChars="0"/>
        <w:jc w:val="left"/>
        <w:rPr>
          <w:rFonts w:ascii="仿宋_GB2312" w:eastAsia="仿宋_GB2312" w:cs="仿宋_GB2312" w:hAnsiTheme="minorEastAsia"/>
          <w:b/>
          <w:bCs/>
          <w:sz w:val="24"/>
          <w:szCs w:val="24"/>
        </w:rPr>
      </w:pPr>
      <w:r>
        <w:rPr>
          <w:rFonts w:hint="eastAsia" w:ascii="仿宋_GB2312" w:eastAsia="仿宋_GB2312" w:cs="仿宋_GB2312" w:hAnsiTheme="minorEastAsia"/>
          <w:b/>
          <w:bCs/>
          <w:sz w:val="24"/>
          <w:szCs w:val="24"/>
        </w:rPr>
        <w:t>数据分析及撰写报告</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项目组在对采集的数据和资料进行甄别、分析的基础上总结评价情况，对照评价指标和标准，进行综合评议与打分。同时，提炼结论、撰写报告，并与项目主管单位和项目实施单位保持充分的沟通，确保评价结论有理有据后，形成最终的绩效评价报告。</w:t>
      </w:r>
    </w:p>
    <w:p>
      <w:pPr>
        <w:pStyle w:val="23"/>
      </w:pPr>
      <w:bookmarkStart w:id="15" w:name="_Toc54873774"/>
      <w:r>
        <w:rPr>
          <w:rFonts w:hint="eastAsia"/>
        </w:rPr>
        <w:t>主要经验和做法</w:t>
      </w:r>
      <w:bookmarkEnd w:id="15"/>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（一）压实县、镇（街）、村三级责任，建立齐抓共管的责任机制。</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（二）夯实收集、转运、处理三大环节，构建稳定可靠的运行机制。</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（三）统筹政府、村民、社会三方资金，创新“四个一点”经费保障机制。</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（四）强化巡查、评比、考核三项措施，形成奖惩分明的质量管理机制。</w:t>
      </w:r>
    </w:p>
    <w:p>
      <w:pPr>
        <w:pStyle w:val="23"/>
      </w:pPr>
      <w:bookmarkStart w:id="16" w:name="_Toc54873775"/>
      <w:r>
        <w:rPr>
          <w:rFonts w:hint="eastAsia"/>
        </w:rPr>
        <w:t>评价结论和绩效分析</w:t>
      </w:r>
      <w:bookmarkEnd w:id="16"/>
    </w:p>
    <w:p>
      <w:pPr>
        <w:pStyle w:val="24"/>
        <w:numPr>
          <w:ilvl w:val="0"/>
          <w:numId w:val="0"/>
        </w:numPr>
        <w:ind w:left="1191" w:hanging="765"/>
      </w:pPr>
      <w:bookmarkStart w:id="17" w:name="_Toc54873776"/>
      <w:r>
        <w:rPr>
          <w:rFonts w:hint="eastAsia"/>
        </w:rPr>
        <w:t>（一）评价结论</w:t>
      </w:r>
      <w:bookmarkEnd w:id="17"/>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bookmarkStart w:id="18" w:name="_Hlk53049587"/>
      <w:r>
        <w:rPr>
          <w:rFonts w:hint="eastAsia" w:ascii="仿宋_GB2312" w:eastAsia="仿宋_GB2312" w:cs="仿宋_GB2312" w:hAnsiTheme="minorEastAsia"/>
          <w:sz w:val="24"/>
          <w:szCs w:val="24"/>
        </w:rPr>
        <w:t>按照项目组设计并经相关部门确认的评价指标体系及评分标准，通过数据采集、问卷调查及访谈，对</w:t>
      </w:r>
      <w:bookmarkStart w:id="19" w:name="_Hlk52961792"/>
      <w:r>
        <w:rPr>
          <w:rFonts w:hint="eastAsia" w:ascii="仿宋_GB2312" w:eastAsia="仿宋_GB2312" w:cs="仿宋_GB2312" w:hAnsiTheme="minorEastAsia"/>
          <w:sz w:val="24"/>
          <w:szCs w:val="24"/>
        </w:rPr>
        <w:t>垫江县</w:t>
      </w:r>
      <w:bookmarkStart w:id="20" w:name="_Hlk52961092"/>
      <w:r>
        <w:rPr>
          <w:rFonts w:hint="eastAsia" w:ascii="仿宋_GB2312" w:eastAsia="仿宋_GB2312" w:cs="仿宋_GB2312" w:hAnsiTheme="minorEastAsia"/>
          <w:sz w:val="24"/>
          <w:szCs w:val="24"/>
        </w:rPr>
        <w:t>2019年农村生活垃圾中段收运和末端转运项目</w:t>
      </w:r>
      <w:bookmarkEnd w:id="19"/>
      <w:bookmarkEnd w:id="20"/>
      <w:r>
        <w:rPr>
          <w:rFonts w:hint="eastAsia" w:ascii="仿宋_GB2312" w:eastAsia="仿宋_GB2312" w:cs="仿宋_GB2312" w:hAnsiTheme="minorEastAsia"/>
          <w:sz w:val="24"/>
          <w:szCs w:val="24"/>
        </w:rPr>
        <w:t>绩效进行客观评价，最终评分结果为91.5分。</w:t>
      </w:r>
      <w:bookmarkEnd w:id="18"/>
      <w:bookmarkStart w:id="21" w:name="_Hlk53049629"/>
      <w:r>
        <w:rPr>
          <w:rFonts w:hint="eastAsia" w:ascii="仿宋_GB2312" w:eastAsia="仿宋_GB2312" w:cs="仿宋_GB2312" w:hAnsiTheme="minorEastAsia"/>
          <w:sz w:val="24"/>
          <w:szCs w:val="24"/>
        </w:rPr>
        <w:t>根据相关规定，其绩效评级为“优”。</w:t>
      </w:r>
      <w:bookmarkEnd w:id="21"/>
      <w:r>
        <w:rPr>
          <w:rFonts w:hint="eastAsia" w:ascii="仿宋_GB2312" w:eastAsia="仿宋_GB2312" w:cs="仿宋_GB2312" w:hAnsiTheme="minorEastAsia"/>
          <w:sz w:val="24"/>
          <w:szCs w:val="24"/>
        </w:rPr>
        <w:t>各部分权重和绩效分值详见表2。</w:t>
      </w:r>
    </w:p>
    <w:tbl>
      <w:tblPr>
        <w:tblStyle w:val="12"/>
        <w:tblW w:w="93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2"/>
        <w:gridCol w:w="1875"/>
        <w:gridCol w:w="1873"/>
        <w:gridCol w:w="1873"/>
        <w:gridCol w:w="1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1872" w:type="dxa"/>
            <w:vAlign w:val="center"/>
          </w:tcPr>
          <w:p>
            <w:pPr>
              <w:autoSpaceDE w:val="0"/>
              <w:autoSpaceDN w:val="0"/>
              <w:snapToGrid w:val="0"/>
              <w:spacing w:before="23" w:line="263" w:lineRule="exact"/>
              <w:ind w:left="583"/>
              <w:jc w:val="left"/>
              <w:rPr>
                <w:rFonts w:ascii="仿宋_GB2312" w:hAnsi="仿宋_GB2312" w:eastAsia="仿宋_GB2312" w:cs="仿宋_GB2312"/>
              </w:rPr>
            </w:pPr>
            <w:r>
              <w:rPr>
                <w:rFonts w:ascii="仿宋_GB2312" w:hAnsi="仿宋_GB2312" w:eastAsia="仿宋_GB2312" w:cs="仿宋_GB2312"/>
              </w:rPr>
              <w:t>指 标</w:t>
            </w:r>
          </w:p>
        </w:tc>
        <w:tc>
          <w:tcPr>
            <w:tcW w:w="1875" w:type="dxa"/>
            <w:vAlign w:val="center"/>
          </w:tcPr>
          <w:p>
            <w:pPr>
              <w:autoSpaceDE w:val="0"/>
              <w:autoSpaceDN w:val="0"/>
              <w:snapToGrid w:val="0"/>
              <w:spacing w:before="23" w:line="263" w:lineRule="exact"/>
              <w:ind w:left="319"/>
              <w:jc w:val="left"/>
              <w:rPr>
                <w:rFonts w:ascii="仿宋_GB2312" w:hAnsi="仿宋_GB2312" w:eastAsia="仿宋_GB2312" w:cs="仿宋_GB2312"/>
              </w:rPr>
            </w:pPr>
            <w:r>
              <w:rPr>
                <w:rFonts w:ascii="仿宋_GB2312" w:hAnsi="仿宋_GB2312" w:eastAsia="仿宋_GB2312" w:cs="仿宋_GB2312"/>
              </w:rPr>
              <w:t>项目决策类</w:t>
            </w:r>
          </w:p>
        </w:tc>
        <w:tc>
          <w:tcPr>
            <w:tcW w:w="1873" w:type="dxa"/>
            <w:vAlign w:val="center"/>
          </w:tcPr>
          <w:p>
            <w:pPr>
              <w:autoSpaceDE w:val="0"/>
              <w:autoSpaceDN w:val="0"/>
              <w:snapToGrid w:val="0"/>
              <w:spacing w:before="23" w:line="263" w:lineRule="exact"/>
              <w:ind w:left="319"/>
              <w:jc w:val="left"/>
              <w:rPr>
                <w:rFonts w:ascii="仿宋_GB2312" w:hAnsi="仿宋_GB2312" w:eastAsia="仿宋_GB2312" w:cs="仿宋_GB2312"/>
              </w:rPr>
            </w:pPr>
            <w:r>
              <w:rPr>
                <w:rFonts w:ascii="仿宋_GB2312" w:hAnsi="仿宋_GB2312" w:eastAsia="仿宋_GB2312" w:cs="仿宋_GB2312"/>
              </w:rPr>
              <w:t>项目管理类</w:t>
            </w:r>
          </w:p>
        </w:tc>
        <w:tc>
          <w:tcPr>
            <w:tcW w:w="1873" w:type="dxa"/>
            <w:vAlign w:val="center"/>
          </w:tcPr>
          <w:p>
            <w:pPr>
              <w:autoSpaceDE w:val="0"/>
              <w:autoSpaceDN w:val="0"/>
              <w:snapToGrid w:val="0"/>
              <w:spacing w:before="23" w:line="263" w:lineRule="exact"/>
              <w:ind w:left="319"/>
              <w:jc w:val="left"/>
              <w:rPr>
                <w:rFonts w:ascii="仿宋_GB2312" w:hAnsi="仿宋_GB2312" w:eastAsia="仿宋_GB2312" w:cs="仿宋_GB2312"/>
              </w:rPr>
            </w:pPr>
            <w:r>
              <w:rPr>
                <w:rFonts w:ascii="仿宋_GB2312" w:hAnsi="仿宋_GB2312" w:eastAsia="仿宋_GB2312" w:cs="仿宋_GB2312"/>
              </w:rPr>
              <w:t>项目绩效类</w:t>
            </w:r>
          </w:p>
        </w:tc>
        <w:tc>
          <w:tcPr>
            <w:tcW w:w="1871" w:type="dxa"/>
            <w:vAlign w:val="center"/>
          </w:tcPr>
          <w:p>
            <w:pPr>
              <w:autoSpaceDE w:val="0"/>
              <w:autoSpaceDN w:val="0"/>
              <w:snapToGrid w:val="0"/>
              <w:spacing w:before="23" w:line="263" w:lineRule="exact"/>
              <w:ind w:left="636"/>
              <w:jc w:val="left"/>
              <w:rPr>
                <w:rFonts w:ascii="仿宋_GB2312" w:hAnsi="仿宋_GB2312" w:eastAsia="仿宋_GB2312" w:cs="仿宋_GB2312"/>
              </w:rPr>
            </w:pPr>
            <w:r>
              <w:rPr>
                <w:rFonts w:ascii="仿宋_GB2312" w:hAnsi="仿宋_GB2312" w:eastAsia="仿宋_GB2312" w:cs="仿宋_GB2312"/>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1872" w:type="dxa"/>
            <w:vAlign w:val="center"/>
          </w:tcPr>
          <w:p>
            <w:pPr>
              <w:autoSpaceDE w:val="0"/>
              <w:autoSpaceDN w:val="0"/>
              <w:snapToGrid w:val="0"/>
              <w:spacing w:before="25" w:line="263" w:lineRule="exact"/>
              <w:ind w:left="583"/>
              <w:jc w:val="left"/>
              <w:rPr>
                <w:rFonts w:ascii="仿宋_GB2312" w:hAnsi="仿宋_GB2312" w:eastAsia="仿宋_GB2312" w:cs="仿宋_GB2312"/>
              </w:rPr>
            </w:pPr>
            <w:r>
              <w:rPr>
                <w:rFonts w:ascii="仿宋_GB2312" w:hAnsi="仿宋_GB2312" w:eastAsia="仿宋_GB2312" w:cs="仿宋_GB2312"/>
              </w:rPr>
              <w:t>权 重</w:t>
            </w:r>
          </w:p>
        </w:tc>
        <w:tc>
          <w:tcPr>
            <w:tcW w:w="1875" w:type="dxa"/>
            <w:vAlign w:val="center"/>
          </w:tcPr>
          <w:p>
            <w:pPr>
              <w:autoSpaceDE w:val="0"/>
              <w:autoSpaceDN w:val="0"/>
              <w:snapToGrid w:val="0"/>
              <w:spacing w:before="39"/>
              <w:ind w:left="742"/>
              <w:jc w:val="left"/>
              <w:rPr>
                <w:rFonts w:ascii="仿宋_GB2312" w:eastAsia="仿宋_GB2312"/>
              </w:rPr>
            </w:pPr>
            <w:r>
              <w:rPr>
                <w:rFonts w:hint="eastAsia" w:ascii="仿宋_GB2312" w:eastAsia="仿宋_GB2312"/>
              </w:rPr>
              <w:t>8</w:t>
            </w:r>
          </w:p>
        </w:tc>
        <w:tc>
          <w:tcPr>
            <w:tcW w:w="1873" w:type="dxa"/>
            <w:vAlign w:val="center"/>
          </w:tcPr>
          <w:p>
            <w:pPr>
              <w:autoSpaceDE w:val="0"/>
              <w:autoSpaceDN w:val="0"/>
              <w:snapToGrid w:val="0"/>
              <w:spacing w:before="39"/>
              <w:ind w:left="741"/>
              <w:jc w:val="left"/>
              <w:rPr>
                <w:rFonts w:ascii="仿宋_GB2312" w:eastAsia="仿宋_GB2312"/>
              </w:rPr>
            </w:pPr>
            <w:r>
              <w:rPr>
                <w:rFonts w:hint="eastAsia" w:ascii="仿宋_GB2312" w:eastAsia="仿宋_GB2312"/>
              </w:rPr>
              <w:t>26</w:t>
            </w:r>
          </w:p>
        </w:tc>
        <w:tc>
          <w:tcPr>
            <w:tcW w:w="1873" w:type="dxa"/>
            <w:vAlign w:val="center"/>
          </w:tcPr>
          <w:p>
            <w:pPr>
              <w:autoSpaceDE w:val="0"/>
              <w:autoSpaceDN w:val="0"/>
              <w:snapToGrid w:val="0"/>
              <w:spacing w:before="39"/>
              <w:ind w:left="741"/>
              <w:jc w:val="left"/>
              <w:rPr>
                <w:rFonts w:ascii="仿宋_GB2312" w:eastAsia="仿宋_GB2312"/>
              </w:rPr>
            </w:pPr>
            <w:r>
              <w:rPr>
                <w:rFonts w:hint="eastAsia" w:ascii="仿宋_GB2312" w:eastAsia="仿宋_GB2312"/>
              </w:rPr>
              <w:t>66</w:t>
            </w:r>
          </w:p>
        </w:tc>
        <w:tc>
          <w:tcPr>
            <w:tcW w:w="1871" w:type="dxa"/>
            <w:vAlign w:val="center"/>
          </w:tcPr>
          <w:p>
            <w:pPr>
              <w:autoSpaceDE w:val="0"/>
              <w:autoSpaceDN w:val="0"/>
              <w:snapToGrid w:val="0"/>
              <w:spacing w:before="39"/>
              <w:ind w:left="689"/>
              <w:jc w:val="left"/>
              <w:rPr>
                <w:rFonts w:ascii="仿宋_GB2312" w:eastAsia="仿宋_GB2312"/>
              </w:rPr>
            </w:pPr>
            <w:r>
              <w:rPr>
                <w:rFonts w:hint="eastAsia" w:ascii="仿宋_GB2312" w:eastAsia="仿宋_GB231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1872" w:type="dxa"/>
            <w:vAlign w:val="center"/>
          </w:tcPr>
          <w:p>
            <w:pPr>
              <w:autoSpaceDE w:val="0"/>
              <w:autoSpaceDN w:val="0"/>
              <w:snapToGrid w:val="0"/>
              <w:spacing w:before="23" w:line="263" w:lineRule="exact"/>
              <w:ind w:left="583"/>
              <w:jc w:val="left"/>
              <w:rPr>
                <w:rFonts w:ascii="仿宋_GB2312" w:hAnsi="仿宋_GB2312" w:eastAsia="仿宋_GB2312" w:cs="仿宋_GB2312"/>
              </w:rPr>
            </w:pPr>
            <w:r>
              <w:rPr>
                <w:rFonts w:ascii="仿宋_GB2312" w:hAnsi="仿宋_GB2312" w:eastAsia="仿宋_GB2312" w:cs="仿宋_GB2312"/>
              </w:rPr>
              <w:t>得 分</w:t>
            </w:r>
          </w:p>
        </w:tc>
        <w:tc>
          <w:tcPr>
            <w:tcW w:w="1875" w:type="dxa"/>
            <w:vAlign w:val="center"/>
          </w:tcPr>
          <w:p>
            <w:pPr>
              <w:autoSpaceDE w:val="0"/>
              <w:autoSpaceDN w:val="0"/>
              <w:snapToGrid w:val="0"/>
              <w:spacing w:before="39"/>
              <w:ind w:left="742"/>
              <w:jc w:val="left"/>
              <w:rPr>
                <w:rFonts w:ascii="仿宋_GB2312" w:eastAsia="仿宋_GB2312"/>
              </w:rPr>
            </w:pPr>
            <w:r>
              <w:rPr>
                <w:rFonts w:hint="eastAsia" w:ascii="仿宋_GB2312" w:eastAsia="仿宋_GB2312"/>
              </w:rPr>
              <w:t>8</w:t>
            </w:r>
          </w:p>
        </w:tc>
        <w:tc>
          <w:tcPr>
            <w:tcW w:w="1873" w:type="dxa"/>
            <w:vAlign w:val="center"/>
          </w:tcPr>
          <w:p>
            <w:pPr>
              <w:autoSpaceDE w:val="0"/>
              <w:autoSpaceDN w:val="0"/>
              <w:snapToGrid w:val="0"/>
              <w:spacing w:before="39"/>
              <w:ind w:left="741"/>
              <w:jc w:val="left"/>
              <w:rPr>
                <w:rFonts w:ascii="仿宋_GB2312" w:eastAsia="仿宋_GB2312"/>
              </w:rPr>
            </w:pPr>
            <w:r>
              <w:rPr>
                <w:rFonts w:hint="eastAsia" w:ascii="仿宋_GB2312" w:eastAsia="仿宋_GB2312"/>
              </w:rPr>
              <w:t>19.5</w:t>
            </w:r>
          </w:p>
        </w:tc>
        <w:tc>
          <w:tcPr>
            <w:tcW w:w="1873" w:type="dxa"/>
            <w:vAlign w:val="center"/>
          </w:tcPr>
          <w:p>
            <w:pPr>
              <w:autoSpaceDE w:val="0"/>
              <w:autoSpaceDN w:val="0"/>
              <w:snapToGrid w:val="0"/>
              <w:spacing w:before="39"/>
              <w:ind w:left="741"/>
              <w:jc w:val="left"/>
              <w:rPr>
                <w:rFonts w:ascii="仿宋_GB2312" w:eastAsia="仿宋_GB2312"/>
              </w:rPr>
            </w:pPr>
            <w:r>
              <w:rPr>
                <w:rFonts w:hint="eastAsia" w:ascii="仿宋_GB2312" w:eastAsia="仿宋_GB2312"/>
              </w:rPr>
              <w:t>64</w:t>
            </w:r>
          </w:p>
        </w:tc>
        <w:tc>
          <w:tcPr>
            <w:tcW w:w="1871" w:type="dxa"/>
            <w:vAlign w:val="center"/>
          </w:tcPr>
          <w:p>
            <w:pPr>
              <w:autoSpaceDE w:val="0"/>
              <w:autoSpaceDN w:val="0"/>
              <w:snapToGrid w:val="0"/>
              <w:spacing w:before="39"/>
              <w:ind w:left="742"/>
              <w:jc w:val="left"/>
              <w:rPr>
                <w:rFonts w:ascii="仿宋_GB2312" w:eastAsia="仿宋_GB2312"/>
              </w:rPr>
            </w:pPr>
            <w:r>
              <w:rPr>
                <w:rFonts w:hint="eastAsia" w:ascii="仿宋_GB2312" w:eastAsia="仿宋_GB2312"/>
              </w:rPr>
              <w:t>91.5</w:t>
            </w:r>
          </w:p>
        </w:tc>
      </w:tr>
    </w:tbl>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从项目完成情况来看，2019年农村生活垃圾中段收运和末端转运项目完成了全县24个乡镇的农村生活垃圾收运转运</w:t>
      </w:r>
      <w:r>
        <w:rPr>
          <w:rFonts w:ascii="仿宋_GB2312" w:eastAsia="仿宋_GB2312" w:cs="仿宋_GB2312" w:hAnsiTheme="minorEastAsia"/>
          <w:sz w:val="24"/>
          <w:szCs w:val="24"/>
        </w:rPr>
        <w:t>60847.87吨</w:t>
      </w:r>
      <w:r>
        <w:rPr>
          <w:rFonts w:hint="eastAsia" w:ascii="仿宋_GB2312" w:eastAsia="仿宋_GB2312" w:cs="仿宋_GB2312" w:hAnsiTheme="minorEastAsia"/>
          <w:sz w:val="24"/>
          <w:szCs w:val="24"/>
        </w:rPr>
        <w:t>，</w:t>
      </w:r>
      <w:r>
        <w:rPr>
          <w:rFonts w:ascii="仿宋_GB2312" w:eastAsia="仿宋_GB2312" w:cs="仿宋_GB2312" w:hAnsiTheme="minorEastAsia"/>
          <w:sz w:val="24"/>
          <w:szCs w:val="24"/>
        </w:rPr>
        <w:t>通过对样本乡镇群众的满意度调查</w:t>
      </w:r>
      <w:r>
        <w:rPr>
          <w:rFonts w:hint="eastAsia" w:ascii="仿宋_GB2312" w:eastAsia="仿宋_GB2312" w:cs="仿宋_GB2312" w:hAnsiTheme="minorEastAsia"/>
          <w:sz w:val="24"/>
          <w:szCs w:val="24"/>
        </w:rPr>
        <w:t>，</w:t>
      </w:r>
      <w:r>
        <w:rPr>
          <w:rFonts w:ascii="仿宋_GB2312" w:eastAsia="仿宋_GB2312" w:cs="仿宋_GB2312" w:hAnsiTheme="minorEastAsia"/>
          <w:sz w:val="24"/>
          <w:szCs w:val="24"/>
        </w:rPr>
        <w:t>满意度达到99.36%</w:t>
      </w:r>
      <w:r>
        <w:rPr>
          <w:rFonts w:hint="eastAsia" w:ascii="仿宋_GB2312" w:eastAsia="仿宋_GB2312" w:cs="仿宋_GB2312" w:hAnsiTheme="minorEastAsia"/>
          <w:sz w:val="24"/>
          <w:szCs w:val="24"/>
        </w:rPr>
        <w:t>。通过农村生活垃圾的集中收集、中段收运和末端转运，解决了农村生活垃圾随意处置的问题，改善农村居住环境，项目总体实施效果较佳。</w:t>
      </w:r>
    </w:p>
    <w:p>
      <w:pPr>
        <w:pStyle w:val="24"/>
        <w:numPr>
          <w:ilvl w:val="0"/>
          <w:numId w:val="0"/>
        </w:numPr>
        <w:ind w:left="1191" w:hanging="765"/>
      </w:pPr>
      <w:bookmarkStart w:id="22" w:name="_Toc54873777"/>
      <w:r>
        <w:rPr>
          <w:rFonts w:hint="eastAsia"/>
        </w:rPr>
        <w:t>（二）绩效分析</w:t>
      </w:r>
      <w:bookmarkEnd w:id="22"/>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本次绩效评价从项目立项、项目管理、项目绩效三方面对垫江县2019年农村生活垃圾中段收运和末端转运项目进行打分，详细的评价内容见附件五：绩效评价工作底稿。</w:t>
      </w:r>
    </w:p>
    <w:p>
      <w:pPr>
        <w:autoSpaceDE w:val="0"/>
        <w:autoSpaceDN w:val="0"/>
        <w:snapToGrid w:val="0"/>
        <w:spacing w:before="100" w:beforeAutospacing="1" w:line="360" w:lineRule="auto"/>
        <w:ind w:left="42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1.项目决策</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项目决策类指标包括项目立项和项目绩效目标两方面的内容，由</w:t>
      </w:r>
      <w:r>
        <w:rPr>
          <w:rFonts w:ascii="仿宋_GB2312" w:eastAsia="仿宋_GB2312" w:cs="仿宋_GB2312" w:hAnsiTheme="minorEastAsia"/>
          <w:sz w:val="24"/>
          <w:szCs w:val="24"/>
        </w:rPr>
        <w:t>4</w:t>
      </w:r>
      <w:r>
        <w:rPr>
          <w:rFonts w:hint="eastAsia" w:ascii="仿宋_GB2312" w:eastAsia="仿宋_GB2312" w:cs="仿宋_GB2312" w:hAnsiTheme="minorEastAsia"/>
          <w:sz w:val="24"/>
          <w:szCs w:val="24"/>
        </w:rPr>
        <w:t>个三级指标构成，权重分为</w:t>
      </w:r>
      <w:r>
        <w:rPr>
          <w:rFonts w:ascii="仿宋_GB2312" w:eastAsia="仿宋_GB2312" w:cs="仿宋_GB2312" w:hAnsiTheme="minorEastAsia"/>
          <w:sz w:val="24"/>
          <w:szCs w:val="24"/>
        </w:rPr>
        <w:t>8</w:t>
      </w:r>
      <w:r>
        <w:rPr>
          <w:rFonts w:hint="eastAsia" w:ascii="仿宋_GB2312" w:eastAsia="仿宋_GB2312" w:cs="仿宋_GB2312" w:hAnsiTheme="minorEastAsia"/>
          <w:sz w:val="24"/>
          <w:szCs w:val="24"/>
        </w:rPr>
        <w:t>分，实际得分</w:t>
      </w:r>
      <w:r>
        <w:rPr>
          <w:rFonts w:ascii="仿宋_GB2312" w:eastAsia="仿宋_GB2312" w:cs="仿宋_GB2312" w:hAnsiTheme="minorEastAsia"/>
          <w:sz w:val="24"/>
          <w:szCs w:val="24"/>
        </w:rPr>
        <w:t>8</w:t>
      </w:r>
      <w:r>
        <w:rPr>
          <w:rFonts w:hint="eastAsia" w:ascii="仿宋_GB2312" w:eastAsia="仿宋_GB2312" w:cs="仿宋_GB2312" w:hAnsiTheme="minorEastAsia"/>
          <w:sz w:val="24"/>
          <w:szCs w:val="24"/>
        </w:rPr>
        <w:t xml:space="preserve">分，得分率100%。各指标的业绩值和绩效分值详表3。 </w:t>
      </w:r>
    </w:p>
    <w:p>
      <w:pPr>
        <w:autoSpaceDE w:val="0"/>
        <w:autoSpaceDN w:val="0"/>
        <w:snapToGrid w:val="0"/>
        <w:spacing w:before="100" w:beforeAutospacing="1" w:line="360" w:lineRule="auto"/>
        <w:ind w:left="426"/>
        <w:jc w:val="center"/>
        <w:rPr>
          <w:rFonts w:ascii="仿宋_GB2312" w:eastAsia="仿宋_GB2312" w:cs="仿宋_GB2312" w:hAnsiTheme="minorEastAsia"/>
          <w:szCs w:val="21"/>
        </w:rPr>
      </w:pPr>
      <w:r>
        <w:rPr>
          <w:rFonts w:hint="eastAsia" w:ascii="仿宋_GB2312" w:eastAsia="仿宋_GB2312" w:cs="仿宋_GB2312" w:hAnsiTheme="minorEastAsia"/>
          <w:szCs w:val="21"/>
        </w:rPr>
        <w:t>表 3 项目决策类指标评分结果汇总表</w:t>
      </w:r>
    </w:p>
    <w:tbl>
      <w:tblPr>
        <w:tblStyle w:val="12"/>
        <w:tblW w:w="93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95"/>
        <w:gridCol w:w="2234"/>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autoSpaceDE w:val="0"/>
              <w:autoSpaceDN w:val="0"/>
              <w:snapToGrid w:val="0"/>
              <w:spacing w:before="25" w:line="263" w:lineRule="exact"/>
              <w:ind w:left="1373"/>
              <w:jc w:val="left"/>
              <w:rPr>
                <w:rFonts w:ascii="仿宋_GB2312" w:hAnsi="仿宋_GB2312" w:eastAsia="仿宋_GB2312" w:cs="仿宋_GB2312"/>
              </w:rPr>
            </w:pPr>
            <w:r>
              <w:rPr>
                <w:rFonts w:ascii="仿宋_GB2312" w:hAnsi="仿宋_GB2312" w:eastAsia="仿宋_GB2312" w:cs="仿宋_GB2312"/>
              </w:rPr>
              <w:t>指标名称</w:t>
            </w:r>
          </w:p>
        </w:tc>
        <w:tc>
          <w:tcPr>
            <w:tcW w:w="2234" w:type="dxa"/>
            <w:vAlign w:val="center"/>
          </w:tcPr>
          <w:p>
            <w:pPr>
              <w:autoSpaceDE w:val="0"/>
              <w:autoSpaceDN w:val="0"/>
              <w:snapToGrid w:val="0"/>
              <w:spacing w:before="25" w:line="263" w:lineRule="exact"/>
              <w:ind w:left="393"/>
              <w:jc w:val="left"/>
              <w:rPr>
                <w:rFonts w:ascii="仿宋_GB2312" w:hAnsi="仿宋_GB2312" w:eastAsia="仿宋_GB2312" w:cs="仿宋_GB2312"/>
              </w:rPr>
            </w:pPr>
            <w:r>
              <w:rPr>
                <w:rFonts w:ascii="仿宋_GB2312" w:hAnsi="仿宋_GB2312" w:eastAsia="仿宋_GB2312" w:cs="仿宋_GB2312"/>
              </w:rPr>
              <w:t>指标权重</w:t>
            </w:r>
          </w:p>
        </w:tc>
        <w:tc>
          <w:tcPr>
            <w:tcW w:w="2235" w:type="dxa"/>
            <w:vAlign w:val="center"/>
          </w:tcPr>
          <w:p>
            <w:pPr>
              <w:autoSpaceDE w:val="0"/>
              <w:autoSpaceDN w:val="0"/>
              <w:snapToGrid w:val="0"/>
              <w:spacing w:before="25" w:line="263" w:lineRule="exact"/>
              <w:ind w:left="500"/>
              <w:jc w:val="left"/>
              <w:rPr>
                <w:rFonts w:ascii="仿宋_GB2312" w:hAnsi="仿宋_GB2312" w:eastAsia="仿宋_GB2312" w:cs="仿宋_GB2312"/>
              </w:rPr>
            </w:pPr>
            <w:r>
              <w:rPr>
                <w:rFonts w:ascii="仿宋_GB2312" w:hAnsi="仿宋_GB2312" w:eastAsia="仿宋_GB2312" w:cs="仿宋_GB2312"/>
              </w:rPr>
              <w:t>绩效值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autoSpaceDE w:val="0"/>
              <w:autoSpaceDN w:val="0"/>
              <w:snapToGrid w:val="0"/>
              <w:spacing w:before="23"/>
              <w:ind w:left="103"/>
              <w:jc w:val="left"/>
              <w:rPr>
                <w:rFonts w:ascii="仿宋_GB2312" w:hAnsi="仿宋_GB2312" w:eastAsia="仿宋_GB2312" w:cs="仿宋_GB2312"/>
              </w:rPr>
            </w:pPr>
            <w:r>
              <w:rPr>
                <w:rFonts w:hint="eastAsia" w:ascii="仿宋_GB2312" w:hAnsi="仿宋_GB2312" w:eastAsia="仿宋_GB2312" w:cs="仿宋_GB2312"/>
              </w:rPr>
              <w:t>立项合理性</w:t>
            </w:r>
          </w:p>
        </w:tc>
        <w:tc>
          <w:tcPr>
            <w:tcW w:w="2234" w:type="dxa"/>
            <w:vAlign w:val="center"/>
          </w:tcPr>
          <w:p>
            <w:pPr>
              <w:autoSpaceDE w:val="0"/>
              <w:autoSpaceDN w:val="0"/>
              <w:snapToGrid w:val="0"/>
              <w:jc w:val="center"/>
              <w:rPr>
                <w:rFonts w:ascii="仿宋_GB2312" w:hAnsi="仿宋_GB2312" w:eastAsia="仿宋_GB2312" w:cs="仿宋_GB2312"/>
              </w:rPr>
            </w:pPr>
          </w:p>
        </w:tc>
        <w:tc>
          <w:tcPr>
            <w:tcW w:w="2235" w:type="dxa"/>
            <w:vAlign w:val="center"/>
          </w:tcPr>
          <w:p>
            <w:pPr>
              <w:autoSpaceDE w:val="0"/>
              <w:autoSpaceDN w:val="0"/>
              <w:snapToGrid w:val="0"/>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ind w:left="416" w:leftChars="198"/>
              <w:rPr>
                <w:rFonts w:ascii="仿宋_GB2312" w:hAnsi="仿宋_GB2312" w:eastAsia="仿宋_GB2312" w:cs="仿宋_GB2312"/>
              </w:rPr>
            </w:pPr>
            <w:r>
              <w:rPr>
                <w:rFonts w:hint="eastAsia" w:ascii="仿宋_GB2312" w:hAnsi="仿宋_GB2312" w:eastAsia="仿宋_GB2312" w:cs="仿宋_GB2312"/>
              </w:rPr>
              <w:t>项目立项的充分性</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2</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autoSpaceDE w:val="0"/>
              <w:autoSpaceDN w:val="0"/>
              <w:snapToGrid w:val="0"/>
              <w:spacing w:before="25"/>
              <w:ind w:left="417"/>
              <w:jc w:val="left"/>
              <w:rPr>
                <w:rFonts w:ascii="仿宋_GB2312" w:hAnsi="仿宋_GB2312" w:eastAsia="仿宋_GB2312" w:cs="仿宋_GB2312"/>
              </w:rPr>
            </w:pPr>
            <w:r>
              <w:rPr>
                <w:rFonts w:hint="eastAsia" w:ascii="仿宋_GB2312" w:hAnsi="仿宋_GB2312" w:eastAsia="仿宋_GB2312" w:cs="仿宋_GB2312"/>
              </w:rPr>
              <w:t>立项依据的规范性</w:t>
            </w:r>
          </w:p>
        </w:tc>
        <w:tc>
          <w:tcPr>
            <w:tcW w:w="2234" w:type="dxa"/>
            <w:vAlign w:val="center"/>
          </w:tcPr>
          <w:p>
            <w:pPr>
              <w:autoSpaceDE w:val="0"/>
              <w:autoSpaceDN w:val="0"/>
              <w:snapToGrid w:val="0"/>
              <w:spacing w:before="41"/>
              <w:ind w:left="763"/>
              <w:jc w:val="center"/>
              <w:rPr>
                <w:rFonts w:ascii="仿宋_GB2312" w:eastAsia="仿宋_GB2312"/>
              </w:rPr>
            </w:pPr>
            <w:r>
              <w:rPr>
                <w:rFonts w:hint="eastAsia" w:ascii="仿宋_GB2312" w:eastAsia="仿宋_GB2312"/>
              </w:rPr>
              <w:t>2</w:t>
            </w:r>
          </w:p>
        </w:tc>
        <w:tc>
          <w:tcPr>
            <w:tcW w:w="2235" w:type="dxa"/>
            <w:vAlign w:val="center"/>
          </w:tcPr>
          <w:p>
            <w:pPr>
              <w:autoSpaceDE w:val="0"/>
              <w:autoSpaceDN w:val="0"/>
              <w:snapToGrid w:val="0"/>
              <w:spacing w:before="41"/>
              <w:ind w:left="764"/>
              <w:jc w:val="center"/>
              <w:rPr>
                <w:rFonts w:ascii="仿宋_GB2312" w:eastAsia="仿宋_GB2312"/>
              </w:rPr>
            </w:pPr>
            <w:r>
              <w:rPr>
                <w:rFonts w:hint="eastAsia" w:ascii="仿宋_GB2312" w:eastAsia="仿宋_GB231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autoSpaceDE w:val="0"/>
              <w:autoSpaceDN w:val="0"/>
              <w:snapToGrid w:val="0"/>
              <w:spacing w:before="25"/>
              <w:ind w:left="103"/>
              <w:jc w:val="left"/>
              <w:rPr>
                <w:rFonts w:ascii="仿宋_GB2312" w:hAnsi="仿宋_GB2312" w:eastAsia="仿宋_GB2312" w:cs="仿宋_GB2312"/>
              </w:rPr>
            </w:pPr>
            <w:r>
              <w:rPr>
                <w:rFonts w:hint="eastAsia" w:ascii="仿宋_GB2312" w:hAnsi="仿宋_GB2312" w:eastAsia="仿宋_GB2312" w:cs="仿宋_GB2312"/>
              </w:rPr>
              <w:t>绩效目标</w:t>
            </w:r>
          </w:p>
        </w:tc>
        <w:tc>
          <w:tcPr>
            <w:tcW w:w="2234" w:type="dxa"/>
            <w:vAlign w:val="center"/>
          </w:tcPr>
          <w:p>
            <w:pPr>
              <w:autoSpaceDE w:val="0"/>
              <w:autoSpaceDN w:val="0"/>
              <w:snapToGrid w:val="0"/>
              <w:jc w:val="center"/>
              <w:rPr>
                <w:rFonts w:ascii="仿宋_GB2312" w:hAnsi="仿宋_GB2312" w:eastAsia="仿宋_GB2312" w:cs="仿宋_GB2312"/>
              </w:rPr>
            </w:pPr>
          </w:p>
        </w:tc>
        <w:tc>
          <w:tcPr>
            <w:tcW w:w="2235" w:type="dxa"/>
            <w:vAlign w:val="center"/>
          </w:tcPr>
          <w:p>
            <w:pPr>
              <w:autoSpaceDE w:val="0"/>
              <w:autoSpaceDN w:val="0"/>
              <w:snapToGrid w:val="0"/>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autoSpaceDE w:val="0"/>
              <w:autoSpaceDN w:val="0"/>
              <w:snapToGrid w:val="0"/>
              <w:spacing w:before="25"/>
              <w:ind w:left="417"/>
              <w:jc w:val="left"/>
              <w:rPr>
                <w:rFonts w:ascii="仿宋_GB2312" w:hAnsi="仿宋_GB2312" w:eastAsia="仿宋_GB2312" w:cs="仿宋_GB2312"/>
              </w:rPr>
            </w:pPr>
            <w:r>
              <w:rPr>
                <w:rFonts w:ascii="仿宋_GB2312" w:hAnsi="仿宋_GB2312" w:eastAsia="仿宋_GB2312" w:cs="仿宋_GB2312"/>
              </w:rPr>
              <w:t>绩效目标合理性</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2</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autoSpaceDE w:val="0"/>
              <w:autoSpaceDN w:val="0"/>
              <w:snapToGrid w:val="0"/>
              <w:spacing w:before="23"/>
              <w:ind w:left="417"/>
              <w:jc w:val="left"/>
              <w:rPr>
                <w:rFonts w:ascii="仿宋_GB2312" w:hAnsi="仿宋_GB2312" w:eastAsia="仿宋_GB2312" w:cs="仿宋_GB2312"/>
              </w:rPr>
            </w:pPr>
            <w:r>
              <w:rPr>
                <w:rFonts w:ascii="仿宋_GB2312" w:hAnsi="仿宋_GB2312" w:eastAsia="仿宋_GB2312" w:cs="仿宋_GB2312"/>
              </w:rPr>
              <w:t>绩效指标明确性</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2</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autoSpaceDE w:val="0"/>
              <w:autoSpaceDN w:val="0"/>
              <w:snapToGrid w:val="0"/>
              <w:spacing w:before="25" w:line="263" w:lineRule="exact"/>
              <w:ind w:left="1584"/>
              <w:jc w:val="left"/>
              <w:rPr>
                <w:rFonts w:ascii="仿宋_GB2312" w:hAnsi="仿宋_GB2312" w:eastAsia="仿宋_GB2312" w:cs="仿宋_GB2312"/>
              </w:rPr>
            </w:pPr>
            <w:r>
              <w:rPr>
                <w:rFonts w:ascii="仿宋_GB2312" w:hAnsi="仿宋_GB2312" w:eastAsia="仿宋_GB2312" w:cs="仿宋_GB2312"/>
              </w:rPr>
              <w:t>小计</w:t>
            </w:r>
          </w:p>
        </w:tc>
        <w:tc>
          <w:tcPr>
            <w:tcW w:w="2234" w:type="dxa"/>
            <w:vAlign w:val="center"/>
          </w:tcPr>
          <w:p>
            <w:pPr>
              <w:autoSpaceDE w:val="0"/>
              <w:autoSpaceDN w:val="0"/>
              <w:snapToGrid w:val="0"/>
              <w:spacing w:before="39"/>
              <w:ind w:left="710"/>
              <w:jc w:val="center"/>
              <w:rPr>
                <w:rFonts w:ascii="仿宋_GB2312" w:eastAsia="仿宋_GB2312"/>
              </w:rPr>
            </w:pPr>
            <w:r>
              <w:rPr>
                <w:rFonts w:hint="eastAsia" w:ascii="仿宋_GB2312" w:eastAsia="仿宋_GB2312"/>
              </w:rPr>
              <w:t>8</w:t>
            </w:r>
          </w:p>
        </w:tc>
        <w:tc>
          <w:tcPr>
            <w:tcW w:w="2235" w:type="dxa"/>
            <w:vAlign w:val="center"/>
          </w:tcPr>
          <w:p>
            <w:pPr>
              <w:autoSpaceDE w:val="0"/>
              <w:autoSpaceDN w:val="0"/>
              <w:snapToGrid w:val="0"/>
              <w:spacing w:before="39"/>
              <w:ind w:left="711"/>
              <w:jc w:val="center"/>
              <w:rPr>
                <w:rFonts w:ascii="仿宋_GB2312" w:eastAsia="仿宋_GB2312"/>
              </w:rPr>
            </w:pPr>
            <w:r>
              <w:rPr>
                <w:rFonts w:hint="eastAsia" w:ascii="仿宋_GB2312" w:eastAsia="仿宋_GB2312"/>
              </w:rPr>
              <w:t>8</w:t>
            </w:r>
          </w:p>
        </w:tc>
      </w:tr>
    </w:tbl>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立项依据充分性：本项目立项依据为《住房和城乡建设部等部门关于全面推进农村垃圾治理的指导意见》(建村</w:t>
      </w:r>
      <w:r>
        <w:rPr>
          <w:rFonts w:hint="eastAsia" w:ascii="仿宋_GB2312" w:eastAsia="仿宋_GB2312" w:hAnsiTheme="majorEastAsia"/>
          <w:sz w:val="24"/>
          <w:szCs w:val="24"/>
        </w:rPr>
        <w:t>〔2015〕</w:t>
      </w:r>
      <w:r>
        <w:rPr>
          <w:rFonts w:hint="eastAsia" w:ascii="仿宋_GB2312" w:eastAsia="仿宋_GB2312" w:cs="仿宋_GB2312" w:hAnsiTheme="minorEastAsia"/>
          <w:sz w:val="24"/>
          <w:szCs w:val="24"/>
        </w:rPr>
        <w:t xml:space="preserve"> 170号)和《垫江县人民政府办公室关于印发垫江县农村生活垃圾治理工作实施方案（2016-2018年）的通知》等文件，立项依据充分。因此，根据指标评分标准，指标得分2分。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项目立项规范性：垫江县园林局编制了《关于全县乡镇的场镇和农村生活垃圾中段收运、末端压缩转运实施方案的请示》，并报送垫江县政府常务会议审批。申请设立程序符合相关规定。因此，根据指标评分标准，指标得分2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绩效目标合理性：项目组通过查阅和分析项目</w:t>
      </w:r>
      <w:bookmarkStart w:id="23" w:name="_Hlk52985744"/>
      <w:r>
        <w:rPr>
          <w:rFonts w:hint="eastAsia" w:ascii="仿宋_GB2312" w:eastAsia="仿宋_GB2312" w:cs="仿宋_GB2312" w:hAnsiTheme="minorEastAsia"/>
          <w:sz w:val="24"/>
          <w:szCs w:val="24"/>
        </w:rPr>
        <w:t>2</w:t>
      </w:r>
      <w:r>
        <w:rPr>
          <w:rFonts w:ascii="仿宋_GB2312" w:eastAsia="仿宋_GB2312" w:cs="仿宋_GB2312" w:hAnsiTheme="minorEastAsia"/>
          <w:sz w:val="24"/>
          <w:szCs w:val="24"/>
        </w:rPr>
        <w:t>019</w:t>
      </w:r>
      <w:r>
        <w:rPr>
          <w:rFonts w:hint="eastAsia" w:ascii="仿宋_GB2312" w:eastAsia="仿宋_GB2312" w:cs="仿宋_GB2312" w:hAnsiTheme="minorEastAsia"/>
          <w:sz w:val="24"/>
          <w:szCs w:val="24"/>
        </w:rPr>
        <w:t>年绩效目标资料可</w:t>
      </w:r>
      <w:bookmarkEnd w:id="23"/>
      <w:r>
        <w:rPr>
          <w:rFonts w:hint="eastAsia" w:ascii="仿宋_GB2312" w:eastAsia="仿宋_GB2312" w:cs="仿宋_GB2312" w:hAnsiTheme="minorEastAsia"/>
          <w:sz w:val="24"/>
          <w:szCs w:val="24"/>
        </w:rPr>
        <w:t>知，</w:t>
      </w:r>
      <w:bookmarkStart w:id="24" w:name="_Hlk52985788"/>
      <w:r>
        <w:rPr>
          <w:rFonts w:hint="eastAsia" w:ascii="仿宋_GB2312" w:eastAsia="仿宋_GB2312" w:cs="仿宋_GB2312" w:hAnsiTheme="minorEastAsia"/>
          <w:sz w:val="24"/>
          <w:szCs w:val="24"/>
        </w:rPr>
        <w:t>垫江</w:t>
      </w:r>
      <w:bookmarkEnd w:id="24"/>
      <w:bookmarkStart w:id="25" w:name="_Hlk52985837"/>
      <w:r>
        <w:rPr>
          <w:rFonts w:hint="eastAsia" w:ascii="仿宋_GB2312" w:eastAsia="仿宋_GB2312" w:cs="仿宋_GB2312" w:hAnsiTheme="minorEastAsia"/>
          <w:sz w:val="24"/>
          <w:szCs w:val="24"/>
        </w:rPr>
        <w:t>城市管理局和垫江县环境卫生管理所对本项目2</w:t>
      </w:r>
      <w:r>
        <w:rPr>
          <w:rFonts w:ascii="仿宋_GB2312" w:eastAsia="仿宋_GB2312" w:cs="仿宋_GB2312" w:hAnsiTheme="minorEastAsia"/>
          <w:sz w:val="24"/>
          <w:szCs w:val="24"/>
        </w:rPr>
        <w:t>019</w:t>
      </w:r>
      <w:r>
        <w:rPr>
          <w:rFonts w:hint="eastAsia" w:ascii="仿宋_GB2312" w:eastAsia="仿宋_GB2312" w:cs="仿宋_GB2312" w:hAnsiTheme="minorEastAsia"/>
          <w:sz w:val="24"/>
          <w:szCs w:val="24"/>
        </w:rPr>
        <w:t>年绩效目标</w:t>
      </w:r>
      <w:bookmarkEnd w:id="25"/>
      <w:r>
        <w:rPr>
          <w:rFonts w:hint="eastAsia" w:ascii="仿宋_GB2312" w:eastAsia="仿宋_GB2312" w:cs="仿宋_GB2312" w:hAnsiTheme="minorEastAsia"/>
          <w:sz w:val="24"/>
          <w:szCs w:val="24"/>
        </w:rPr>
        <w:t>进行自评价，项目的自评绩效目标依据充分，符合客观实际，基本能用于考核绩效目标，与项目实施的相符情况。因此，根据指标评分标准，指标得分2分。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绩效指标明确性：项目组通过查阅和分析本项目2019年绩效目标自评表可知，垫江县环境卫生管理所根据实际情况以及以往经验，设置2019年项目在产出、质量、成本、效益以及影响力等方面的指标，指标基本清晰、细化、可衡量。因此，根据指标评分标准，指标得分2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2.项目管理类</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项目管理类指标包括投入管理、财务管理和项目实施三方面内容，由9个三级指标构成，权重分2</w:t>
      </w:r>
      <w:r>
        <w:rPr>
          <w:rFonts w:ascii="仿宋_GB2312" w:eastAsia="仿宋_GB2312" w:cs="仿宋_GB2312" w:hAnsiTheme="minorEastAsia"/>
          <w:sz w:val="24"/>
          <w:szCs w:val="24"/>
        </w:rPr>
        <w:t>6</w:t>
      </w:r>
      <w:r>
        <w:rPr>
          <w:rFonts w:hint="eastAsia" w:ascii="仿宋_GB2312" w:eastAsia="仿宋_GB2312" w:cs="仿宋_GB2312" w:hAnsiTheme="minorEastAsia"/>
          <w:sz w:val="24"/>
          <w:szCs w:val="24"/>
        </w:rPr>
        <w:t>分，实际得分</w:t>
      </w:r>
      <w:r>
        <w:rPr>
          <w:rFonts w:hint="eastAsia" w:ascii="仿宋_GB2312" w:eastAsia="仿宋_GB2312"/>
        </w:rPr>
        <w:t>19.5</w:t>
      </w:r>
      <w:r>
        <w:rPr>
          <w:rFonts w:hint="eastAsia" w:ascii="仿宋_GB2312" w:eastAsia="仿宋_GB2312" w:cs="仿宋_GB2312" w:hAnsiTheme="minorEastAsia"/>
          <w:sz w:val="24"/>
          <w:szCs w:val="24"/>
        </w:rPr>
        <w:t xml:space="preserve">分，得分率75%。各指标的业绩值和绩效分值详见项目管理类指标评分结果汇总表 </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p>
    <w:p>
      <w:pPr>
        <w:autoSpaceDE w:val="0"/>
        <w:autoSpaceDN w:val="0"/>
        <w:snapToGrid w:val="0"/>
        <w:spacing w:before="25"/>
        <w:ind w:left="417"/>
        <w:jc w:val="center"/>
        <w:rPr>
          <w:rFonts w:ascii="仿宋_GB2312" w:hAnsi="仿宋_GB2312" w:eastAsia="仿宋_GB2312" w:cs="仿宋_GB2312"/>
        </w:rPr>
      </w:pPr>
      <w:r>
        <w:rPr>
          <w:rFonts w:hint="eastAsia" w:ascii="仿宋_GB2312" w:hAnsi="仿宋_GB2312" w:eastAsia="仿宋_GB2312" w:cs="仿宋_GB2312"/>
        </w:rPr>
        <w:t>项目管理类指标评分结果汇总表</w:t>
      </w:r>
    </w:p>
    <w:tbl>
      <w:tblPr>
        <w:tblStyle w:val="12"/>
        <w:tblW w:w="93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95"/>
        <w:gridCol w:w="2234"/>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autoSpaceDE w:val="0"/>
              <w:autoSpaceDN w:val="0"/>
              <w:snapToGrid w:val="0"/>
              <w:spacing w:before="25" w:line="263" w:lineRule="exact"/>
              <w:ind w:left="1373"/>
              <w:jc w:val="left"/>
              <w:rPr>
                <w:rFonts w:ascii="仿宋_GB2312" w:hAnsi="仿宋_GB2312" w:eastAsia="仿宋_GB2312" w:cs="仿宋_GB2312"/>
              </w:rPr>
            </w:pPr>
            <w:r>
              <w:rPr>
                <w:rFonts w:ascii="仿宋_GB2312" w:hAnsi="仿宋_GB2312" w:eastAsia="仿宋_GB2312" w:cs="仿宋_GB2312"/>
              </w:rPr>
              <w:t>指标名称</w:t>
            </w:r>
          </w:p>
        </w:tc>
        <w:tc>
          <w:tcPr>
            <w:tcW w:w="2234" w:type="dxa"/>
            <w:vAlign w:val="center"/>
          </w:tcPr>
          <w:p>
            <w:pPr>
              <w:autoSpaceDE w:val="0"/>
              <w:autoSpaceDN w:val="0"/>
              <w:snapToGrid w:val="0"/>
              <w:spacing w:before="25" w:line="263" w:lineRule="exact"/>
              <w:ind w:left="393"/>
              <w:jc w:val="left"/>
              <w:rPr>
                <w:rFonts w:ascii="仿宋_GB2312" w:hAnsi="仿宋_GB2312" w:eastAsia="仿宋_GB2312" w:cs="仿宋_GB2312"/>
              </w:rPr>
            </w:pPr>
            <w:r>
              <w:rPr>
                <w:rFonts w:ascii="仿宋_GB2312" w:hAnsi="仿宋_GB2312" w:eastAsia="仿宋_GB2312" w:cs="仿宋_GB2312"/>
              </w:rPr>
              <w:t>指标权重</w:t>
            </w:r>
          </w:p>
        </w:tc>
        <w:tc>
          <w:tcPr>
            <w:tcW w:w="2235" w:type="dxa"/>
            <w:vAlign w:val="center"/>
          </w:tcPr>
          <w:p>
            <w:pPr>
              <w:autoSpaceDE w:val="0"/>
              <w:autoSpaceDN w:val="0"/>
              <w:snapToGrid w:val="0"/>
              <w:spacing w:before="25" w:line="263" w:lineRule="exact"/>
              <w:ind w:left="500"/>
              <w:jc w:val="left"/>
              <w:rPr>
                <w:rFonts w:ascii="仿宋_GB2312" w:hAnsi="仿宋_GB2312" w:eastAsia="仿宋_GB2312" w:cs="仿宋_GB2312"/>
              </w:rPr>
            </w:pPr>
            <w:r>
              <w:rPr>
                <w:rFonts w:ascii="仿宋_GB2312" w:hAnsi="仿宋_GB2312" w:eastAsia="仿宋_GB2312" w:cs="仿宋_GB2312"/>
              </w:rPr>
              <w:t>绩效值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autoSpaceDE w:val="0"/>
              <w:autoSpaceDN w:val="0"/>
              <w:snapToGrid w:val="0"/>
              <w:spacing w:before="23"/>
              <w:ind w:left="103"/>
              <w:jc w:val="left"/>
              <w:rPr>
                <w:rFonts w:ascii="仿宋_GB2312" w:hAnsi="仿宋_GB2312" w:eastAsia="仿宋_GB2312" w:cs="仿宋_GB2312"/>
              </w:rPr>
            </w:pPr>
            <w:r>
              <w:rPr>
                <w:rFonts w:hint="eastAsia" w:ascii="仿宋_GB2312" w:hAnsi="仿宋_GB2312" w:eastAsia="仿宋_GB2312" w:cs="仿宋_GB2312"/>
              </w:rPr>
              <w:t>投入管理</w:t>
            </w:r>
          </w:p>
        </w:tc>
        <w:tc>
          <w:tcPr>
            <w:tcW w:w="2234" w:type="dxa"/>
            <w:vAlign w:val="center"/>
          </w:tcPr>
          <w:p>
            <w:pPr>
              <w:autoSpaceDE w:val="0"/>
              <w:autoSpaceDN w:val="0"/>
              <w:snapToGrid w:val="0"/>
              <w:jc w:val="center"/>
              <w:rPr>
                <w:rFonts w:ascii="仿宋_GB2312" w:hAnsi="仿宋_GB2312" w:eastAsia="仿宋_GB2312" w:cs="仿宋_GB2312"/>
              </w:rPr>
            </w:pPr>
          </w:p>
        </w:tc>
        <w:tc>
          <w:tcPr>
            <w:tcW w:w="2235" w:type="dxa"/>
            <w:vAlign w:val="center"/>
          </w:tcPr>
          <w:p>
            <w:pPr>
              <w:autoSpaceDE w:val="0"/>
              <w:autoSpaceDN w:val="0"/>
              <w:snapToGrid w:val="0"/>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r>
              <w:rPr>
                <w:rFonts w:hint="eastAsia" w:ascii="仿宋_GB2312" w:hAnsi="仿宋_GB2312" w:eastAsia="仿宋_GB2312" w:cs="仿宋_GB2312"/>
              </w:rPr>
              <w:t>预算执行率</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3</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bookmarkStart w:id="26" w:name="_Hlk52986274"/>
            <w:r>
              <w:rPr>
                <w:rFonts w:hint="eastAsia" w:ascii="仿宋_GB2312" w:hAnsi="仿宋_GB2312" w:eastAsia="仿宋_GB2312" w:cs="仿宋_GB2312"/>
              </w:rPr>
              <w:t>预算资金到位率</w:t>
            </w:r>
            <w:bookmarkEnd w:id="26"/>
          </w:p>
        </w:tc>
        <w:tc>
          <w:tcPr>
            <w:tcW w:w="2234" w:type="dxa"/>
            <w:vAlign w:val="center"/>
          </w:tcPr>
          <w:p>
            <w:pPr>
              <w:autoSpaceDE w:val="0"/>
              <w:autoSpaceDN w:val="0"/>
              <w:snapToGrid w:val="0"/>
              <w:spacing w:before="41"/>
              <w:ind w:left="763"/>
              <w:jc w:val="center"/>
              <w:rPr>
                <w:rFonts w:ascii="仿宋_GB2312" w:eastAsia="仿宋_GB2312"/>
              </w:rPr>
            </w:pPr>
            <w:r>
              <w:rPr>
                <w:rFonts w:hint="eastAsia" w:ascii="仿宋_GB2312" w:eastAsia="仿宋_GB2312"/>
              </w:rPr>
              <w:t>3</w:t>
            </w:r>
          </w:p>
        </w:tc>
        <w:tc>
          <w:tcPr>
            <w:tcW w:w="2235" w:type="dxa"/>
            <w:vAlign w:val="center"/>
          </w:tcPr>
          <w:p>
            <w:pPr>
              <w:autoSpaceDE w:val="0"/>
              <w:autoSpaceDN w:val="0"/>
              <w:snapToGrid w:val="0"/>
              <w:spacing w:before="41"/>
              <w:ind w:left="764"/>
              <w:jc w:val="center"/>
              <w:rPr>
                <w:rFonts w:ascii="仿宋_GB2312" w:eastAsia="仿宋_GB2312"/>
              </w:rPr>
            </w:pPr>
            <w:r>
              <w:rPr>
                <w:rFonts w:hint="eastAsia" w:ascii="仿宋_GB2312" w:eastAsia="仿宋_GB231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autoSpaceDE w:val="0"/>
              <w:autoSpaceDN w:val="0"/>
              <w:snapToGrid w:val="0"/>
              <w:spacing w:before="25"/>
              <w:ind w:left="103"/>
              <w:jc w:val="left"/>
              <w:rPr>
                <w:rFonts w:ascii="仿宋_GB2312" w:hAnsi="仿宋_GB2312" w:eastAsia="仿宋_GB2312" w:cs="仿宋_GB2312"/>
              </w:rPr>
            </w:pPr>
            <w:r>
              <w:rPr>
                <w:rFonts w:hint="eastAsia" w:ascii="仿宋_GB2312" w:hAnsi="仿宋_GB2312" w:eastAsia="仿宋_GB2312" w:cs="仿宋_GB2312"/>
              </w:rPr>
              <w:t>财务管理</w:t>
            </w:r>
          </w:p>
        </w:tc>
        <w:tc>
          <w:tcPr>
            <w:tcW w:w="2234" w:type="dxa"/>
            <w:vAlign w:val="center"/>
          </w:tcPr>
          <w:p>
            <w:pPr>
              <w:autoSpaceDE w:val="0"/>
              <w:autoSpaceDN w:val="0"/>
              <w:snapToGrid w:val="0"/>
              <w:jc w:val="center"/>
              <w:rPr>
                <w:rFonts w:ascii="仿宋_GB2312" w:hAnsi="仿宋_GB2312" w:eastAsia="仿宋_GB2312" w:cs="仿宋_GB2312"/>
              </w:rPr>
            </w:pPr>
          </w:p>
        </w:tc>
        <w:tc>
          <w:tcPr>
            <w:tcW w:w="2235" w:type="dxa"/>
            <w:vAlign w:val="center"/>
          </w:tcPr>
          <w:p>
            <w:pPr>
              <w:autoSpaceDE w:val="0"/>
              <w:autoSpaceDN w:val="0"/>
              <w:snapToGrid w:val="0"/>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bookmarkStart w:id="27" w:name="_Hlk52986306"/>
            <w:r>
              <w:rPr>
                <w:rFonts w:hint="eastAsia" w:ascii="仿宋_GB2312" w:hAnsi="仿宋_GB2312" w:eastAsia="仿宋_GB2312" w:cs="仿宋_GB2312"/>
              </w:rPr>
              <w:t>资金使用合规性</w:t>
            </w:r>
            <w:bookmarkEnd w:id="27"/>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3</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r>
              <w:rPr>
                <w:rFonts w:hint="eastAsia" w:ascii="仿宋_GB2312" w:hAnsi="仿宋_GB2312" w:eastAsia="仿宋_GB2312" w:cs="仿宋_GB2312"/>
              </w:rPr>
              <w:t>财务管理制度健全性</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2</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r>
              <w:rPr>
                <w:rFonts w:hint="eastAsia" w:ascii="仿宋_GB2312" w:hAnsi="仿宋_GB2312" w:eastAsia="仿宋_GB2312" w:cs="仿宋_GB2312"/>
              </w:rPr>
              <w:t>支出控制情况</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2</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r>
              <w:rPr>
                <w:rFonts w:hint="eastAsia" w:ascii="仿宋_GB2312" w:hAnsi="仿宋_GB2312" w:eastAsia="仿宋_GB2312" w:cs="仿宋_GB2312"/>
              </w:rPr>
              <w:t>财务监控的有效性</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3</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210" w:leftChars="100"/>
              <w:jc w:val="left"/>
              <w:rPr>
                <w:rFonts w:ascii="仿宋_GB2312" w:hAnsi="仿宋_GB2312" w:eastAsia="仿宋_GB2312" w:cs="仿宋_GB2312"/>
              </w:rPr>
            </w:pPr>
            <w:r>
              <w:rPr>
                <w:rFonts w:hint="eastAsia" w:ascii="仿宋_GB2312" w:hAnsi="仿宋_GB2312" w:eastAsia="仿宋_GB2312" w:cs="仿宋_GB2312"/>
              </w:rPr>
              <w:t>项目实施</w:t>
            </w:r>
          </w:p>
        </w:tc>
        <w:tc>
          <w:tcPr>
            <w:tcW w:w="2234" w:type="dxa"/>
            <w:vAlign w:val="center"/>
          </w:tcPr>
          <w:p>
            <w:pPr>
              <w:autoSpaceDE w:val="0"/>
              <w:autoSpaceDN w:val="0"/>
              <w:snapToGrid w:val="0"/>
              <w:spacing w:before="39"/>
              <w:ind w:left="763"/>
              <w:jc w:val="center"/>
              <w:rPr>
                <w:rFonts w:ascii="仿宋_GB2312" w:eastAsia="仿宋_GB2312"/>
              </w:rPr>
            </w:pPr>
          </w:p>
        </w:tc>
        <w:tc>
          <w:tcPr>
            <w:tcW w:w="2235" w:type="dxa"/>
            <w:vAlign w:val="center"/>
          </w:tcPr>
          <w:p>
            <w:pPr>
              <w:autoSpaceDE w:val="0"/>
              <w:autoSpaceDN w:val="0"/>
              <w:snapToGrid w:val="0"/>
              <w:spacing w:before="39"/>
              <w:ind w:left="764"/>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r>
              <w:rPr>
                <w:rFonts w:hint="eastAsia" w:ascii="仿宋_GB2312" w:hAnsi="仿宋_GB2312" w:eastAsia="仿宋_GB2312" w:cs="仿宋_GB2312"/>
              </w:rPr>
              <w:t>管理制度的健全性及制度执行的有效性</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2</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r>
              <w:rPr>
                <w:rFonts w:hint="eastAsia" w:ascii="仿宋_GB2312" w:hAnsi="仿宋_GB2312" w:eastAsia="仿宋_GB2312" w:cs="仿宋_GB2312"/>
              </w:rPr>
              <w:t>项目实施过程的合规性</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6</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r>
              <w:rPr>
                <w:rFonts w:hint="eastAsia" w:ascii="仿宋_GB2312" w:hAnsi="仿宋_GB2312" w:eastAsia="仿宋_GB2312" w:cs="仿宋_GB2312"/>
              </w:rPr>
              <w:t>项目质量的可控性</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2</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autoSpaceDE w:val="0"/>
              <w:autoSpaceDN w:val="0"/>
              <w:snapToGrid w:val="0"/>
              <w:spacing w:before="25" w:line="263" w:lineRule="exact"/>
              <w:ind w:left="1584"/>
              <w:jc w:val="left"/>
              <w:rPr>
                <w:rFonts w:ascii="仿宋_GB2312" w:hAnsi="仿宋_GB2312" w:eastAsia="仿宋_GB2312" w:cs="仿宋_GB2312"/>
              </w:rPr>
            </w:pPr>
            <w:r>
              <w:rPr>
                <w:rFonts w:ascii="仿宋_GB2312" w:hAnsi="仿宋_GB2312" w:eastAsia="仿宋_GB2312" w:cs="仿宋_GB2312"/>
              </w:rPr>
              <w:t>小计</w:t>
            </w:r>
          </w:p>
        </w:tc>
        <w:tc>
          <w:tcPr>
            <w:tcW w:w="2234" w:type="dxa"/>
            <w:vAlign w:val="center"/>
          </w:tcPr>
          <w:p>
            <w:pPr>
              <w:autoSpaceDE w:val="0"/>
              <w:autoSpaceDN w:val="0"/>
              <w:snapToGrid w:val="0"/>
              <w:spacing w:before="39"/>
              <w:ind w:left="710"/>
              <w:jc w:val="center"/>
              <w:rPr>
                <w:rFonts w:ascii="仿宋_GB2312" w:eastAsia="仿宋_GB2312"/>
              </w:rPr>
            </w:pPr>
            <w:r>
              <w:rPr>
                <w:rFonts w:hint="eastAsia" w:ascii="仿宋_GB2312" w:eastAsia="仿宋_GB2312"/>
              </w:rPr>
              <w:t>26</w:t>
            </w:r>
          </w:p>
        </w:tc>
        <w:tc>
          <w:tcPr>
            <w:tcW w:w="2235" w:type="dxa"/>
            <w:vAlign w:val="center"/>
          </w:tcPr>
          <w:p>
            <w:pPr>
              <w:autoSpaceDE w:val="0"/>
              <w:autoSpaceDN w:val="0"/>
              <w:snapToGrid w:val="0"/>
              <w:spacing w:before="39"/>
              <w:ind w:left="711"/>
              <w:jc w:val="center"/>
              <w:rPr>
                <w:rFonts w:ascii="仿宋_GB2312" w:eastAsia="仿宋_GB2312"/>
              </w:rPr>
            </w:pPr>
            <w:r>
              <w:rPr>
                <w:rFonts w:hint="eastAsia" w:ascii="仿宋_GB2312" w:eastAsia="仿宋_GB2312"/>
              </w:rPr>
              <w:t>19.5</w:t>
            </w:r>
          </w:p>
        </w:tc>
      </w:tr>
    </w:tbl>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预算执行率：根据项目相关预算财务资料和项目绩效表，本项目分配财政资金预算总额为1500万元，项目实际支出</w:t>
      </w:r>
      <w:r>
        <w:rPr>
          <w:rFonts w:ascii="仿宋_GB2312" w:eastAsia="仿宋_GB2312" w:cs="仿宋_GB2312" w:hAnsiTheme="minorEastAsia"/>
          <w:sz w:val="24"/>
          <w:szCs w:val="24"/>
        </w:rPr>
        <w:t>1441.77</w:t>
      </w:r>
      <w:r>
        <w:rPr>
          <w:rFonts w:hint="eastAsia" w:ascii="仿宋_GB2312" w:eastAsia="仿宋_GB2312" w:cs="仿宋_GB2312" w:hAnsiTheme="minorEastAsia"/>
          <w:sz w:val="24"/>
          <w:szCs w:val="24"/>
        </w:rPr>
        <w:t>万元，预算执行率为96.12%。因此，根据指标评分标准，该指标得分3分。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预算资金到位率：根据《垫江县城市管理局关于转发&lt;</w:t>
      </w:r>
      <w:r>
        <w:rPr>
          <w:rFonts w:hint="eastAsia" w:ascii="仿宋_GB2312" w:eastAsia="仿宋_GB2312" w:cs="仿宋_GB2312" w:hAnsiTheme="minorEastAsia"/>
          <w:sz w:val="24"/>
          <w:szCs w:val="24"/>
          <w:lang w:eastAsia="zh-CN"/>
        </w:rPr>
        <w:t>垫江县财政局</w:t>
      </w:r>
      <w:r>
        <w:rPr>
          <w:rFonts w:hint="eastAsia" w:ascii="仿宋_GB2312" w:eastAsia="仿宋_GB2312" w:cs="仿宋_GB2312" w:hAnsiTheme="minorEastAsia"/>
          <w:sz w:val="24"/>
          <w:szCs w:val="24"/>
        </w:rPr>
        <w:t>关于下达2019年度县级部门预算的通知&gt;的通知》（垫江城管发</w:t>
      </w:r>
      <w:r>
        <w:rPr>
          <w:rFonts w:hint="eastAsia" w:ascii="仿宋_GB2312" w:eastAsia="仿宋_GB2312" w:hAnsiTheme="majorEastAsia"/>
          <w:sz w:val="24"/>
          <w:szCs w:val="24"/>
        </w:rPr>
        <w:t>〔2019〕</w:t>
      </w:r>
      <w:r>
        <w:rPr>
          <w:rFonts w:hint="eastAsia" w:ascii="仿宋_GB2312" w:eastAsia="仿宋_GB2312" w:cs="仿宋_GB2312" w:hAnsiTheme="minorEastAsia"/>
          <w:sz w:val="24"/>
          <w:szCs w:val="24"/>
        </w:rPr>
        <w:t>16号，2019年度垫江县环境卫生管理所的城市保洁费预算为4998.12万元。根据垫江县环境卫生管理所2019年度决算资料，2019年度实际到位预算资金为5496.06万元，预算资金到位率为109.96%。本项目预算资金包含在预算项目2121302城市保洁费中，因此本项目的预算资金到位率，参照城市保洁费的预算资金到位率确认。因此，根据指标评分标准，该指标得分3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资金使用合规性（资金使用情况）：通过对本项目资金使用相关财务账目及记账凭证的抽查，未发现本项目经费的使用与项目规定用途和项目内容不相符的情况，资金审批流程规范，会计信息真实、完整、准确、及时，资金使用情况较好。因此，根据指标评分标准，指标得分3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财务管理制度健全性：为加强财务及资产管理，规范财务行为、保障资金安全，保障资产的合理配置及有效使用，垫江县环境卫生管理所制定了《财务管理制度》，但制度较为简单，且未针对本项目制定专门的服务费结算、支付管理制度。评价过程中未发现制度执行的例外情形。因此，根据指标评分标准，指标得分1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支出控制情况：通过对项目财务资料的检查，本项目支出实施专项核算，能够单独反映本项目支出情况，未发现发票和进度审核手续、支付审批手续缺失的情形。因此，根据指标评分标准，指标得分2分。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财务监控有效性：在项目实施过程中，垫江县环境卫生管理所严格按照财务管理制度执行，按照合同约定及项目进度及时付款，付款单据齐全、审核流程规范，会计信息真实、完整，付款凭证留存清楚。评价过程中，发现存在未按照合同约定及时付款的情况，可能发生合同纠纷，影响项目实施效果。因此，根据指标评分标准，指标得分2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项目管理制度健全性及制度执行有效性：本项目虽然未单独制定项目业务管理制度，但项目合同附有较完善的项目运营作业标准和考核管理办法，且垫江县城市管理局依据标准和办法进行检查和考核。项目实施过程未发现未按照制度执行得情况。根据指标评分标准，指标得分2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项目实施过程的合规性：项目主管单位和实施单位未能提供服务商选择的相关资料，服务商选择方式是否符合规定无法判断。垫江县城市管理局对垃圾转运的标准和质量进行了考核，编制了考核表，资料较为齐全，但无对转运垃圾分类的检查记录，转运垃圾是否包含处农村生活垃圾以外的垃圾无法核实；费用结算附有结算表、称重记录表、发票等原始凭证，资料较为齐全，但评价过程中发现存在较多的垃圾称重差异情况。因此，根据指标评分标准，扣除3分，指标得分3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项目质量的可控性：未发现对项目人员及相关单位或人员组织了适当的培训工作的相关资料；垫江县城市管理局对项目实施开展了必要的监督检查工作，且编制考核表。因此，根据指标评分标准，扣除1分，指标得分1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3.项目绩效类</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项目绩效类指标包括项目产出、项目效果及项目影响力三个方面的内容，由8个三级指标构成，权重分为6</w:t>
      </w:r>
      <w:r>
        <w:rPr>
          <w:rFonts w:ascii="仿宋_GB2312" w:eastAsia="仿宋_GB2312" w:cs="仿宋_GB2312" w:hAnsiTheme="minorEastAsia"/>
          <w:sz w:val="24"/>
          <w:szCs w:val="24"/>
        </w:rPr>
        <w:t>6</w:t>
      </w:r>
      <w:r>
        <w:rPr>
          <w:rFonts w:hint="eastAsia" w:ascii="仿宋_GB2312" w:eastAsia="仿宋_GB2312" w:cs="仿宋_GB2312" w:hAnsiTheme="minorEastAsia"/>
          <w:sz w:val="24"/>
          <w:szCs w:val="24"/>
        </w:rPr>
        <w:t>分，实际得分64分，得分率96.97%。各指标的业绩值和绩效分值详见表项目绩效类指标评分结果汇总表</w:t>
      </w:r>
    </w:p>
    <w:p>
      <w:pPr>
        <w:autoSpaceDE w:val="0"/>
        <w:autoSpaceDN w:val="0"/>
        <w:snapToGrid w:val="0"/>
        <w:spacing w:before="100" w:beforeAutospacing="1" w:line="360" w:lineRule="auto"/>
        <w:ind w:firstLine="424" w:firstLineChars="177"/>
        <w:jc w:val="center"/>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项目绩效类指标评分结果汇总表</w:t>
      </w:r>
    </w:p>
    <w:tbl>
      <w:tblPr>
        <w:tblStyle w:val="12"/>
        <w:tblW w:w="93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95"/>
        <w:gridCol w:w="2234"/>
        <w:gridCol w:w="2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autoSpaceDE w:val="0"/>
              <w:autoSpaceDN w:val="0"/>
              <w:snapToGrid w:val="0"/>
              <w:spacing w:before="25" w:line="263" w:lineRule="exact"/>
              <w:ind w:left="1373"/>
              <w:rPr>
                <w:rFonts w:ascii="仿宋_GB2312" w:hAnsi="仿宋_GB2312" w:eastAsia="仿宋_GB2312" w:cs="仿宋_GB2312"/>
              </w:rPr>
            </w:pPr>
            <w:r>
              <w:rPr>
                <w:rFonts w:ascii="仿宋_GB2312" w:hAnsi="仿宋_GB2312" w:eastAsia="仿宋_GB2312" w:cs="仿宋_GB2312"/>
              </w:rPr>
              <w:t>指标名称</w:t>
            </w:r>
          </w:p>
        </w:tc>
        <w:tc>
          <w:tcPr>
            <w:tcW w:w="2234" w:type="dxa"/>
            <w:vAlign w:val="center"/>
          </w:tcPr>
          <w:p>
            <w:pPr>
              <w:autoSpaceDE w:val="0"/>
              <w:autoSpaceDN w:val="0"/>
              <w:snapToGrid w:val="0"/>
              <w:spacing w:before="25" w:line="263" w:lineRule="exact"/>
              <w:ind w:left="393"/>
              <w:rPr>
                <w:rFonts w:ascii="仿宋_GB2312" w:hAnsi="仿宋_GB2312" w:eastAsia="仿宋_GB2312" w:cs="仿宋_GB2312"/>
              </w:rPr>
            </w:pPr>
            <w:r>
              <w:rPr>
                <w:rFonts w:ascii="仿宋_GB2312" w:hAnsi="仿宋_GB2312" w:eastAsia="仿宋_GB2312" w:cs="仿宋_GB2312"/>
              </w:rPr>
              <w:t>指标权重</w:t>
            </w:r>
          </w:p>
        </w:tc>
        <w:tc>
          <w:tcPr>
            <w:tcW w:w="2235" w:type="dxa"/>
            <w:vAlign w:val="center"/>
          </w:tcPr>
          <w:p>
            <w:pPr>
              <w:autoSpaceDE w:val="0"/>
              <w:autoSpaceDN w:val="0"/>
              <w:snapToGrid w:val="0"/>
              <w:spacing w:before="25" w:line="263" w:lineRule="exact"/>
              <w:ind w:left="500"/>
              <w:rPr>
                <w:rFonts w:ascii="仿宋_GB2312" w:hAnsi="仿宋_GB2312" w:eastAsia="仿宋_GB2312" w:cs="仿宋_GB2312"/>
              </w:rPr>
            </w:pPr>
            <w:r>
              <w:rPr>
                <w:rFonts w:ascii="仿宋_GB2312" w:hAnsi="仿宋_GB2312" w:eastAsia="仿宋_GB2312" w:cs="仿宋_GB2312"/>
              </w:rPr>
              <w:t>绩效值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autoSpaceDE w:val="0"/>
              <w:autoSpaceDN w:val="0"/>
              <w:snapToGrid w:val="0"/>
              <w:spacing w:before="23"/>
              <w:ind w:left="210" w:leftChars="100"/>
              <w:jc w:val="left"/>
              <w:rPr>
                <w:rFonts w:ascii="仿宋_GB2312" w:hAnsi="仿宋_GB2312" w:eastAsia="仿宋_GB2312" w:cs="仿宋_GB2312"/>
              </w:rPr>
            </w:pPr>
            <w:r>
              <w:rPr>
                <w:rFonts w:hint="eastAsia" w:ascii="仿宋_GB2312" w:hAnsi="仿宋_GB2312" w:eastAsia="仿宋_GB2312" w:cs="仿宋_GB2312"/>
              </w:rPr>
              <w:t>项目产出</w:t>
            </w:r>
          </w:p>
        </w:tc>
        <w:tc>
          <w:tcPr>
            <w:tcW w:w="2234" w:type="dxa"/>
            <w:vAlign w:val="center"/>
          </w:tcPr>
          <w:p>
            <w:pPr>
              <w:autoSpaceDE w:val="0"/>
              <w:autoSpaceDN w:val="0"/>
              <w:snapToGrid w:val="0"/>
              <w:jc w:val="center"/>
              <w:rPr>
                <w:rFonts w:ascii="仿宋_GB2312" w:hAnsi="仿宋_GB2312" w:eastAsia="仿宋_GB2312" w:cs="仿宋_GB2312"/>
              </w:rPr>
            </w:pPr>
          </w:p>
        </w:tc>
        <w:tc>
          <w:tcPr>
            <w:tcW w:w="2235" w:type="dxa"/>
            <w:vAlign w:val="center"/>
          </w:tcPr>
          <w:p>
            <w:pPr>
              <w:autoSpaceDE w:val="0"/>
              <w:autoSpaceDN w:val="0"/>
              <w:snapToGrid w:val="0"/>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bookmarkStart w:id="28" w:name="_Hlk52988768"/>
            <w:r>
              <w:rPr>
                <w:rFonts w:hint="eastAsia" w:ascii="仿宋_GB2312" w:hAnsi="仿宋_GB2312" w:eastAsia="仿宋_GB2312" w:cs="仿宋_GB2312"/>
              </w:rPr>
              <w:t>产出数量</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10</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r>
              <w:rPr>
                <w:rFonts w:hint="eastAsia" w:ascii="仿宋_GB2312" w:hAnsi="仿宋_GB2312" w:eastAsia="仿宋_GB2312" w:cs="仿宋_GB2312"/>
              </w:rPr>
              <w:t>产出时效</w:t>
            </w:r>
          </w:p>
        </w:tc>
        <w:tc>
          <w:tcPr>
            <w:tcW w:w="2234" w:type="dxa"/>
            <w:vAlign w:val="center"/>
          </w:tcPr>
          <w:p>
            <w:pPr>
              <w:autoSpaceDE w:val="0"/>
              <w:autoSpaceDN w:val="0"/>
              <w:snapToGrid w:val="0"/>
              <w:spacing w:before="41"/>
              <w:ind w:left="763"/>
              <w:jc w:val="center"/>
              <w:rPr>
                <w:rFonts w:ascii="仿宋_GB2312" w:eastAsia="仿宋_GB2312"/>
              </w:rPr>
            </w:pPr>
            <w:r>
              <w:rPr>
                <w:rFonts w:hint="eastAsia" w:ascii="仿宋_GB2312" w:eastAsia="仿宋_GB2312"/>
              </w:rPr>
              <w:t>5</w:t>
            </w:r>
          </w:p>
        </w:tc>
        <w:tc>
          <w:tcPr>
            <w:tcW w:w="2235" w:type="dxa"/>
            <w:vAlign w:val="center"/>
          </w:tcPr>
          <w:p>
            <w:pPr>
              <w:autoSpaceDE w:val="0"/>
              <w:autoSpaceDN w:val="0"/>
              <w:snapToGrid w:val="0"/>
              <w:spacing w:before="41"/>
              <w:ind w:left="764"/>
              <w:jc w:val="center"/>
              <w:rPr>
                <w:rFonts w:ascii="仿宋_GB2312" w:eastAsia="仿宋_GB2312"/>
              </w:rPr>
            </w:pPr>
            <w:r>
              <w:rPr>
                <w:rFonts w:hint="eastAsia" w:ascii="仿宋_GB2312" w:eastAsia="仿宋_GB231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r>
              <w:rPr>
                <w:rFonts w:hint="eastAsia" w:ascii="仿宋_GB2312" w:hAnsi="仿宋_GB2312" w:eastAsia="仿宋_GB2312" w:cs="仿宋_GB2312"/>
              </w:rPr>
              <w:t>产出质量</w:t>
            </w:r>
          </w:p>
        </w:tc>
        <w:tc>
          <w:tcPr>
            <w:tcW w:w="2234" w:type="dxa"/>
            <w:vAlign w:val="center"/>
          </w:tcPr>
          <w:p>
            <w:pPr>
              <w:autoSpaceDE w:val="0"/>
              <w:autoSpaceDN w:val="0"/>
              <w:snapToGrid w:val="0"/>
              <w:spacing w:before="41"/>
              <w:ind w:left="763"/>
              <w:jc w:val="center"/>
              <w:rPr>
                <w:rFonts w:ascii="仿宋_GB2312" w:eastAsia="仿宋_GB2312"/>
              </w:rPr>
            </w:pPr>
            <w:r>
              <w:rPr>
                <w:rFonts w:hint="eastAsia" w:ascii="仿宋_GB2312" w:eastAsia="仿宋_GB2312"/>
              </w:rPr>
              <w:t>6</w:t>
            </w:r>
          </w:p>
        </w:tc>
        <w:tc>
          <w:tcPr>
            <w:tcW w:w="2235" w:type="dxa"/>
            <w:vAlign w:val="center"/>
          </w:tcPr>
          <w:p>
            <w:pPr>
              <w:autoSpaceDE w:val="0"/>
              <w:autoSpaceDN w:val="0"/>
              <w:snapToGrid w:val="0"/>
              <w:spacing w:before="41"/>
              <w:ind w:left="764"/>
              <w:jc w:val="center"/>
              <w:rPr>
                <w:rFonts w:ascii="仿宋_GB2312" w:eastAsia="仿宋_GB2312"/>
              </w:rPr>
            </w:pPr>
            <w:r>
              <w:rPr>
                <w:rFonts w:hint="eastAsia" w:ascii="仿宋_GB2312" w:eastAsia="仿宋_GB2312"/>
              </w:rPr>
              <w:t>6</w:t>
            </w:r>
          </w:p>
        </w:tc>
      </w:tr>
      <w:bookmarkEnd w:id="2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208" w:leftChars="99"/>
              <w:jc w:val="left"/>
              <w:rPr>
                <w:rFonts w:ascii="仿宋_GB2312" w:hAnsi="仿宋_GB2312" w:eastAsia="仿宋_GB2312" w:cs="仿宋_GB2312"/>
              </w:rPr>
            </w:pPr>
            <w:r>
              <w:rPr>
                <w:rFonts w:hint="eastAsia" w:ascii="仿宋_GB2312" w:hAnsi="仿宋_GB2312" w:eastAsia="仿宋_GB2312" w:cs="仿宋_GB2312"/>
              </w:rPr>
              <w:t>项目结果</w:t>
            </w:r>
          </w:p>
        </w:tc>
        <w:tc>
          <w:tcPr>
            <w:tcW w:w="2234" w:type="dxa"/>
            <w:vAlign w:val="center"/>
          </w:tcPr>
          <w:p>
            <w:pPr>
              <w:autoSpaceDE w:val="0"/>
              <w:autoSpaceDN w:val="0"/>
              <w:snapToGrid w:val="0"/>
              <w:spacing w:before="39"/>
              <w:ind w:left="763"/>
              <w:jc w:val="center"/>
              <w:rPr>
                <w:rFonts w:ascii="仿宋_GB2312" w:eastAsia="仿宋_GB2312"/>
              </w:rPr>
            </w:pPr>
          </w:p>
        </w:tc>
        <w:tc>
          <w:tcPr>
            <w:tcW w:w="2235" w:type="dxa"/>
            <w:vAlign w:val="center"/>
          </w:tcPr>
          <w:p>
            <w:pPr>
              <w:autoSpaceDE w:val="0"/>
              <w:autoSpaceDN w:val="0"/>
              <w:snapToGrid w:val="0"/>
              <w:spacing w:before="39"/>
              <w:ind w:left="764"/>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bookmarkStart w:id="29" w:name="_Hlk52988800"/>
            <w:r>
              <w:rPr>
                <w:rFonts w:hint="eastAsia" w:ascii="仿宋_GB2312" w:hAnsi="仿宋_GB2312" w:eastAsia="仿宋_GB2312" w:cs="仿宋_GB2312"/>
              </w:rPr>
              <w:t>经济效益</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5</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r>
              <w:rPr>
                <w:rFonts w:hint="eastAsia" w:ascii="仿宋_GB2312" w:hAnsi="仿宋_GB2312" w:eastAsia="仿宋_GB2312" w:cs="仿宋_GB2312"/>
              </w:rPr>
              <w:t>环境效益</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10</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r>
              <w:rPr>
                <w:rFonts w:hint="eastAsia" w:ascii="仿宋_GB2312" w:hAnsi="仿宋_GB2312" w:eastAsia="仿宋_GB2312" w:cs="仿宋_GB2312"/>
              </w:rPr>
              <w:t>社会效益</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10</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r>
              <w:rPr>
                <w:rFonts w:hint="eastAsia" w:ascii="仿宋_GB2312" w:hAnsi="仿宋_GB2312" w:eastAsia="仿宋_GB2312" w:cs="仿宋_GB2312"/>
              </w:rPr>
              <w:t>社会公众满意度</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10</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10</w:t>
            </w:r>
          </w:p>
        </w:tc>
      </w:tr>
      <w:bookmarkEnd w:id="29"/>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ind w:left="210" w:leftChars="100"/>
              <w:rPr>
                <w:rFonts w:ascii="仿宋_GB2312" w:hAnsi="仿宋_GB2312" w:eastAsia="仿宋_GB2312" w:cs="仿宋_GB2312"/>
              </w:rPr>
            </w:pPr>
            <w:r>
              <w:rPr>
                <w:rFonts w:hint="eastAsia" w:ascii="仿宋_GB2312" w:hAnsi="仿宋_GB2312" w:eastAsia="仿宋_GB2312" w:cs="仿宋_GB2312"/>
              </w:rPr>
              <w:t>能力建设及可持续影响</w:t>
            </w:r>
          </w:p>
        </w:tc>
        <w:tc>
          <w:tcPr>
            <w:tcW w:w="2234" w:type="dxa"/>
            <w:vAlign w:val="center"/>
          </w:tcPr>
          <w:p>
            <w:pPr>
              <w:autoSpaceDE w:val="0"/>
              <w:autoSpaceDN w:val="0"/>
              <w:snapToGrid w:val="0"/>
              <w:spacing w:before="39"/>
              <w:ind w:left="763"/>
              <w:jc w:val="center"/>
              <w:rPr>
                <w:rFonts w:ascii="仿宋_GB2312" w:eastAsia="仿宋_GB2312"/>
              </w:rPr>
            </w:pPr>
          </w:p>
        </w:tc>
        <w:tc>
          <w:tcPr>
            <w:tcW w:w="2235" w:type="dxa"/>
            <w:vAlign w:val="center"/>
          </w:tcPr>
          <w:p>
            <w:pPr>
              <w:autoSpaceDE w:val="0"/>
              <w:autoSpaceDN w:val="0"/>
              <w:snapToGrid w:val="0"/>
              <w:spacing w:before="39"/>
              <w:ind w:left="764"/>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tcPr>
          <w:p>
            <w:pPr>
              <w:autoSpaceDE w:val="0"/>
              <w:autoSpaceDN w:val="0"/>
              <w:snapToGrid w:val="0"/>
              <w:spacing w:before="25"/>
              <w:ind w:left="417"/>
              <w:jc w:val="left"/>
              <w:rPr>
                <w:rFonts w:ascii="仿宋_GB2312" w:hAnsi="仿宋_GB2312" w:eastAsia="仿宋_GB2312" w:cs="仿宋_GB2312"/>
              </w:rPr>
            </w:pPr>
            <w:r>
              <w:rPr>
                <w:rFonts w:hint="eastAsia" w:ascii="仿宋_GB2312" w:hAnsi="仿宋_GB2312" w:eastAsia="仿宋_GB2312" w:cs="仿宋_GB2312"/>
              </w:rPr>
              <w:t>长效管理情况</w:t>
            </w:r>
          </w:p>
        </w:tc>
        <w:tc>
          <w:tcPr>
            <w:tcW w:w="2234" w:type="dxa"/>
            <w:vAlign w:val="center"/>
          </w:tcPr>
          <w:p>
            <w:pPr>
              <w:autoSpaceDE w:val="0"/>
              <w:autoSpaceDN w:val="0"/>
              <w:snapToGrid w:val="0"/>
              <w:spacing w:before="39"/>
              <w:ind w:left="763"/>
              <w:jc w:val="center"/>
              <w:rPr>
                <w:rFonts w:ascii="仿宋_GB2312" w:eastAsia="仿宋_GB2312"/>
              </w:rPr>
            </w:pPr>
            <w:r>
              <w:rPr>
                <w:rFonts w:hint="eastAsia" w:ascii="仿宋_GB2312" w:eastAsia="仿宋_GB2312"/>
              </w:rPr>
              <w:t>10</w:t>
            </w:r>
          </w:p>
        </w:tc>
        <w:tc>
          <w:tcPr>
            <w:tcW w:w="2235" w:type="dxa"/>
            <w:vAlign w:val="center"/>
          </w:tcPr>
          <w:p>
            <w:pPr>
              <w:autoSpaceDE w:val="0"/>
              <w:autoSpaceDN w:val="0"/>
              <w:snapToGrid w:val="0"/>
              <w:spacing w:before="39"/>
              <w:ind w:left="764"/>
              <w:jc w:val="center"/>
              <w:rPr>
                <w:rFonts w:ascii="仿宋_GB2312" w:eastAsia="仿宋_GB2312"/>
              </w:rPr>
            </w:pPr>
            <w:r>
              <w:rPr>
                <w:rFonts w:hint="eastAsia" w:ascii="仿宋_GB2312" w:eastAsia="仿宋_GB231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0" w:hRule="atLeast"/>
        </w:trPr>
        <w:tc>
          <w:tcPr>
            <w:tcW w:w="4895" w:type="dxa"/>
            <w:vAlign w:val="center"/>
          </w:tcPr>
          <w:p>
            <w:pPr>
              <w:autoSpaceDE w:val="0"/>
              <w:autoSpaceDN w:val="0"/>
              <w:snapToGrid w:val="0"/>
              <w:spacing w:before="25" w:line="263" w:lineRule="exact"/>
              <w:ind w:left="1584"/>
              <w:jc w:val="left"/>
              <w:rPr>
                <w:rFonts w:ascii="仿宋_GB2312" w:hAnsi="仿宋_GB2312" w:eastAsia="仿宋_GB2312" w:cs="仿宋_GB2312"/>
              </w:rPr>
            </w:pPr>
            <w:r>
              <w:rPr>
                <w:rFonts w:ascii="仿宋_GB2312" w:hAnsi="仿宋_GB2312" w:eastAsia="仿宋_GB2312" w:cs="仿宋_GB2312"/>
              </w:rPr>
              <w:t>小计</w:t>
            </w:r>
          </w:p>
        </w:tc>
        <w:tc>
          <w:tcPr>
            <w:tcW w:w="2234" w:type="dxa"/>
            <w:vAlign w:val="center"/>
          </w:tcPr>
          <w:p>
            <w:pPr>
              <w:autoSpaceDE w:val="0"/>
              <w:autoSpaceDN w:val="0"/>
              <w:snapToGrid w:val="0"/>
              <w:spacing w:before="39"/>
              <w:ind w:left="710"/>
              <w:jc w:val="center"/>
              <w:rPr>
                <w:rFonts w:ascii="仿宋_GB2312" w:eastAsia="仿宋_GB2312"/>
              </w:rPr>
            </w:pPr>
            <w:r>
              <w:rPr>
                <w:rFonts w:hint="eastAsia" w:ascii="仿宋_GB2312" w:eastAsia="仿宋_GB2312"/>
              </w:rPr>
              <w:t>66</w:t>
            </w:r>
          </w:p>
        </w:tc>
        <w:tc>
          <w:tcPr>
            <w:tcW w:w="2235" w:type="dxa"/>
            <w:vAlign w:val="center"/>
          </w:tcPr>
          <w:p>
            <w:pPr>
              <w:autoSpaceDE w:val="0"/>
              <w:autoSpaceDN w:val="0"/>
              <w:snapToGrid w:val="0"/>
              <w:spacing w:before="39"/>
              <w:ind w:left="711"/>
              <w:jc w:val="center"/>
              <w:rPr>
                <w:rFonts w:ascii="仿宋_GB2312" w:eastAsia="仿宋_GB2312"/>
              </w:rPr>
            </w:pPr>
            <w:r>
              <w:rPr>
                <w:rFonts w:hint="eastAsia" w:ascii="仿宋_GB2312" w:eastAsia="仿宋_GB2312"/>
              </w:rPr>
              <w:t>64</w:t>
            </w:r>
          </w:p>
        </w:tc>
      </w:tr>
    </w:tbl>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产出数量：经统计，2019年垫江县24个乡镇实际完成农村生活垃圾收运转运量为</w:t>
      </w:r>
      <w:r>
        <w:rPr>
          <w:rFonts w:ascii="仿宋_GB2312" w:eastAsia="仿宋_GB2312" w:cs="仿宋_GB2312" w:hAnsiTheme="minorEastAsia"/>
          <w:sz w:val="24"/>
          <w:szCs w:val="24"/>
        </w:rPr>
        <w:t>60847.87吨</w:t>
      </w:r>
      <w:r>
        <w:rPr>
          <w:rFonts w:hint="eastAsia" w:ascii="仿宋_GB2312" w:eastAsia="仿宋_GB2312" w:cs="仿宋_GB2312" w:hAnsiTheme="minorEastAsia"/>
          <w:sz w:val="24"/>
          <w:szCs w:val="24"/>
        </w:rPr>
        <w:t>，比项目协议约定生活垃圾收运年最低保证量36500吨多24347.87吨，实际运转量显著增加。因此，根据指标评分标准，指标得分10分。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产出时效：通过对长龙镇、高安镇、橙溪镇、黄沙镇及太平镇进行的社会满意度调查结果分析，调查对象对生活垃圾的收运转运时间认为合理，58份有效问卷中有45人认为满意，13人认为比较满意。因此，根据指标评分标准，指标得分5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质量达标率：通过查询主管部门和网络等，未发现群众关于对农村生活垃圾收运转运质量的投诉，现场观察也未发现箱体及周围肮脏，垃圾乱丢的情形。因此，根据指标评分标准，指标得分6分。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经济效益：通过社会公众满意度调查，有99.36%的调查对象认为通过农村生活垃圾收运转运可以带动乡村旅游观光等产业发展，增加农民收入。因此，根据指标评分标准，指标得分10分。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环境效益：通过对长龙镇、高安镇、橙溪镇、黄沙镇及太平镇农村生活垃圾的现场观察未发现生活垃圾随意丢弃的现象，调查对象认为实行农村生活垃圾集中收集、收运转运后居住环境发生了巨大的变化，环境效益重大。因此，根据指标评分标准，指标得分5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社会效益：本项目实施后，农村生活垃圾全部集中运往生活垃圾处理厂实施处理，农村生活垃圾集中处理覆盖率达到100%。因此，根据指标评分标准，指标得分15分。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社会公众满意度：为了解垫江县2019年农村生活垃圾收运转运目的社会公众满意程度。项目组在本项目实施范围内选取了长龙镇、高安镇、橙溪镇、黄沙镇及太平镇的群众发放问卷60份，每份问卷设计了11个问题。本次回收问卷60份，其中有效问卷58份，无效问卷2份，共回答问题622个，其中答案为满意和比较满意的为618个问题，答案为不满意的4个问题。根据满意度计算公式计算出综合满意度为99.36%。因此，根据指标评分标准，指标得分5分。</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长效管理情况：2019年5月30日，垫江县人民政府办公室下发了《关于印发深入推进农村生活垃圾治理长效机制工作方案的通知》（垫江府办</w:t>
      </w:r>
      <w:r>
        <w:rPr>
          <w:rFonts w:hint="eastAsia" w:ascii="仿宋_GB2312" w:eastAsia="仿宋_GB2312" w:cs="仿宋_GB2312" w:hAnsiTheme="minorEastAsia"/>
          <w:sz w:val="24"/>
          <w:szCs w:val="24"/>
          <w:lang w:eastAsia="zh-CN"/>
        </w:rPr>
        <w:t>发</w:t>
      </w:r>
      <w:bookmarkStart w:id="33" w:name="_GoBack"/>
      <w:bookmarkEnd w:id="33"/>
      <w:r>
        <w:rPr>
          <w:rFonts w:hint="eastAsia" w:ascii="仿宋_GB2312" w:eastAsia="仿宋_GB2312" w:cs="仿宋_GB2312" w:hAnsiTheme="minorEastAsia"/>
          <w:sz w:val="24"/>
          <w:szCs w:val="24"/>
        </w:rPr>
        <w:t>[2019]9号），对农村生活垃圾治理，明确了任务、落实了保障措施（包括组织领导、全民参与、资金保障、应急管理和监督检查）。垫江县城市管理局和垫江县环境卫生管理所未能提供根据文件精神编制的具体制度或方案。因此，根据指标评分标准，指标得分8分。</w:t>
      </w:r>
    </w:p>
    <w:p>
      <w:pPr>
        <w:pStyle w:val="23"/>
      </w:pPr>
      <w:bookmarkStart w:id="30" w:name="_Toc54873778"/>
      <w:r>
        <w:rPr>
          <w:rFonts w:hint="eastAsia"/>
        </w:rPr>
        <w:t>存在问题及建议</w:t>
      </w:r>
      <w:bookmarkEnd w:id="30"/>
    </w:p>
    <w:p>
      <w:pPr>
        <w:autoSpaceDE w:val="0"/>
        <w:autoSpaceDN w:val="0"/>
        <w:snapToGrid w:val="0"/>
        <w:spacing w:before="100" w:beforeAutospacing="1" w:line="360" w:lineRule="auto"/>
        <w:ind w:firstLine="424" w:firstLineChars="177"/>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（一）资金保障</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1.问题</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财政部门在批复项目预算时，未按照项目下达批复，本项目预算和其他项目一起批复，导致项目预算金额无法直接区分，评价预算资金到位率、及时率和执行率时无明确的金额对象。</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2.建议</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项目实施单位在编制项目预算尽可能地细化，财政部门批复预算时，严格按照项目批复，为考核确认明确的金额对象。</w:t>
      </w:r>
    </w:p>
    <w:p>
      <w:pPr>
        <w:autoSpaceDE w:val="0"/>
        <w:autoSpaceDN w:val="0"/>
        <w:snapToGrid w:val="0"/>
        <w:spacing w:before="100" w:beforeAutospacing="1" w:line="360" w:lineRule="auto"/>
        <w:ind w:firstLine="424" w:firstLineChars="177"/>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（二）财务制度</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1.问题</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评价中发现，垫江县环境卫生管理所虽然制定了财务管理制度，但过于简单。只是规定了一般费用报销程序和审批权限，但对项目资金支付无明确的要求。如：所需要的表单、依据、确认程序及审批程序等。</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2.建议</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针对项目资金支付细化资金管理和使用的制度，细化资金审批流程及所需要的付款依据。</w:t>
      </w:r>
    </w:p>
    <w:p>
      <w:pPr>
        <w:autoSpaceDE w:val="0"/>
        <w:autoSpaceDN w:val="0"/>
        <w:snapToGrid w:val="0"/>
        <w:spacing w:before="100" w:beforeAutospacing="1" w:line="360" w:lineRule="auto"/>
        <w:ind w:firstLine="424" w:firstLineChars="177"/>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（三）项目管理</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1.问题</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1）由农村生活垃圾由村保洁人员集中投放垃圾箱后，再由重庆市垫江县明洁环境服务有限公司辅助收运转运。因此，垃圾的收集工作十分重要，直接决定两级收运转运量。如将不属于生活垃圾的物品作为生活垃圾处理，势必会增加农村生活垃圾的收运转运成本。</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（2）评价过发现存在较多垃圾未上称称重的现象，由驾驶员、计量员和监磅人签字确认后，作为垃圾转运量确认依据，解释原因多为电脑故障或停电。</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2.建议</w:t>
      </w:r>
    </w:p>
    <w:p>
      <w:pPr>
        <w:autoSpaceDE w:val="0"/>
        <w:autoSpaceDN w:val="0"/>
        <w:snapToGrid w:val="0"/>
        <w:spacing w:before="100" w:beforeAutospacing="1" w:line="360" w:lineRule="auto"/>
        <w:ind w:firstLine="424" w:firstLineChars="177"/>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（1）加强垃圾来源的管控，减少非生活垃圾的处理量。同时，做好转运过程中的垃圾种类的检查监督，保障垃圾转运数量的真实。</w:t>
      </w:r>
    </w:p>
    <w:p>
      <w:pPr>
        <w:autoSpaceDE w:val="0"/>
        <w:autoSpaceDN w:val="0"/>
        <w:snapToGrid w:val="0"/>
        <w:spacing w:before="100" w:beforeAutospacing="1" w:line="360" w:lineRule="auto"/>
        <w:ind w:firstLine="424" w:firstLineChars="177"/>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（2）加强计量设备的检修维护，保证计量设备正常运转。同时，针对经营停电的现象，可以考虑购置备用电源或发电设备。</w:t>
      </w:r>
    </w:p>
    <w:p>
      <w:pPr>
        <w:autoSpaceDE w:val="0"/>
        <w:autoSpaceDN w:val="0"/>
        <w:snapToGrid w:val="0"/>
        <w:spacing w:before="100" w:beforeAutospacing="1" w:line="360" w:lineRule="auto"/>
        <w:ind w:firstLine="424" w:firstLineChars="177"/>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（四）长效管理</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1.问题</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无系统的项目长效管理机制。</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2.建议</w:t>
      </w:r>
    </w:p>
    <w:p>
      <w:pPr>
        <w:autoSpaceDE w:val="0"/>
        <w:autoSpaceDN w:val="0"/>
        <w:snapToGrid w:val="0"/>
        <w:spacing w:before="100" w:beforeAutospacing="1" w:line="360" w:lineRule="auto"/>
        <w:ind w:firstLine="566" w:firstLineChars="236"/>
        <w:jc w:val="left"/>
        <w:rPr>
          <w:rFonts w:ascii="仿宋_GB2312" w:eastAsia="仿宋_GB2312" w:cs="仿宋_GB2312" w:hAnsiTheme="minorEastAsia"/>
          <w:sz w:val="24"/>
          <w:szCs w:val="24"/>
        </w:rPr>
      </w:pPr>
      <w:r>
        <w:rPr>
          <w:rFonts w:hint="eastAsia" w:ascii="仿宋_GB2312" w:eastAsia="仿宋_GB2312" w:cs="仿宋_GB2312" w:hAnsiTheme="minorEastAsia"/>
          <w:sz w:val="24"/>
          <w:szCs w:val="24"/>
        </w:rPr>
        <w:t>根据目前政策文件，结合垫江县垃圾处理的整体布局，制定具体的工作方案，落实人员经费，保障项目持续运营和效果。比如垃圾入口的管控和垃圾分类处理相结合；垃圾的转运和垃圾的处理（再利用）相结合。</w:t>
      </w:r>
    </w:p>
    <w:p>
      <w:pPr>
        <w:pStyle w:val="23"/>
      </w:pPr>
      <w:bookmarkStart w:id="31" w:name="_Toc54873779"/>
      <w:r>
        <w:rPr>
          <w:rFonts w:hint="eastAsia"/>
        </w:rPr>
        <w:t>评价结论及应用建议</w:t>
      </w:r>
      <w:bookmarkEnd w:id="31"/>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垫江县2019年农村生活垃圾收运转运项目绩效评价最终评分结果为91.50分。根据规定，其绩效评级为“优”。但项目预算、组织、控制方面存在问题。</w:t>
      </w:r>
    </w:p>
    <w:p>
      <w:pPr>
        <w:autoSpaceDE w:val="0"/>
        <w:autoSpaceDN w:val="0"/>
        <w:snapToGrid w:val="0"/>
        <w:spacing w:before="100" w:beforeAutospacing="1" w:line="360" w:lineRule="auto"/>
        <w:ind w:firstLine="424" w:firstLineChars="177"/>
        <w:rPr>
          <w:rFonts w:ascii="仿宋_GB2312" w:eastAsia="仿宋_GB2312" w:cs="仿宋_GB2312" w:hAnsiTheme="minorEastAsia"/>
          <w:sz w:val="24"/>
          <w:szCs w:val="24"/>
        </w:rPr>
      </w:pPr>
      <w:r>
        <w:rPr>
          <w:rFonts w:hint="eastAsia" w:ascii="仿宋_GB2312" w:eastAsia="仿宋_GB2312" w:cs="仿宋_GB2312" w:hAnsiTheme="minorEastAsia"/>
          <w:sz w:val="24"/>
          <w:szCs w:val="24"/>
        </w:rPr>
        <w:t>建议垫江县预算绩效管理中心按照《重庆市财政局关于印发《重庆市市级政策和项目预算绩效管理办法（试行）》的通知（渝财绩〔2019〕19号）和《重庆市市级预算安排与监督检查和绩效评价结果挂钩办法》（渝府办发〔2019〕3号）的规定处理。</w:t>
      </w:r>
    </w:p>
    <w:p>
      <w:pPr>
        <w:pStyle w:val="23"/>
      </w:pPr>
      <w:bookmarkStart w:id="32" w:name="_Toc54873780"/>
      <w:r>
        <w:rPr>
          <w:rFonts w:hint="eastAsia"/>
        </w:rPr>
        <w:t>其他需要说明的问题</w:t>
      </w:r>
      <w:bookmarkEnd w:id="32"/>
    </w:p>
    <w:p>
      <w:pPr>
        <w:spacing w:beforeLines="50" w:line="360" w:lineRule="auto"/>
        <w:ind w:left="426"/>
        <w:rPr>
          <w:rFonts w:ascii="仿宋_GB2312" w:eastAsia="仿宋_GB2312" w:hAnsiTheme="majorEastAsia"/>
          <w:sz w:val="24"/>
          <w:szCs w:val="24"/>
        </w:rPr>
      </w:pPr>
      <w:r>
        <w:rPr>
          <w:rFonts w:hint="eastAsia" w:ascii="仿宋_GB2312" w:eastAsia="仿宋_GB2312" w:hAnsiTheme="majorEastAsia"/>
          <w:sz w:val="24"/>
          <w:szCs w:val="24"/>
        </w:rPr>
        <w:t>无。</w:t>
      </w:r>
    </w:p>
    <w:p>
      <w:pPr>
        <w:rPr>
          <w:sz w:val="28"/>
          <w:szCs w:val="28"/>
        </w:rPr>
      </w:pPr>
    </w:p>
    <w:p>
      <w:pPr>
        <w:rPr>
          <w:sz w:val="28"/>
          <w:szCs w:val="28"/>
        </w:rPr>
      </w:pPr>
    </w:p>
    <w:p>
      <w:pPr>
        <w:wordWrap w:val="0"/>
        <w:spacing w:line="360" w:lineRule="auto"/>
        <w:ind w:right="840"/>
        <w:jc w:val="right"/>
        <w:rPr>
          <w:rFonts w:ascii="仿宋_GB2312" w:hAnsi="华文楷体" w:eastAsia="仿宋_GB2312" w:cs="宋体"/>
          <w:sz w:val="24"/>
          <w:szCs w:val="24"/>
        </w:rPr>
      </w:pPr>
      <w:r>
        <w:rPr>
          <w:rFonts w:hint="eastAsia" w:ascii="仿宋_GB2312" w:hAnsi="华文楷体" w:eastAsia="仿宋_GB2312" w:cs="宋体"/>
          <w:sz w:val="24"/>
          <w:szCs w:val="24"/>
        </w:rPr>
        <w:t xml:space="preserve">中国注册会计师： </w:t>
      </w:r>
    </w:p>
    <w:p>
      <w:pPr>
        <w:spacing w:line="360" w:lineRule="auto"/>
        <w:jc w:val="left"/>
        <w:rPr>
          <w:rFonts w:ascii="仿宋_GB2312" w:hAnsi="华文楷体" w:eastAsia="仿宋_GB2312" w:cs="宋体"/>
          <w:sz w:val="24"/>
          <w:szCs w:val="24"/>
        </w:rPr>
      </w:pPr>
      <w:r>
        <w:rPr>
          <w:rFonts w:hint="eastAsia" w:ascii="仿宋_GB2312" w:hAnsi="华文楷体" w:eastAsia="仿宋_GB2312" w:cs="宋体"/>
          <w:sz w:val="24"/>
          <w:szCs w:val="24"/>
        </w:rPr>
        <w:t>重庆开睿源会计师事务所有限公司</w:t>
      </w:r>
    </w:p>
    <w:p>
      <w:pPr>
        <w:wordWrap w:val="0"/>
        <w:spacing w:line="360" w:lineRule="auto"/>
        <w:ind w:right="1120" w:firstLine="960" w:firstLineChars="400"/>
        <w:rPr>
          <w:rFonts w:ascii="仿宋_GB2312" w:hAnsi="华文楷体" w:eastAsia="仿宋_GB2312" w:cs="宋体"/>
          <w:sz w:val="24"/>
          <w:szCs w:val="24"/>
        </w:rPr>
      </w:pPr>
      <w:r>
        <w:rPr>
          <w:rFonts w:hint="eastAsia" w:ascii="仿宋_GB2312" w:hAnsi="华文楷体" w:eastAsia="仿宋_GB2312" w:cs="宋体"/>
          <w:sz w:val="24"/>
          <w:szCs w:val="24"/>
        </w:rPr>
        <w:t xml:space="preserve">中国·重庆                  </w:t>
      </w:r>
      <w:r>
        <w:rPr>
          <w:rFonts w:ascii="仿宋_GB2312" w:hAnsi="华文楷体" w:eastAsia="仿宋_GB2312" w:cs="宋体"/>
          <w:sz w:val="24"/>
          <w:szCs w:val="24"/>
        </w:rPr>
        <w:t xml:space="preserve">         </w:t>
      </w:r>
      <w:r>
        <w:rPr>
          <w:rFonts w:hint="eastAsia" w:ascii="仿宋_GB2312" w:hAnsi="华文楷体" w:eastAsia="仿宋_GB2312" w:cs="宋体"/>
          <w:sz w:val="24"/>
          <w:szCs w:val="24"/>
        </w:rPr>
        <w:t xml:space="preserve"> 中国注册会计师： </w:t>
      </w:r>
    </w:p>
    <w:p>
      <w:pPr>
        <w:wordWrap w:val="0"/>
        <w:spacing w:line="360" w:lineRule="auto"/>
        <w:ind w:right="1120" w:firstLine="960" w:firstLineChars="400"/>
        <w:rPr>
          <w:rFonts w:ascii="仿宋_GB2312" w:hAnsi="华文楷体" w:eastAsia="仿宋_GB2312" w:cs="仿宋"/>
          <w:sz w:val="24"/>
          <w:szCs w:val="24"/>
        </w:rPr>
      </w:pPr>
    </w:p>
    <w:p>
      <w:pPr>
        <w:spacing w:line="360" w:lineRule="auto"/>
        <w:ind w:right="920"/>
        <w:jc w:val="right"/>
        <w:rPr>
          <w:rFonts w:ascii="仿宋_GB2312" w:eastAsia="仿宋_GB2312" w:hAnsiTheme="majorEastAsia"/>
          <w:sz w:val="24"/>
          <w:szCs w:val="24"/>
        </w:rPr>
      </w:pPr>
      <w:r>
        <w:rPr>
          <w:rFonts w:hint="eastAsia" w:ascii="仿宋_GB2312" w:hAnsi="华文楷体" w:eastAsia="仿宋_GB2312" w:cs="宋体"/>
          <w:sz w:val="24"/>
          <w:szCs w:val="24"/>
        </w:rPr>
        <w:t>二〇二〇年十月十九日</w:t>
      </w:r>
    </w:p>
    <w:p>
      <w:pPr>
        <w:spacing w:beforeLines="50" w:line="360" w:lineRule="auto"/>
        <w:ind w:firstLine="484" w:firstLineChars="202"/>
        <w:jc w:val="left"/>
        <w:rPr>
          <w:rFonts w:ascii="仿宋_GB2312" w:eastAsia="仿宋_GB2312" w:hAnsiTheme="majorEastAsia"/>
          <w:sz w:val="24"/>
          <w:szCs w:val="24"/>
        </w:rPr>
      </w:pPr>
      <w:r>
        <w:rPr>
          <w:rFonts w:hint="eastAsia" w:ascii="仿宋_GB2312" w:eastAsia="仿宋_GB2312" w:hAnsiTheme="majorEastAsia"/>
          <w:sz w:val="24"/>
          <w:szCs w:val="24"/>
        </w:rPr>
        <w:t>附件：</w:t>
      </w:r>
    </w:p>
    <w:sectPr>
      <w:footerReference r:id="rId6" w:type="default"/>
      <w:pgSz w:w="11906" w:h="16838"/>
      <w:pgMar w:top="1134" w:right="1134" w:bottom="1134" w:left="1418" w:header="680"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PingFangSC-Regular">
    <w:altName w:val="Times New Roman"/>
    <w:panose1 w:val="00000000000000000000"/>
    <w:charset w:val="00"/>
    <w:family w:val="roman"/>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eastAsia="隶书"/>
        <w:sz w:val="21"/>
        <w:shd w:val="pct10" w:color="auto" w:fill="FFFFFF"/>
      </w:rPr>
      <w:drawing>
        <wp:inline distT="0" distB="0" distL="0" distR="0">
          <wp:extent cx="342900" cy="190500"/>
          <wp:effectExtent l="19050" t="0" r="0" b="0"/>
          <wp:docPr id="13" name="图片 14" descr="开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开源标志"/>
                  <pic:cNvPicPr>
                    <a:picLocks noChangeAspect="1" noChangeArrowheads="1"/>
                  </pic:cNvPicPr>
                </pic:nvPicPr>
                <pic:blipFill>
                  <a:blip r:embed="rId1"/>
                  <a:srcRect/>
                  <a:stretch>
                    <a:fillRect/>
                  </a:stretch>
                </pic:blipFill>
                <pic:spPr>
                  <a:xfrm>
                    <a:off x="0" y="0"/>
                    <a:ext cx="342900" cy="190500"/>
                  </a:xfrm>
                  <a:prstGeom prst="rect">
                    <a:avLst/>
                  </a:prstGeom>
                  <a:noFill/>
                  <a:ln w="9525">
                    <a:noFill/>
                    <a:miter lim="800000"/>
                    <a:headEnd/>
                    <a:tailEnd/>
                  </a:ln>
                </pic:spPr>
              </pic:pic>
            </a:graphicData>
          </a:graphic>
        </wp:inline>
      </w:drawing>
    </w:r>
    <w:r>
      <w:rPr>
        <w:rFonts w:hint="eastAsia" w:eastAsia="隶书"/>
        <w:sz w:val="21"/>
        <w:highlight w:val="lightGray"/>
        <w:shd w:val="pct10" w:color="auto" w:fill="FFFFFF"/>
      </w:rPr>
      <w:t xml:space="preserve">重庆开睿源会计师事务所有限公司          电话：（023）65366488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eastAsia="隶书"/>
        <w:sz w:val="21"/>
        <w:shd w:val="pct10" w:color="auto" w:fill="FFFFFF"/>
      </w:rPr>
      <w:drawing>
        <wp:inline distT="0" distB="0" distL="0" distR="0">
          <wp:extent cx="342900" cy="190500"/>
          <wp:effectExtent l="19050" t="0" r="0" b="0"/>
          <wp:docPr id="7" name="图片 14" descr="开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开源标志"/>
                  <pic:cNvPicPr>
                    <a:picLocks noChangeAspect="1" noChangeArrowheads="1"/>
                  </pic:cNvPicPr>
                </pic:nvPicPr>
                <pic:blipFill>
                  <a:blip r:embed="rId1"/>
                  <a:srcRect/>
                  <a:stretch>
                    <a:fillRect/>
                  </a:stretch>
                </pic:blipFill>
                <pic:spPr>
                  <a:xfrm>
                    <a:off x="0" y="0"/>
                    <a:ext cx="342900" cy="190500"/>
                  </a:xfrm>
                  <a:prstGeom prst="rect">
                    <a:avLst/>
                  </a:prstGeom>
                  <a:noFill/>
                  <a:ln w="9525">
                    <a:noFill/>
                    <a:miter lim="800000"/>
                    <a:headEnd/>
                    <a:tailEnd/>
                  </a:ln>
                </pic:spPr>
              </pic:pic>
            </a:graphicData>
          </a:graphic>
        </wp:inline>
      </w:drawing>
    </w:r>
    <w:r>
      <w:rPr>
        <w:rFonts w:hint="eastAsia" w:eastAsia="隶书"/>
        <w:sz w:val="21"/>
        <w:highlight w:val="lightGray"/>
        <w:shd w:val="pct10" w:color="auto" w:fill="FFFFFF"/>
      </w:rPr>
      <w:t xml:space="preserve">重庆开睿源会计师事务所有限公司          电话：（023）65366488                       </w:t>
    </w:r>
    <w:sdt>
      <w:sdtPr>
        <w:rPr>
          <w:rFonts w:eastAsia="隶书"/>
          <w:sz w:val="21"/>
          <w:highlight w:val="lightGray"/>
          <w:shd w:val="pct10" w:color="auto" w:fill="FFFFFF"/>
        </w:rPr>
        <w:id w:val="332628122"/>
      </w:sdtPr>
      <w:sdtEndPr>
        <w:rPr>
          <w:rFonts w:eastAsia="隶书"/>
          <w:sz w:val="21"/>
          <w:highlight w:val="lightGray"/>
          <w:shd w:val="pct10" w:color="auto" w:fill="FFFFFF"/>
        </w:rPr>
      </w:sdtEndPr>
      <w:sdtContent>
        <w:r>
          <w:rPr>
            <w:rFonts w:eastAsia="隶书"/>
            <w:sz w:val="21"/>
            <w:highlight w:val="lightGray"/>
            <w:shd w:val="pct10" w:color="auto" w:fill="FFFFFF"/>
          </w:rPr>
          <w:fldChar w:fldCharType="begin"/>
        </w:r>
        <w:r>
          <w:rPr>
            <w:rFonts w:eastAsia="隶书"/>
            <w:sz w:val="21"/>
            <w:highlight w:val="lightGray"/>
            <w:shd w:val="pct10" w:color="auto" w:fill="FFFFFF"/>
          </w:rPr>
          <w:instrText xml:space="preserve"> PAGE   \* MERGEFORMAT </w:instrText>
        </w:r>
        <w:r>
          <w:rPr>
            <w:rFonts w:eastAsia="隶书"/>
            <w:sz w:val="21"/>
            <w:highlight w:val="lightGray"/>
            <w:shd w:val="pct10" w:color="auto" w:fill="FFFFFF"/>
          </w:rPr>
          <w:fldChar w:fldCharType="separate"/>
        </w:r>
        <w:r>
          <w:rPr>
            <w:rFonts w:eastAsia="隶书"/>
            <w:sz w:val="21"/>
            <w:highlight w:val="lightGray"/>
            <w:shd w:val="pct10" w:color="auto" w:fill="FFFFFF"/>
          </w:rPr>
          <w:t>1</w:t>
        </w:r>
        <w:r>
          <w:rPr>
            <w:rFonts w:eastAsia="隶书"/>
            <w:sz w:val="21"/>
            <w:highlight w:val="lightGray"/>
            <w:shd w:val="pct10" w:color="auto" w:fill="FFFFFF"/>
          </w:rPr>
          <w:fldChar w:fldCharType="end"/>
        </w:r>
      </w:sdtContent>
    </w:sdt>
    <w:r>
      <w:t xml:space="preserve"> </w: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eastAsia="隶书"/>
        <w:sz w:val="21"/>
        <w:shd w:val="pct10" w:color="auto" w:fill="FFFFFF"/>
      </w:rPr>
      <w:drawing>
        <wp:inline distT="0" distB="0" distL="0" distR="0">
          <wp:extent cx="342900" cy="190500"/>
          <wp:effectExtent l="19050" t="0" r="0" b="0"/>
          <wp:docPr id="15" name="图片 14" descr="开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开源标志"/>
                  <pic:cNvPicPr>
                    <a:picLocks noChangeAspect="1" noChangeArrowheads="1"/>
                  </pic:cNvPicPr>
                </pic:nvPicPr>
                <pic:blipFill>
                  <a:blip r:embed="rId1"/>
                  <a:srcRect/>
                  <a:stretch>
                    <a:fillRect/>
                  </a:stretch>
                </pic:blipFill>
                <pic:spPr>
                  <a:xfrm>
                    <a:off x="0" y="0"/>
                    <a:ext cx="342900" cy="190500"/>
                  </a:xfrm>
                  <a:prstGeom prst="rect">
                    <a:avLst/>
                  </a:prstGeom>
                  <a:noFill/>
                  <a:ln w="9525">
                    <a:noFill/>
                    <a:miter lim="800000"/>
                    <a:headEnd/>
                    <a:tailEnd/>
                  </a:ln>
                </pic:spPr>
              </pic:pic>
            </a:graphicData>
          </a:graphic>
        </wp:inline>
      </w:drawing>
    </w:r>
    <w:r>
      <w:rPr>
        <w:rFonts w:hint="eastAsia" w:eastAsia="隶书"/>
        <w:sz w:val="21"/>
        <w:highlight w:val="lightGray"/>
        <w:shd w:val="pct10" w:color="auto" w:fill="FFFFFF"/>
      </w:rPr>
      <w:t xml:space="preserve">重庆开睿源会计师事务所有限公司          电话：（023）65366488                       </w:t>
    </w:r>
  </w:p>
  <w:p>
    <w:pPr>
      <w:pStyle w:val="8"/>
      <w:jc w:val="right"/>
    </w:pPr>
    <w:r>
      <w:t xml:space="preserve"> </w: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eastAsia="隶书"/>
        <w:sz w:val="21"/>
        <w:shd w:val="pct10" w:color="auto" w:fill="FFFFFF"/>
      </w:rPr>
      <w:drawing>
        <wp:inline distT="0" distB="0" distL="0" distR="0">
          <wp:extent cx="342900" cy="190500"/>
          <wp:effectExtent l="19050" t="0" r="0" b="0"/>
          <wp:docPr id="12" name="图片 14" descr="开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开源标志"/>
                  <pic:cNvPicPr>
                    <a:picLocks noChangeAspect="1" noChangeArrowheads="1"/>
                  </pic:cNvPicPr>
                </pic:nvPicPr>
                <pic:blipFill>
                  <a:blip r:embed="rId1"/>
                  <a:srcRect/>
                  <a:stretch>
                    <a:fillRect/>
                  </a:stretch>
                </pic:blipFill>
                <pic:spPr>
                  <a:xfrm>
                    <a:off x="0" y="0"/>
                    <a:ext cx="342900" cy="190500"/>
                  </a:xfrm>
                  <a:prstGeom prst="rect">
                    <a:avLst/>
                  </a:prstGeom>
                  <a:noFill/>
                  <a:ln w="9525">
                    <a:noFill/>
                    <a:miter lim="800000"/>
                    <a:headEnd/>
                    <a:tailEnd/>
                  </a:ln>
                </pic:spPr>
              </pic:pic>
            </a:graphicData>
          </a:graphic>
        </wp:inline>
      </w:drawing>
    </w:r>
    <w:r>
      <w:rPr>
        <w:rFonts w:hint="eastAsia" w:eastAsia="隶书"/>
        <w:sz w:val="21"/>
        <w:highlight w:val="lightGray"/>
        <w:shd w:val="pct10" w:color="auto" w:fill="FFFFFF"/>
      </w:rPr>
      <w:t xml:space="preserve">重庆开睿源会计师事务所有限公司          电话：（023）65366488                       </w:t>
    </w:r>
    <w:sdt>
      <w:sdtPr>
        <w:rPr>
          <w:rFonts w:eastAsia="隶书"/>
          <w:sz w:val="21"/>
          <w:highlight w:val="lightGray"/>
          <w:shd w:val="pct10" w:color="auto" w:fill="FFFFFF"/>
        </w:rPr>
        <w:id w:val="20601308"/>
      </w:sdtPr>
      <w:sdtEndPr>
        <w:rPr>
          <w:rFonts w:eastAsia="隶书"/>
          <w:sz w:val="21"/>
          <w:highlight w:val="lightGray"/>
          <w:shd w:val="pct10" w:color="auto" w:fill="FFFFFF"/>
        </w:rPr>
      </w:sdtEndPr>
      <w:sdtContent>
        <w:r>
          <w:rPr>
            <w:rFonts w:eastAsia="隶书"/>
            <w:sz w:val="21"/>
            <w:highlight w:val="lightGray"/>
            <w:shd w:val="pct10" w:color="auto" w:fill="FFFFFF"/>
          </w:rPr>
          <w:fldChar w:fldCharType="begin"/>
        </w:r>
        <w:r>
          <w:rPr>
            <w:rFonts w:eastAsia="隶书"/>
            <w:sz w:val="21"/>
            <w:highlight w:val="lightGray"/>
            <w:shd w:val="pct10" w:color="auto" w:fill="FFFFFF"/>
          </w:rPr>
          <w:instrText xml:space="preserve"> PAGE   \* MERGEFORMAT </w:instrText>
        </w:r>
        <w:r>
          <w:rPr>
            <w:rFonts w:eastAsia="隶书"/>
            <w:sz w:val="21"/>
            <w:highlight w:val="lightGray"/>
            <w:shd w:val="pct10" w:color="auto" w:fill="FFFFFF"/>
          </w:rPr>
          <w:fldChar w:fldCharType="separate"/>
        </w:r>
        <w:r>
          <w:rPr>
            <w:rFonts w:eastAsia="隶书"/>
            <w:sz w:val="21"/>
            <w:highlight w:val="lightGray"/>
            <w:shd w:val="pct10" w:color="auto" w:fill="FFFFFF"/>
          </w:rPr>
          <w:t>3</w:t>
        </w:r>
        <w:r>
          <w:rPr>
            <w:rFonts w:eastAsia="隶书"/>
            <w:sz w:val="21"/>
            <w:highlight w:val="lightGray"/>
            <w:shd w:val="pct10" w:color="auto" w:fill="FFFFFF"/>
          </w:rPr>
          <w:fldChar w:fldCharType="end"/>
        </w:r>
      </w:sdtContent>
    </w:sdt>
    <w:r>
      <w:t xml:space="preserve"> </w:t>
    </w:r>
  </w:p>
  <w:p>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16E0"/>
    <w:multiLevelType w:val="multilevel"/>
    <w:tmpl w:val="0D9716E0"/>
    <w:lvl w:ilvl="0" w:tentative="0">
      <w:start w:val="1"/>
      <w:numFmt w:val="chineseCountingThousand"/>
      <w:suff w:val="nothing"/>
      <w:lvlText w:val="%1、"/>
      <w:lvlJc w:val="left"/>
      <w:pPr>
        <w:ind w:left="57" w:firstLine="369"/>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DCF7224"/>
    <w:multiLevelType w:val="multilevel"/>
    <w:tmpl w:val="0DCF7224"/>
    <w:lvl w:ilvl="0" w:tentative="0">
      <w:start w:val="1"/>
      <w:numFmt w:val="chineseCountingThousand"/>
      <w:pStyle w:val="23"/>
      <w:suff w:val="nothing"/>
      <w:lvlText w:val="%1、"/>
      <w:lvlJc w:val="left"/>
      <w:pPr>
        <w:ind w:left="57" w:firstLine="369"/>
      </w:pPr>
      <w:rPr>
        <w:rFonts w:hint="eastAsia"/>
      </w:rPr>
    </w:lvl>
    <w:lvl w:ilvl="1" w:tentative="0">
      <w:start w:val="1"/>
      <w:numFmt w:val="chineseCountingThousand"/>
      <w:lvlText w:val="（%2）"/>
      <w:lvlJc w:val="left"/>
      <w:pPr>
        <w:ind w:left="1566" w:hanging="720"/>
      </w:pPr>
      <w:rPr>
        <w:rFonts w:hint="default"/>
      </w:rPr>
    </w:lvl>
    <w:lvl w:ilvl="2" w:tentative="0">
      <w:start w:val="1"/>
      <w:numFmt w:val="lowerRoman"/>
      <w:lvlText w:val="%3."/>
      <w:lvlJc w:val="right"/>
      <w:pPr>
        <w:ind w:left="1686" w:hanging="420"/>
      </w:pPr>
      <w:rPr>
        <w:rFonts w:hint="eastAsia"/>
      </w:rPr>
    </w:lvl>
    <w:lvl w:ilvl="3" w:tentative="0">
      <w:start w:val="1"/>
      <w:numFmt w:val="decimal"/>
      <w:lvlText w:val="%4."/>
      <w:lvlJc w:val="left"/>
      <w:pPr>
        <w:ind w:left="2106" w:hanging="420"/>
      </w:pPr>
      <w:rPr>
        <w:rFonts w:hint="eastAsia"/>
      </w:rPr>
    </w:lvl>
    <w:lvl w:ilvl="4" w:tentative="0">
      <w:start w:val="1"/>
      <w:numFmt w:val="lowerLetter"/>
      <w:lvlText w:val="%5)"/>
      <w:lvlJc w:val="left"/>
      <w:pPr>
        <w:ind w:left="2526" w:hanging="420"/>
      </w:pPr>
      <w:rPr>
        <w:rFonts w:hint="eastAsia"/>
      </w:rPr>
    </w:lvl>
    <w:lvl w:ilvl="5" w:tentative="0">
      <w:start w:val="1"/>
      <w:numFmt w:val="lowerRoman"/>
      <w:lvlText w:val="%6."/>
      <w:lvlJc w:val="right"/>
      <w:pPr>
        <w:ind w:left="2946" w:hanging="420"/>
      </w:pPr>
      <w:rPr>
        <w:rFonts w:hint="eastAsia"/>
      </w:rPr>
    </w:lvl>
    <w:lvl w:ilvl="6" w:tentative="0">
      <w:start w:val="1"/>
      <w:numFmt w:val="decimal"/>
      <w:lvlText w:val="%7."/>
      <w:lvlJc w:val="left"/>
      <w:pPr>
        <w:ind w:left="3366" w:hanging="420"/>
      </w:pPr>
      <w:rPr>
        <w:rFonts w:hint="eastAsia"/>
      </w:rPr>
    </w:lvl>
    <w:lvl w:ilvl="7" w:tentative="0">
      <w:start w:val="1"/>
      <w:numFmt w:val="lowerLetter"/>
      <w:lvlText w:val="%8)"/>
      <w:lvlJc w:val="left"/>
      <w:pPr>
        <w:ind w:left="3786" w:hanging="420"/>
      </w:pPr>
      <w:rPr>
        <w:rFonts w:hint="eastAsia"/>
      </w:rPr>
    </w:lvl>
    <w:lvl w:ilvl="8" w:tentative="0">
      <w:start w:val="1"/>
      <w:numFmt w:val="lowerRoman"/>
      <w:lvlText w:val="%9."/>
      <w:lvlJc w:val="right"/>
      <w:pPr>
        <w:ind w:left="4206" w:hanging="420"/>
      </w:pPr>
      <w:rPr>
        <w:rFonts w:hint="eastAsia"/>
      </w:rPr>
    </w:lvl>
  </w:abstractNum>
  <w:abstractNum w:abstractNumId="2">
    <w:nsid w:val="235F3B1D"/>
    <w:multiLevelType w:val="multilevel"/>
    <w:tmpl w:val="235F3B1D"/>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3F184E02"/>
    <w:multiLevelType w:val="multilevel"/>
    <w:tmpl w:val="3F184E02"/>
    <w:lvl w:ilvl="0" w:tentative="0">
      <w:start w:val="1"/>
      <w:numFmt w:val="japaneseCounting"/>
      <w:pStyle w:val="24"/>
      <w:lvlText w:val="（%1）"/>
      <w:lvlJc w:val="left"/>
      <w:pPr>
        <w:ind w:left="1191" w:hanging="765"/>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3F3C3237"/>
    <w:multiLevelType w:val="multilevel"/>
    <w:tmpl w:val="3F3C323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62BA537A"/>
    <w:multiLevelType w:val="multilevel"/>
    <w:tmpl w:val="62BA537A"/>
    <w:lvl w:ilvl="0" w:tentative="0">
      <w:start w:val="1"/>
      <w:numFmt w:val="decimal"/>
      <w:lvlText w:val="%1."/>
      <w:lvlJc w:val="left"/>
      <w:pPr>
        <w:ind w:left="846" w:hanging="420"/>
      </w:pPr>
    </w:lvl>
    <w:lvl w:ilvl="1" w:tentative="0">
      <w:start w:val="1"/>
      <w:numFmt w:val="decimal"/>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3"/>
  </w:num>
  <w:num w:numId="3">
    <w:abstractNumId w:val="0"/>
  </w:num>
  <w:num w:numId="4">
    <w:abstractNumId w:val="3"/>
    <w:lvlOverride w:ilvl="0">
      <w:startOverride w:val="1"/>
    </w:lvlOverride>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Start w:val="0"/>
  </w:footnotePr>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8B"/>
    <w:rsid w:val="00003B1F"/>
    <w:rsid w:val="00010A64"/>
    <w:rsid w:val="0001141F"/>
    <w:rsid w:val="00030FD3"/>
    <w:rsid w:val="00036D47"/>
    <w:rsid w:val="00037C53"/>
    <w:rsid w:val="000579D4"/>
    <w:rsid w:val="0008084D"/>
    <w:rsid w:val="000A1C09"/>
    <w:rsid w:val="000D79B0"/>
    <w:rsid w:val="000F40A8"/>
    <w:rsid w:val="00102357"/>
    <w:rsid w:val="0012445D"/>
    <w:rsid w:val="00130B5F"/>
    <w:rsid w:val="00133F19"/>
    <w:rsid w:val="00137885"/>
    <w:rsid w:val="00164AEC"/>
    <w:rsid w:val="0016625A"/>
    <w:rsid w:val="001D4D16"/>
    <w:rsid w:val="001D6581"/>
    <w:rsid w:val="001E4542"/>
    <w:rsid w:val="001F3728"/>
    <w:rsid w:val="002059BD"/>
    <w:rsid w:val="0021083B"/>
    <w:rsid w:val="00230201"/>
    <w:rsid w:val="00250B82"/>
    <w:rsid w:val="002646F8"/>
    <w:rsid w:val="00264BC2"/>
    <w:rsid w:val="00271FA8"/>
    <w:rsid w:val="00273C35"/>
    <w:rsid w:val="002829AB"/>
    <w:rsid w:val="002974BB"/>
    <w:rsid w:val="002B07FA"/>
    <w:rsid w:val="002B7781"/>
    <w:rsid w:val="002D7D7E"/>
    <w:rsid w:val="002E3148"/>
    <w:rsid w:val="002F7308"/>
    <w:rsid w:val="00300E31"/>
    <w:rsid w:val="00303531"/>
    <w:rsid w:val="003037C5"/>
    <w:rsid w:val="00334CF9"/>
    <w:rsid w:val="00336181"/>
    <w:rsid w:val="003522C3"/>
    <w:rsid w:val="00354AE5"/>
    <w:rsid w:val="00394960"/>
    <w:rsid w:val="003C2B5E"/>
    <w:rsid w:val="003D5282"/>
    <w:rsid w:val="003D6465"/>
    <w:rsid w:val="003E71A8"/>
    <w:rsid w:val="003F1152"/>
    <w:rsid w:val="00452CE9"/>
    <w:rsid w:val="00457264"/>
    <w:rsid w:val="0046101C"/>
    <w:rsid w:val="00481889"/>
    <w:rsid w:val="004872C8"/>
    <w:rsid w:val="00490BCF"/>
    <w:rsid w:val="004938FE"/>
    <w:rsid w:val="00495747"/>
    <w:rsid w:val="004E4AAE"/>
    <w:rsid w:val="004F0339"/>
    <w:rsid w:val="005403F1"/>
    <w:rsid w:val="0054268D"/>
    <w:rsid w:val="00551528"/>
    <w:rsid w:val="00567AB5"/>
    <w:rsid w:val="00586AC1"/>
    <w:rsid w:val="005A6287"/>
    <w:rsid w:val="005B1354"/>
    <w:rsid w:val="005B65B9"/>
    <w:rsid w:val="005C4089"/>
    <w:rsid w:val="005E0E74"/>
    <w:rsid w:val="005E6BCF"/>
    <w:rsid w:val="005F5B7C"/>
    <w:rsid w:val="00612B5F"/>
    <w:rsid w:val="00632A37"/>
    <w:rsid w:val="00645BF7"/>
    <w:rsid w:val="00663629"/>
    <w:rsid w:val="00683B52"/>
    <w:rsid w:val="00692BB9"/>
    <w:rsid w:val="00692EA7"/>
    <w:rsid w:val="006A5068"/>
    <w:rsid w:val="006A6E7B"/>
    <w:rsid w:val="006A7451"/>
    <w:rsid w:val="006B18E9"/>
    <w:rsid w:val="006B419B"/>
    <w:rsid w:val="006C6128"/>
    <w:rsid w:val="006E286A"/>
    <w:rsid w:val="006F2C0A"/>
    <w:rsid w:val="006F52EF"/>
    <w:rsid w:val="00704A3E"/>
    <w:rsid w:val="0071623E"/>
    <w:rsid w:val="00725ABB"/>
    <w:rsid w:val="0073131E"/>
    <w:rsid w:val="00734790"/>
    <w:rsid w:val="0073646D"/>
    <w:rsid w:val="007465C4"/>
    <w:rsid w:val="007473F7"/>
    <w:rsid w:val="00762F0D"/>
    <w:rsid w:val="00771139"/>
    <w:rsid w:val="007860EA"/>
    <w:rsid w:val="00796DB7"/>
    <w:rsid w:val="007A175C"/>
    <w:rsid w:val="007A47F7"/>
    <w:rsid w:val="007B42C3"/>
    <w:rsid w:val="007C0AFB"/>
    <w:rsid w:val="007C1F0A"/>
    <w:rsid w:val="007D22D5"/>
    <w:rsid w:val="007D696C"/>
    <w:rsid w:val="007E0A80"/>
    <w:rsid w:val="007F4BB6"/>
    <w:rsid w:val="007F797D"/>
    <w:rsid w:val="00810DF4"/>
    <w:rsid w:val="00815693"/>
    <w:rsid w:val="00822847"/>
    <w:rsid w:val="00856AC5"/>
    <w:rsid w:val="008601C7"/>
    <w:rsid w:val="00861DAC"/>
    <w:rsid w:val="008664C6"/>
    <w:rsid w:val="008853B0"/>
    <w:rsid w:val="008B11A5"/>
    <w:rsid w:val="008B44AE"/>
    <w:rsid w:val="008C5263"/>
    <w:rsid w:val="008F53F4"/>
    <w:rsid w:val="009017D9"/>
    <w:rsid w:val="009101B1"/>
    <w:rsid w:val="00942DF1"/>
    <w:rsid w:val="00944A8D"/>
    <w:rsid w:val="00981359"/>
    <w:rsid w:val="00992726"/>
    <w:rsid w:val="00992AC6"/>
    <w:rsid w:val="009D4C52"/>
    <w:rsid w:val="009F2FEC"/>
    <w:rsid w:val="009F506A"/>
    <w:rsid w:val="00A07A01"/>
    <w:rsid w:val="00A35D63"/>
    <w:rsid w:val="00A44FB3"/>
    <w:rsid w:val="00A6225D"/>
    <w:rsid w:val="00A66017"/>
    <w:rsid w:val="00A9031B"/>
    <w:rsid w:val="00A913F2"/>
    <w:rsid w:val="00A95C15"/>
    <w:rsid w:val="00AD5EEA"/>
    <w:rsid w:val="00AF2E54"/>
    <w:rsid w:val="00B0244B"/>
    <w:rsid w:val="00B05754"/>
    <w:rsid w:val="00B204FF"/>
    <w:rsid w:val="00B26D3C"/>
    <w:rsid w:val="00B405A9"/>
    <w:rsid w:val="00B40EF4"/>
    <w:rsid w:val="00B414F6"/>
    <w:rsid w:val="00B6301A"/>
    <w:rsid w:val="00B70536"/>
    <w:rsid w:val="00B714B1"/>
    <w:rsid w:val="00B71A72"/>
    <w:rsid w:val="00B71B59"/>
    <w:rsid w:val="00B81DFE"/>
    <w:rsid w:val="00B8283A"/>
    <w:rsid w:val="00B972C9"/>
    <w:rsid w:val="00BC428B"/>
    <w:rsid w:val="00BD0551"/>
    <w:rsid w:val="00BE4A48"/>
    <w:rsid w:val="00BF6943"/>
    <w:rsid w:val="00C153FB"/>
    <w:rsid w:val="00C43EE1"/>
    <w:rsid w:val="00C45E64"/>
    <w:rsid w:val="00C51433"/>
    <w:rsid w:val="00C56DAF"/>
    <w:rsid w:val="00C614C3"/>
    <w:rsid w:val="00C70483"/>
    <w:rsid w:val="00C73E2F"/>
    <w:rsid w:val="00C97022"/>
    <w:rsid w:val="00CA5C11"/>
    <w:rsid w:val="00CC1BCF"/>
    <w:rsid w:val="00CC4D57"/>
    <w:rsid w:val="00CC5B5B"/>
    <w:rsid w:val="00CD3B58"/>
    <w:rsid w:val="00CE69EA"/>
    <w:rsid w:val="00CF0D64"/>
    <w:rsid w:val="00D01487"/>
    <w:rsid w:val="00D53EA9"/>
    <w:rsid w:val="00D72578"/>
    <w:rsid w:val="00D86B39"/>
    <w:rsid w:val="00D907EA"/>
    <w:rsid w:val="00D948D5"/>
    <w:rsid w:val="00DA4146"/>
    <w:rsid w:val="00DC6374"/>
    <w:rsid w:val="00DD5048"/>
    <w:rsid w:val="00DD6969"/>
    <w:rsid w:val="00DE206E"/>
    <w:rsid w:val="00DE60C4"/>
    <w:rsid w:val="00DF483A"/>
    <w:rsid w:val="00E05B87"/>
    <w:rsid w:val="00E272B8"/>
    <w:rsid w:val="00E44EB7"/>
    <w:rsid w:val="00E4558F"/>
    <w:rsid w:val="00E664FE"/>
    <w:rsid w:val="00E73758"/>
    <w:rsid w:val="00E760FB"/>
    <w:rsid w:val="00E85094"/>
    <w:rsid w:val="00EA30F8"/>
    <w:rsid w:val="00EC016A"/>
    <w:rsid w:val="00EC56B3"/>
    <w:rsid w:val="00EC5C79"/>
    <w:rsid w:val="00EE0224"/>
    <w:rsid w:val="00EF03D8"/>
    <w:rsid w:val="00EF28CB"/>
    <w:rsid w:val="00EF30E7"/>
    <w:rsid w:val="00F06B0C"/>
    <w:rsid w:val="00F2489F"/>
    <w:rsid w:val="00F258A7"/>
    <w:rsid w:val="00F31082"/>
    <w:rsid w:val="00F35724"/>
    <w:rsid w:val="00F40E33"/>
    <w:rsid w:val="00F5513F"/>
    <w:rsid w:val="00FB4354"/>
    <w:rsid w:val="00FB5C0F"/>
    <w:rsid w:val="00FB784B"/>
    <w:rsid w:val="00FC5A26"/>
    <w:rsid w:val="00FF2B04"/>
    <w:rsid w:val="00FF5AE0"/>
    <w:rsid w:val="03821CF3"/>
    <w:rsid w:val="0ECA0538"/>
    <w:rsid w:val="185C4159"/>
    <w:rsid w:val="193D2843"/>
    <w:rsid w:val="1B455C9D"/>
    <w:rsid w:val="243D5D3C"/>
    <w:rsid w:val="3E62777D"/>
    <w:rsid w:val="42B76788"/>
    <w:rsid w:val="46292434"/>
    <w:rsid w:val="47044E09"/>
    <w:rsid w:val="481258E2"/>
    <w:rsid w:val="49394245"/>
    <w:rsid w:val="57C76B2B"/>
    <w:rsid w:val="656801D6"/>
    <w:rsid w:val="65AC386A"/>
    <w:rsid w:val="68205182"/>
    <w:rsid w:val="682979F9"/>
    <w:rsid w:val="68FF6792"/>
    <w:rsid w:val="70F555D7"/>
    <w:rsid w:val="7AB34A2B"/>
    <w:rsid w:val="7BDB7380"/>
    <w:rsid w:val="7F412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Date"/>
    <w:basedOn w:val="1"/>
    <w:next w:val="1"/>
    <w:link w:val="30"/>
    <w:unhideWhenUsed/>
    <w:qFormat/>
    <w:uiPriority w:val="99"/>
    <w:pPr>
      <w:ind w:left="100" w:leftChars="2500"/>
    </w:pPr>
  </w:style>
  <w:style w:type="paragraph" w:styleId="7">
    <w:name w:val="Balloon Text"/>
    <w:basedOn w:val="1"/>
    <w:link w:val="18"/>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kern w:val="0"/>
      <w:sz w:val="22"/>
    </w:rPr>
  </w:style>
  <w:style w:type="paragraph" w:styleId="11">
    <w:name w:val="toc 2"/>
    <w:basedOn w:val="1"/>
    <w:next w:val="1"/>
    <w:unhideWhenUsed/>
    <w:qFormat/>
    <w:uiPriority w:val="39"/>
    <w:pPr>
      <w:widowControl/>
      <w:spacing w:after="100" w:line="276" w:lineRule="auto"/>
      <w:ind w:left="220"/>
      <w:jc w:val="left"/>
    </w:pPr>
    <w:rPr>
      <w:kern w:val="0"/>
      <w:sz w:val="22"/>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paragraph" w:customStyle="1" w:styleId="17">
    <w:name w:val="List Paragraph"/>
    <w:basedOn w:val="1"/>
    <w:link w:val="25"/>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41"/>
    <w:basedOn w:val="13"/>
    <w:qFormat/>
    <w:uiPriority w:val="0"/>
    <w:rPr>
      <w:rFonts w:hint="eastAsia" w:ascii="宋体" w:hAnsi="宋体" w:eastAsia="宋体"/>
      <w:color w:val="000000"/>
      <w:sz w:val="21"/>
      <w:szCs w:val="21"/>
      <w:u w:val="none"/>
    </w:rPr>
  </w:style>
  <w:style w:type="character" w:customStyle="1" w:styleId="20">
    <w:name w:val="font11"/>
    <w:basedOn w:val="13"/>
    <w:qFormat/>
    <w:uiPriority w:val="0"/>
    <w:rPr>
      <w:rFonts w:hint="default" w:ascii="Times New Roman" w:hAnsi="Times New Roman" w:cs="Times New Roman"/>
      <w:color w:val="000000"/>
      <w:sz w:val="21"/>
      <w:szCs w:val="21"/>
      <w:u w:val="none"/>
    </w:rPr>
  </w:style>
  <w:style w:type="character" w:customStyle="1" w:styleId="21">
    <w:name w:val="标题 1 Char"/>
    <w:basedOn w:val="13"/>
    <w:link w:val="2"/>
    <w:qFormat/>
    <w:uiPriority w:val="9"/>
    <w:rPr>
      <w:b/>
      <w:bCs/>
      <w:kern w:val="44"/>
      <w:sz w:val="44"/>
      <w:szCs w:val="44"/>
    </w:rPr>
  </w:style>
  <w:style w:type="paragraph" w:customStyle="1" w:styleId="2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3">
    <w:name w:val="报告1级"/>
    <w:basedOn w:val="17"/>
    <w:link w:val="26"/>
    <w:qFormat/>
    <w:uiPriority w:val="0"/>
    <w:pPr>
      <w:numPr>
        <w:ilvl w:val="0"/>
        <w:numId w:val="1"/>
      </w:numPr>
      <w:autoSpaceDE w:val="0"/>
      <w:autoSpaceDN w:val="0"/>
      <w:snapToGrid w:val="0"/>
      <w:spacing w:before="100" w:beforeAutospacing="1" w:line="360" w:lineRule="auto"/>
      <w:ind w:firstLine="0" w:firstLineChars="0"/>
      <w:jc w:val="left"/>
    </w:pPr>
    <w:rPr>
      <w:rFonts w:ascii="仿宋_GB2312" w:eastAsia="仿宋_GB2312" w:cs="仿宋_GB2312" w:hAnsiTheme="minorEastAsia"/>
      <w:b/>
      <w:bCs/>
      <w:sz w:val="24"/>
      <w:szCs w:val="24"/>
    </w:rPr>
  </w:style>
  <w:style w:type="paragraph" w:customStyle="1" w:styleId="24">
    <w:name w:val="报告2级"/>
    <w:basedOn w:val="17"/>
    <w:link w:val="28"/>
    <w:qFormat/>
    <w:uiPriority w:val="0"/>
    <w:pPr>
      <w:numPr>
        <w:ilvl w:val="0"/>
        <w:numId w:val="2"/>
      </w:numPr>
      <w:autoSpaceDE w:val="0"/>
      <w:autoSpaceDN w:val="0"/>
      <w:snapToGrid w:val="0"/>
      <w:spacing w:before="100" w:beforeAutospacing="1" w:line="360" w:lineRule="auto"/>
      <w:ind w:firstLine="0" w:firstLineChars="0"/>
      <w:jc w:val="left"/>
    </w:pPr>
    <w:rPr>
      <w:rFonts w:ascii="仿宋_GB2312" w:eastAsia="仿宋_GB2312" w:cs="仿宋_GB2312" w:hAnsiTheme="minorEastAsia"/>
      <w:b/>
      <w:bCs/>
      <w:sz w:val="24"/>
      <w:szCs w:val="24"/>
    </w:rPr>
  </w:style>
  <w:style w:type="character" w:customStyle="1" w:styleId="25">
    <w:name w:val="列出段落 Char"/>
    <w:basedOn w:val="13"/>
    <w:link w:val="17"/>
    <w:qFormat/>
    <w:uiPriority w:val="34"/>
    <w:rPr>
      <w:kern w:val="2"/>
      <w:sz w:val="21"/>
      <w:szCs w:val="22"/>
    </w:rPr>
  </w:style>
  <w:style w:type="character" w:customStyle="1" w:styleId="26">
    <w:name w:val="报告1级 Char"/>
    <w:basedOn w:val="25"/>
    <w:link w:val="23"/>
    <w:qFormat/>
    <w:uiPriority w:val="0"/>
  </w:style>
  <w:style w:type="character" w:customStyle="1" w:styleId="27">
    <w:name w:val="标题 2 Char"/>
    <w:basedOn w:val="13"/>
    <w:link w:val="3"/>
    <w:semiHidden/>
    <w:qFormat/>
    <w:uiPriority w:val="9"/>
    <w:rPr>
      <w:rFonts w:asciiTheme="majorHAnsi" w:hAnsiTheme="majorHAnsi" w:eastAsiaTheme="majorEastAsia" w:cstheme="majorBidi"/>
      <w:b/>
      <w:bCs/>
      <w:kern w:val="2"/>
      <w:sz w:val="32"/>
      <w:szCs w:val="32"/>
    </w:rPr>
  </w:style>
  <w:style w:type="character" w:customStyle="1" w:styleId="28">
    <w:name w:val="报告2级 Char"/>
    <w:basedOn w:val="25"/>
    <w:link w:val="24"/>
    <w:qFormat/>
    <w:uiPriority w:val="0"/>
    <w:rPr>
      <w:rFonts w:ascii="仿宋_GB2312" w:eastAsia="仿宋_GB2312" w:cs="仿宋_GB2312" w:hAnsiTheme="minorEastAsia"/>
      <w:b/>
      <w:bCs/>
      <w:sz w:val="24"/>
      <w:szCs w:val="24"/>
    </w:rPr>
  </w:style>
  <w:style w:type="character" w:customStyle="1" w:styleId="29">
    <w:name w:val="标题 3 Char"/>
    <w:basedOn w:val="13"/>
    <w:link w:val="4"/>
    <w:semiHidden/>
    <w:qFormat/>
    <w:uiPriority w:val="9"/>
    <w:rPr>
      <w:b/>
      <w:bCs/>
      <w:kern w:val="2"/>
      <w:sz w:val="32"/>
      <w:szCs w:val="32"/>
    </w:rPr>
  </w:style>
  <w:style w:type="character" w:customStyle="1" w:styleId="30">
    <w:name w:val="日期 Char"/>
    <w:basedOn w:val="13"/>
    <w:link w:val="6"/>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57036C-6E4C-43E9-BCC0-F23B02D2CADD}">
  <ds:schemaRefs/>
</ds:datastoreItem>
</file>

<file path=docProps/app.xml><?xml version="1.0" encoding="utf-8"?>
<Properties xmlns="http://schemas.openxmlformats.org/officeDocument/2006/extended-properties" xmlns:vt="http://schemas.openxmlformats.org/officeDocument/2006/docPropsVTypes">
  <Template>Normal</Template>
  <Pages>26</Pages>
  <Words>2143</Words>
  <Characters>12219</Characters>
  <Lines>101</Lines>
  <Paragraphs>28</Paragraphs>
  <TotalTime>1</TotalTime>
  <ScaleCrop>false</ScaleCrop>
  <LinksUpToDate>false</LinksUpToDate>
  <CharactersWithSpaces>14334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2020-10-06T09:10:00Z</dcterms:created>
  <dc:creator>8004</dc:creator>
  <cp:lastModifiedBy>Administrator</cp:lastModifiedBy>
  <cp:lastPrinted>2020-10-29T01:36:00Z</cp:lastPrinted>
  <dcterms:modified xsi:type="dcterms:W3CDTF">2025-09-15T09:38:16Z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