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垫江县住房和城乡建设委员会</w:t>
      </w:r>
      <w:r>
        <w:rPr>
          <w:rFonts w:ascii="方正小标宋_GBK" w:hAnsi="方正小标宋_GBK" w:eastAsia="方正小标宋_GBK" w:cs="方正小标宋_GBK"/>
          <w:sz w:val="36"/>
          <w:szCs w:val="36"/>
          <w:shd w:val="clear" w:color="auto" w:fill="FFFFFF"/>
        </w:rPr>
        <w:t>2023年度</w:t>
      </w:r>
      <w:r>
        <w:rPr>
          <w:rFonts w:hint="eastAsia" w:ascii="方正小标宋_GBK" w:hAnsi="方正小标宋_GBK" w:eastAsia="方正小标宋_GBK" w:cs="方正小标宋_GBK"/>
          <w:sz w:val="36"/>
          <w:szCs w:val="36"/>
          <w:shd w:val="clear" w:color="auto" w:fill="FFFFFF"/>
          <w:lang w:eastAsia="zh-CN"/>
        </w:rPr>
        <w:t>部门</w:t>
      </w:r>
      <w:r>
        <w:rPr>
          <w:rFonts w:ascii="方正小标宋_GBK" w:hAnsi="方正小标宋_GBK" w:eastAsia="方正小标宋_GBK" w:cs="方正小标宋_GBK"/>
          <w:sz w:val="36"/>
          <w:szCs w:val="36"/>
          <w:shd w:val="clear" w:color="auto" w:fill="FFFFFF"/>
        </w:rPr>
        <w:t>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负责推进住房和城乡建设事业改革发展。贯彻执行住房和城乡建设法律、法规、规章和方针政策。拟订相关发展战略、改革方案、发展规划、专项规划和年度计划并监督实施。负责规范住房和城乡建设管理秩序。指导乡镇（街道）住房和城乡建设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负责住房和城乡建设财政性资金的监督管理。负责城市建设配套费等的征收和管理。会同县财政部门筹集住房和城乡建设财政性资金，编制收支年度计划，经县政府审批后安排下达。监督管理城乡建设财政性资金的使用。</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负责房地产行业的监督管理。贯彻执行全县房地产调控政策、行业发展规划。负责规范房地产开发建设市场秩序、房地产交易市场秩序。拟订房屋面积管理、交易管理的规章制度并监督执行。负责房地产开发企业资质管理和房地产估价机构管理。</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负责建筑行业的监督管理。负责规范建筑市场秩序。负责房屋建筑和市政基础设施工程质量、安全的监督管理，负责或参与工程质量安全事故的调查处理和突发事件应急处置，负责建筑企业及从业人员的资质资格管理。监督实施地方工程造价定额。负责新型建筑材料、建筑机械与设备的应用管理。</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负责勘察设计行业的监督管理。负责规范勘察设计市场秩序。负责建设工程勘察设计企业及从业人员的资质资格管理。负责房屋建筑和市政基础设施工程建设抗震设防的监督管理。指导城市地下空间综合开发利用和城市雕塑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负责住房保障工作。监督实施住房保障、住房改革政策。负责保障性住房建设的监督管理和协调推进。指导全县公有房屋改革和管理。组织实施住房公积金缴存、使用和管理的监督制度。负责住房公积金的监督管理。</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统筹推进城市基础设施建设工作。组织实施城市道路桥梁隧道及其附属设施等城市基础设施建设政策、规划，负责项目的储备、前期工作和协调推进。协调推进房屋建筑和市政基础设施重点项目建设。负责历史文化名城、名镇、名村、街区和传统风貌区的保护建设管理工作。指导历史建筑、传统风貌建筑的修复建设。</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8.负责统筹推进城市提升相关工作。监督实施城市提升相关政策、规范、标准。牵头推进城市提升相关前期工作和项目协调。统筹城市提升建设项目进度安排、推进实施、监督检查、效果评价等工作。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9.统筹城市人居环境改善工作。负责城市管线的综合管理，建立城市管线综合管理协调机制，统筹城市综合管廊建设与管理。牵头协调推进海绵城市建设等工作。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10.负责城镇排水与污水处理的监督管理。负责监督实施城镇排水与污水处理政策、标准、规划。负责城市污水处理厂建设运行管理和城市排水（雨水、污水）管网建设维护管理。负责城镇污水处理费征收的管理工作。负责城镇排水监测的监督管理。牵头负责城市排水防涝工作。指导乡镇污水处理管理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11.负责推进城市修补和有机更新。指导城市老旧功能片区和老旧小区改造提升工作。统筹推进城市棚户区改造。监督指导城市既有建筑保留利用、更新改造工作。负责国有土地上房屋征收工作。负责房屋使用安全、物业管理活动的监督管理。</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12.指导村镇建设。贯彻执行村镇建设政策。负责指导村镇建设管理工作，组织村镇专项建设示范。指导特色景观旅游名镇名村管理工作。指导农村住房建设和农村危房改造工作。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13.负责建设科技推广应用。推进住房和城乡建设科技研究开发与成果转化。指导住房城乡建设新技术示范、推广、应用。承担行业信息化、智能化等管理工作。监督实施工程建设地方标准。推进建筑产业现代化，负责工程建设标准化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14.负责绿色建筑与建筑节能管理。贯彻执行绿色建筑与建筑节能政策并监督实施。承担绿色建筑评价及建筑能效测评标识管理。推进建筑节能发展。</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15.负责建设工程消防设计审查验收相关工作。贯彻执行建设工程消防设计审查验收政策。负责建设工程消防设计审查验收工作。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16.负责住房城乡建设领域相关综合行政执法工作。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17.负责住房和城建档案管理，指导行业人才队伍建设，承担全县住房和城乡建设档案专项管理工作。开展相关领域交流合作。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18.贯彻执行《中华人民共和国</w:t>
      </w:r>
      <w:r>
        <w:rPr>
          <w:rFonts w:hint="eastAsia" w:ascii="方正仿宋_GBK" w:hAnsi="方正仿宋_GBK" w:eastAsia="方正仿宋_GBK" w:cs="方正仿宋_GBK"/>
          <w:sz w:val="32"/>
          <w:szCs w:val="32"/>
          <w:shd w:val="clear" w:color="auto" w:fill="FFFFFF"/>
          <w:lang w:eastAsia="zh-CN"/>
        </w:rPr>
        <w:t>人民</w:t>
      </w:r>
      <w:bookmarkStart w:id="0" w:name="_GoBack"/>
      <w:bookmarkEnd w:id="0"/>
      <w:r>
        <w:rPr>
          <w:rFonts w:hint="eastAsia" w:ascii="方正仿宋_GBK" w:hAnsi="方正仿宋_GBK" w:eastAsia="方正仿宋_GBK" w:cs="方正仿宋_GBK"/>
          <w:sz w:val="32"/>
          <w:szCs w:val="32"/>
          <w:shd w:val="clear" w:color="auto" w:fill="FFFFFF"/>
        </w:rPr>
        <w:t>防空法》《重庆市人民防空条例》和国家关于人防工作的方针、政策以及与人防有关的法律、法规和规章。负责全县人防工作的统筹、协调和执法管理工作。</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19.完成县委、县政府交办的其他任务。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垫江县城乡建设委员会设9个内设机构：办公室、城市建设科、行政许可服务科、勘察设计科（消防科）、建设管理科、人防科、房政科、村镇建设科、物业监管科。</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从预算单位构成看，纳入本部门2023年度决算编制的二级预算单位主要包括垫江县建设工程质量监督站、垫江县建设工程施工安全管理站、垫江县建设科技教育培训中心、垫江县城乡建设档案室、垫江县城市建设配套费征收服务中心、垫江县国有土地上房屋征收服务中心、垫江县住房保障中心、垫江县排水服务中心。</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2023年度收入总计21636.01万元，支出总计</w:t>
      </w:r>
      <w:r>
        <w:rPr>
          <w:rFonts w:ascii="方正仿宋_GBK" w:hAnsi="方正仿宋_GBK" w:eastAsia="方正仿宋_GBK" w:cs="方正仿宋_GBK"/>
          <w:sz w:val="32"/>
          <w:szCs w:val="32"/>
        </w:rPr>
        <w:t>21636.01</w:t>
      </w:r>
      <w:r>
        <w:rPr>
          <w:rFonts w:ascii="方正仿宋_GBK" w:hAnsi="方正仿宋_GBK" w:eastAsia="方正仿宋_GBK" w:cs="方正仿宋_GBK"/>
          <w:sz w:val="32"/>
          <w:szCs w:val="32"/>
          <w:shd w:val="clear" w:color="auto" w:fill="FFFFFF"/>
        </w:rPr>
        <w:t>万元。收支较上年决算数减少28714.86万元，下降57.03%，主要原因是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2023年度收入合计21561.30万元，较上年决算数减少28395.14万元，下降56.84%，主要原因是主要原因是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21348.30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99.01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213.00</w:t>
      </w:r>
      <w:r>
        <w:rPr>
          <w:rFonts w:ascii="方正仿宋_GBK" w:hAnsi="方正仿宋_GBK" w:eastAsia="方正仿宋_GBK" w:cs="方正仿宋_GBK"/>
          <w:sz w:val="32"/>
          <w:szCs w:val="32"/>
          <w:shd w:val="clear" w:color="auto" w:fill="FFFFFF"/>
        </w:rPr>
        <w:t>万元，占0.99%。此外，使用非财政拨款结余和专用结余</w:t>
      </w:r>
      <w:r>
        <w:rPr>
          <w:rFonts w:ascii="方正仿宋_GBK" w:hAnsi="方正仿宋_GBK" w:eastAsia="方正仿宋_GBK" w:cs="方正仿宋_GBK"/>
          <w:sz w:val="32"/>
          <w:szCs w:val="32"/>
        </w:rPr>
        <w:t>9.42</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65.29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21630.36</w:t>
      </w:r>
      <w:r>
        <w:rPr>
          <w:rFonts w:ascii="方正仿宋_GBK" w:hAnsi="方正仿宋_GBK" w:eastAsia="方正仿宋_GBK" w:cs="方正仿宋_GBK"/>
          <w:sz w:val="32"/>
          <w:szCs w:val="32"/>
          <w:shd w:val="clear" w:color="auto" w:fill="FFFFFF"/>
        </w:rPr>
        <w:t>万元，较上年决算数减少28695.22万元，下降57.02%，主要原因是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2480.79</w:t>
      </w:r>
      <w:r>
        <w:rPr>
          <w:rFonts w:ascii="方正仿宋_GBK" w:hAnsi="方正仿宋_GBK" w:eastAsia="方正仿宋_GBK" w:cs="方正仿宋_GBK"/>
          <w:sz w:val="32"/>
          <w:szCs w:val="32"/>
          <w:shd w:val="clear" w:color="auto" w:fill="FFFFFF"/>
        </w:rPr>
        <w:t>万元，占11.47%；项目支出</w:t>
      </w:r>
      <w:r>
        <w:rPr>
          <w:rFonts w:ascii="方正仿宋_GBK" w:hAnsi="方正仿宋_GBK" w:eastAsia="方正仿宋_GBK" w:cs="方正仿宋_GBK"/>
          <w:sz w:val="32"/>
          <w:szCs w:val="32"/>
        </w:rPr>
        <w:t>19149.57</w:t>
      </w:r>
      <w:r>
        <w:rPr>
          <w:rFonts w:ascii="方正仿宋_GBK" w:hAnsi="方正仿宋_GBK" w:eastAsia="方正仿宋_GBK" w:cs="方正仿宋_GBK"/>
          <w:sz w:val="32"/>
          <w:szCs w:val="32"/>
          <w:shd w:val="clear" w:color="auto" w:fill="FFFFFF"/>
        </w:rPr>
        <w:t>万元，占88.53%；经营支出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5.66</w:t>
      </w:r>
      <w:r>
        <w:rPr>
          <w:rFonts w:ascii="方正仿宋_GBK" w:hAnsi="方正仿宋_GBK" w:eastAsia="方正仿宋_GBK" w:cs="方正仿宋_GBK"/>
          <w:sz w:val="32"/>
          <w:szCs w:val="32"/>
          <w:shd w:val="clear" w:color="auto" w:fill="FFFFFF"/>
        </w:rPr>
        <w:t>万元，较上年决算数减少19.63万元，下降77.62%，主要原因是非财政结转结余支付减少。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2023年度财政拨款收、支总计21388.30万元。与2022年相比，财政拨款收、支总计各减少28542.48万元，下降57.16%。主要原因是</w:t>
      </w:r>
      <w:r>
        <w:rPr>
          <w:rFonts w:ascii="方正仿宋_GBK" w:hAnsi="方正仿宋_GBK" w:eastAsia="方正仿宋_GBK" w:cs="方正仿宋_GBK"/>
          <w:sz w:val="32"/>
          <w:szCs w:val="32"/>
        </w:rPr>
        <w:t>本年减少基本农田有偿调剂，棚户区改造，南阳大道地下管廊工程，污染治理和节能减碳专项中央基建投资等项目经费。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20974.32</w:t>
      </w:r>
      <w:r>
        <w:rPr>
          <w:rFonts w:ascii="方正仿宋_GBK" w:hAnsi="方正仿宋_GBK" w:eastAsia="方正仿宋_GBK" w:cs="方正仿宋_GBK"/>
          <w:sz w:val="32"/>
          <w:szCs w:val="32"/>
          <w:shd w:val="clear" w:color="auto" w:fill="FFFFFF"/>
        </w:rPr>
        <w:t>万元，较上年决算数增加8463.15万元，增长67.64%。主要原因是主要原因是老旧小区改造等项目经费增加。较年初预算数增加7948.95万元，增长61.03%。主要原因是老旧小区改造项目经费、房交会契税补贴资金增加。此外，年初财政拨款结转和结余</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21014.32</w:t>
      </w:r>
      <w:r>
        <w:rPr>
          <w:rFonts w:ascii="方正仿宋_GBK" w:hAnsi="方正仿宋_GBK" w:eastAsia="方正仿宋_GBK" w:cs="方正仿宋_GBK"/>
          <w:sz w:val="32"/>
          <w:szCs w:val="32"/>
          <w:shd w:val="clear" w:color="auto" w:fill="FFFFFF"/>
        </w:rPr>
        <w:t>万元，较上年决算数增加8169.27万元，增长63.60%。主要原因是是老旧小区改造等项目经费增加。较年初预算数增加7988.95万元，增长61.33%。主要原因是老旧小区改造项目经费、房交会契税补贴等项目资金增加。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万元，主要原因是主要原因是年末财政收回结存资金，收支平衡。</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%，较年初预算数增加0.44万元，增长100.00%，主要原因是增加非党组织工作经费。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5.86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%，较年初预算数无增减，主要原因是按财政预算合理支出。</w:t>
      </w:r>
    </w:p>
    <w:p>
      <w:pPr>
        <w:pStyle w:val="6"/>
        <w:snapToGrid w:val="0"/>
        <w:spacing w:beforeAutospacing="0" w:line="594" w:lineRule="exact"/>
        <w:ind w:firstLine="640" w:firstLineChars="200"/>
        <w:jc w:val="both"/>
        <w:rPr>
          <w:rFonts w:hint="default" w:eastAsia="方正仿宋_GBK" w:cs="宋体"/>
          <w:sz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341.61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1.63</w:t>
      </w:r>
      <w:r>
        <w:rPr>
          <w:rFonts w:ascii="方正仿宋_GBK" w:hAnsi="方正仿宋_GBK" w:eastAsia="方正仿宋_GBK" w:cs="方正仿宋_GBK"/>
          <w:sz w:val="32"/>
          <w:szCs w:val="32"/>
          <w:shd w:val="clear" w:color="auto" w:fill="FFFFFF"/>
        </w:rPr>
        <w:t>%，较年初预算数增加33.00万元，增长10.69%，主要原因是人员工资调整，</w:t>
      </w:r>
      <w:r>
        <w:rPr>
          <w:rFonts w:eastAsia="方正仿宋_GBK" w:cs="宋体"/>
          <w:sz w:val="32"/>
          <w:shd w:val="clear" w:color="auto" w:fill="FFFFFF"/>
        </w:rPr>
        <w:t>社保基数调增。</w:t>
      </w:r>
    </w:p>
    <w:p>
      <w:pPr>
        <w:pStyle w:val="6"/>
        <w:snapToGrid w:val="0"/>
        <w:spacing w:before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87.19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0.41</w:t>
      </w:r>
      <w:r>
        <w:rPr>
          <w:rFonts w:ascii="方正仿宋_GBK" w:hAnsi="方正仿宋_GBK" w:eastAsia="方正仿宋_GBK" w:cs="方正仿宋_GBK"/>
          <w:sz w:val="32"/>
          <w:szCs w:val="32"/>
          <w:shd w:val="clear" w:color="auto" w:fill="FFFFFF"/>
        </w:rPr>
        <w:t>%，较年初预算数增加21.68万元，增长33.09%，主要原因是</w:t>
      </w:r>
      <w:r>
        <w:rPr>
          <w:rFonts w:eastAsia="方正仿宋_GBK" w:cs="宋体"/>
          <w:sz w:val="32"/>
          <w:shd w:val="clear" w:color="auto" w:fill="FFFFFF"/>
        </w:rPr>
        <w:t>社保基数调增。</w:t>
      </w:r>
    </w:p>
    <w:p>
      <w:pPr>
        <w:pStyle w:val="6"/>
        <w:snapToGrid w:val="0"/>
        <w:spacing w:beforeAutospacing="0" w:line="594" w:lineRule="exact"/>
        <w:ind w:firstLine="640" w:firstLineChars="200"/>
        <w:jc w:val="both"/>
        <w:rPr>
          <w:rFonts w:hint="default" w:eastAsia="方正仿宋_GBK" w:cs="宋体"/>
          <w:color w:val="000000" w:themeColor="text1"/>
          <w:sz w:val="32"/>
          <w:shd w:val="clear" w:color="auto" w:fill="FFFFFF"/>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5864.00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27.90</w:t>
      </w:r>
      <w:r>
        <w:rPr>
          <w:rFonts w:ascii="方正仿宋_GBK" w:hAnsi="方正仿宋_GBK" w:eastAsia="方正仿宋_GBK" w:cs="方正仿宋_GBK"/>
          <w:sz w:val="32"/>
          <w:szCs w:val="32"/>
          <w:shd w:val="clear" w:color="auto" w:fill="FFFFFF"/>
        </w:rPr>
        <w:t>%，较年初预算数增加510.58万元，增长9.54%，主要原因是</w:t>
      </w:r>
      <w:r>
        <w:rPr>
          <w:rFonts w:eastAsia="方正仿宋_GBK" w:cs="宋体"/>
          <w:color w:val="000000" w:themeColor="text1"/>
          <w:sz w:val="32"/>
          <w:shd w:val="clear" w:color="auto" w:fill="FFFFFF"/>
        </w:rPr>
        <w:t>行政运行、一般行政管理事务、其他城乡社区管理事务支出增加。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（6）资源勘探信息等支出</w:t>
      </w:r>
      <w:r>
        <w:rPr>
          <w:rFonts w:ascii="方正仿宋_GBK" w:hAnsi="方正仿宋_GBK" w:eastAsia="方正仿宋_GBK" w:cs="方正仿宋_GBK"/>
          <w:sz w:val="32"/>
          <w:szCs w:val="32"/>
        </w:rPr>
        <w:t>1185.92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5.64</w:t>
      </w:r>
      <w:r>
        <w:rPr>
          <w:rFonts w:ascii="方正仿宋_GBK" w:hAnsi="方正仿宋_GBK" w:eastAsia="方正仿宋_GBK" w:cs="方正仿宋_GBK"/>
          <w:sz w:val="32"/>
          <w:szCs w:val="32"/>
          <w:shd w:val="clear" w:color="auto" w:fill="FFFFFF"/>
        </w:rPr>
        <w:t>%，较年初预算数增加1185.92万元，增长100.00%，主要原因是增加</w:t>
      </w:r>
      <w:r>
        <w:rPr>
          <w:rFonts w:hint="default" w:ascii="方正仿宋_GBK" w:hAnsi="方正仿宋_GBK" w:eastAsia="方正仿宋_GBK" w:cs="方正仿宋_GBK"/>
          <w:sz w:val="32"/>
          <w:szCs w:val="32"/>
          <w:shd w:val="clear" w:color="auto" w:fill="FFFFFF"/>
        </w:rPr>
        <w:t>2022年秋季房交会契税补贴资金</w:t>
      </w:r>
      <w:r>
        <w:rPr>
          <w:rFonts w:ascii="方正仿宋_GBK" w:hAnsi="方正仿宋_GBK" w:eastAsia="方正仿宋_GBK" w:cs="方正仿宋_GBK"/>
          <w:sz w:val="32"/>
          <w:szCs w:val="32"/>
          <w:shd w:val="clear" w:color="auto" w:fill="FFFFFF"/>
        </w:rPr>
        <w:t>。</w:t>
      </w:r>
    </w:p>
    <w:p>
      <w:pPr>
        <w:pStyle w:val="6"/>
        <w:shd w:val="clear" w:color="auto" w:fill="FFFFFF"/>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住房保障支出13529.31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64.38</w:t>
      </w:r>
      <w:r>
        <w:rPr>
          <w:rFonts w:ascii="方正仿宋_GBK" w:hAnsi="方正仿宋_GBK" w:eastAsia="方正仿宋_GBK" w:cs="方正仿宋_GBK"/>
          <w:sz w:val="32"/>
          <w:szCs w:val="32"/>
          <w:shd w:val="clear" w:color="auto" w:fill="FFFFFF"/>
        </w:rPr>
        <w:t>%，较年初预算数增加6237.34万元，增长85.54%，主要原因是</w:t>
      </w:r>
      <w:r>
        <w:rPr>
          <w:rFonts w:eastAsia="方正仿宋_GBK" w:cs="宋体"/>
          <w:color w:val="000000" w:themeColor="text1"/>
          <w:sz w:val="32"/>
        </w:rPr>
        <w:t>老旧小区改造项目资金增加。</w:t>
      </w:r>
    </w:p>
    <w:p>
      <w:pPr>
        <w:pStyle w:val="6"/>
        <w:snapToGrid w:val="0"/>
        <w:spacing w:beforeAutospacing="0" w:line="594"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2480.79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2126.95</w:t>
      </w:r>
      <w:r>
        <w:rPr>
          <w:rFonts w:ascii="方正仿宋_GBK" w:hAnsi="方正仿宋_GBK" w:eastAsia="方正仿宋_GBK" w:cs="方正仿宋_GBK"/>
          <w:sz w:val="32"/>
          <w:szCs w:val="32"/>
          <w:shd w:val="clear" w:color="auto" w:fill="FFFFFF"/>
        </w:rPr>
        <w:t>万元，较上年决算数增加53.46万元，增长2.58%，主要原因是人员工资、社保基数等调增。</w:t>
      </w:r>
      <w:r>
        <w:rPr>
          <w:rFonts w:hint="eastAsia" w:eastAsia="方正仿宋_GBK" w:cs="宋体"/>
          <w:sz w:val="32"/>
          <w:shd w:val="clear" w:color="auto" w:fill="FFFFFF"/>
        </w:rPr>
        <w:t>人员经费用途主要包括基本工资、津贴补贴、奖金、社会保障缴费等。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353.83</w:t>
      </w:r>
      <w:r>
        <w:rPr>
          <w:rFonts w:ascii="方正仿宋_GBK" w:hAnsi="方正仿宋_GBK" w:eastAsia="方正仿宋_GBK" w:cs="方正仿宋_GBK"/>
          <w:sz w:val="32"/>
          <w:szCs w:val="32"/>
          <w:shd w:val="clear" w:color="auto" w:fill="FFFFFF"/>
        </w:rPr>
        <w:t>万元，较上年决算数减少7.10万元，下降1.97%，主要原因是</w:t>
      </w:r>
      <w:r>
        <w:rPr>
          <w:rFonts w:hint="eastAsia" w:ascii="方正仿宋_GBK" w:hAnsi="方正仿宋_GBK" w:eastAsia="方正仿宋_GBK" w:cs="方正仿宋_GBK"/>
          <w:sz w:val="32"/>
          <w:szCs w:val="32"/>
          <w:shd w:val="clear" w:color="auto" w:fill="FFFFFF"/>
        </w:rPr>
        <w:t>经费压缩，减少开支。</w:t>
      </w:r>
      <w:r>
        <w:rPr>
          <w:rFonts w:hint="eastAsia" w:eastAsia="方正仿宋_GBK" w:cs="宋体"/>
          <w:sz w:val="32"/>
          <w:shd w:val="clear" w:color="auto" w:fill="FFFFFF"/>
        </w:rPr>
        <w:t>公用经费用途主要包括办公费、差旅费、印刷费、水电费、劳务费、委托业务费等公用经费。</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373.98</w:t>
      </w:r>
      <w:r>
        <w:rPr>
          <w:rFonts w:ascii="方正仿宋_GBK" w:hAnsi="方正仿宋_GBK" w:eastAsia="方正仿宋_GBK" w:cs="方正仿宋_GBK"/>
          <w:sz w:val="32"/>
          <w:szCs w:val="32"/>
          <w:shd w:val="clear" w:color="auto" w:fill="FFFFFF"/>
        </w:rPr>
        <w:t>万元，较上年决算数减少36711.74万元，下降98.99%，主要原因是本年减</w:t>
      </w:r>
      <w:r>
        <w:rPr>
          <w:rFonts w:ascii="方正仿宋_GBK" w:hAnsi="方正仿宋_GBK" w:eastAsia="方正仿宋_GBK" w:cs="方正仿宋_GBK"/>
          <w:sz w:val="32"/>
          <w:szCs w:val="32"/>
        </w:rPr>
        <w:t>少</w:t>
      </w:r>
      <w:r>
        <w:rPr>
          <w:rFonts w:hint="default" w:ascii="方正仿宋_GBK" w:hAnsi="方正仿宋_GBK" w:eastAsia="方正仿宋_GBK" w:cs="方正仿宋_GBK"/>
          <w:sz w:val="32"/>
          <w:szCs w:val="32"/>
        </w:rPr>
        <w:t>2020年城市品质提升基础设施整治工程</w:t>
      </w:r>
      <w:r>
        <w:rPr>
          <w:rFonts w:ascii="方正仿宋_GBK" w:hAnsi="方正仿宋_GBK" w:eastAsia="方正仿宋_GBK" w:cs="方正仿宋_GBK"/>
          <w:sz w:val="32"/>
          <w:szCs w:val="32"/>
        </w:rPr>
        <w:t>、南阳大道地下管廊工程、装配式农房试点建设项目资金。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373.98</w:t>
      </w:r>
      <w:r>
        <w:rPr>
          <w:rFonts w:ascii="方正仿宋_GBK" w:hAnsi="方正仿宋_GBK" w:eastAsia="方正仿宋_GBK" w:cs="方正仿宋_GBK"/>
          <w:sz w:val="32"/>
          <w:szCs w:val="32"/>
          <w:shd w:val="clear" w:color="auto" w:fill="FFFFFF"/>
        </w:rPr>
        <w:t>万元，较上年决算数减少36711.74万元，下降98.99%，主要原因是本年减少</w:t>
      </w:r>
      <w:r>
        <w:rPr>
          <w:rFonts w:hint="default" w:ascii="方正仿宋_GBK" w:hAnsi="方正仿宋_GBK" w:eastAsia="方正仿宋_GBK" w:cs="方正仿宋_GBK"/>
          <w:sz w:val="32"/>
          <w:szCs w:val="32"/>
        </w:rPr>
        <w:t>2020年城市品质提升基础设施整治工程</w:t>
      </w:r>
      <w:r>
        <w:rPr>
          <w:rFonts w:ascii="方正仿宋_GBK" w:hAnsi="方正仿宋_GBK" w:eastAsia="方正仿宋_GBK" w:cs="方正仿宋_GBK"/>
          <w:sz w:val="32"/>
          <w:szCs w:val="32"/>
        </w:rPr>
        <w:t>、南阳大道地下管廊工程支出。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（六）国有资本经营预算财政拨款支出决算情况说明</w:t>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69.90</w:t>
      </w:r>
      <w:r>
        <w:rPr>
          <w:rFonts w:ascii="方正仿宋_GBK" w:hAnsi="方正仿宋_GBK" w:eastAsia="方正仿宋_GBK" w:cs="方正仿宋_GBK"/>
          <w:sz w:val="32"/>
          <w:szCs w:val="32"/>
          <w:shd w:val="clear" w:color="auto" w:fill="FFFFFF"/>
        </w:rPr>
        <w:t>万元，较年初预算数无增减，主要原因是按财政计划合理支出，</w:t>
      </w:r>
      <w:r>
        <w:rPr>
          <w:rFonts w:ascii="方正仿宋_GBK" w:hAnsi="方正仿宋_GBK" w:eastAsia="方正仿宋_GBK" w:cs="方正仿宋_GBK"/>
          <w:sz w:val="32"/>
          <w:szCs w:val="32"/>
        </w:rPr>
        <w:t>与上年持平。较上年支出数减少10.90万元，下降13.49%，主要原因是按财政预算合理计划支出，压缩开支。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45.00</w:t>
      </w:r>
      <w:r>
        <w:rPr>
          <w:rFonts w:ascii="方正仿宋_GBK" w:hAnsi="方正仿宋_GBK" w:eastAsia="方正仿宋_GBK" w:cs="方正仿宋_GBK"/>
          <w:sz w:val="32"/>
          <w:szCs w:val="32"/>
          <w:shd w:val="clear" w:color="auto" w:fill="FFFFFF"/>
        </w:rPr>
        <w:t>万元，主要</w:t>
      </w:r>
      <w:r>
        <w:rPr>
          <w:rFonts w:eastAsia="方正仿宋_GBK" w:cs="宋体"/>
          <w:sz w:val="32"/>
          <w:shd w:val="clear" w:color="auto" w:fill="FFFFFF"/>
        </w:rPr>
        <w:t>用于日常公务发生的燃料费、维修费、过路过桥、保险费用等。</w:t>
      </w:r>
      <w:r>
        <w:rPr>
          <w:rFonts w:ascii="方正仿宋_GBK" w:hAnsi="方正仿宋_GBK" w:eastAsia="方正仿宋_GBK" w:cs="方正仿宋_GBK"/>
          <w:sz w:val="32"/>
          <w:szCs w:val="32"/>
          <w:shd w:val="clear" w:color="auto" w:fill="FFFFFF"/>
        </w:rPr>
        <w:t>费用支出较年初预算数无增减，主要原因是车辆未增减变动，保持稳定支出，与上年持平。较上年支出数减少8.00万元，下降15.09%，主要原因是</w:t>
      </w:r>
      <w:r>
        <w:rPr>
          <w:rFonts w:eastAsia="方正仿宋_GBK" w:cs="宋体"/>
          <w:sz w:val="32"/>
          <w:shd w:val="clear" w:color="auto" w:fill="FFFFFF"/>
        </w:rPr>
        <w:t>财政预算合理计划支出，压缩开支。</w:t>
      </w:r>
    </w:p>
    <w:p>
      <w:pPr>
        <w:pStyle w:val="6"/>
        <w:snapToGrid w:val="0"/>
        <w:spacing w:before="0" w:beforeAutospacing="0" w:after="0" w:afterAutospacing="0" w:line="600" w:lineRule="exact"/>
        <w:ind w:firstLine="640" w:firstLineChars="200"/>
        <w:jc w:val="both"/>
        <w:rPr>
          <w:rFonts w:hint="default" w:eastAsia="方正仿宋_GBK" w:cs="宋体"/>
          <w:sz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24.90</w:t>
      </w:r>
      <w:r>
        <w:rPr>
          <w:rFonts w:ascii="方正仿宋_GBK" w:hAnsi="方正仿宋_GBK" w:eastAsia="方正仿宋_GBK" w:cs="方正仿宋_GBK"/>
          <w:sz w:val="32"/>
          <w:szCs w:val="32"/>
          <w:shd w:val="clear" w:color="auto" w:fill="FFFFFF"/>
        </w:rPr>
        <w:t>万元，主要</w:t>
      </w:r>
      <w:r>
        <w:rPr>
          <w:rFonts w:eastAsia="方正仿宋_GBK" w:cs="宋体"/>
          <w:sz w:val="32"/>
          <w:shd w:val="clear" w:color="auto" w:fill="FFFFFF"/>
        </w:rPr>
        <w:t>用于接待上级相关单位检查及有关单位业务联系等工作接待。</w:t>
      </w:r>
      <w:r>
        <w:rPr>
          <w:rFonts w:ascii="方正仿宋_GBK" w:hAnsi="方正仿宋_GBK" w:eastAsia="方正仿宋_GBK" w:cs="方正仿宋_GBK"/>
          <w:sz w:val="32"/>
          <w:szCs w:val="32"/>
          <w:shd w:val="clear" w:color="auto" w:fill="FFFFFF"/>
        </w:rPr>
        <w:t>费用支出较年初预算数无增减，主要原因按财政预算合理计划支出，与上年持平</w:t>
      </w:r>
      <w:r>
        <w:rPr>
          <w:rFonts w:eastAsia="方正仿宋_GBK" w:cs="宋体"/>
          <w:sz w:val="32"/>
          <w:shd w:val="clear" w:color="auto" w:fill="FFFFFF"/>
        </w:rPr>
        <w:t>。</w:t>
      </w:r>
      <w:r>
        <w:rPr>
          <w:rFonts w:ascii="方正仿宋_GBK" w:hAnsi="方正仿宋_GBK" w:eastAsia="方正仿宋_GBK" w:cs="方正仿宋_GBK"/>
          <w:sz w:val="32"/>
          <w:szCs w:val="32"/>
          <w:shd w:val="clear" w:color="auto" w:fill="FFFFFF"/>
        </w:rPr>
        <w:t>较上年支出数减少2.90万元，下降10.43%，主要原因是</w:t>
      </w:r>
      <w:r>
        <w:rPr>
          <w:rFonts w:eastAsia="方正仿宋_GBK" w:cs="宋体"/>
          <w:sz w:val="32"/>
          <w:shd w:val="clear" w:color="auto" w:fill="FFFFFF"/>
        </w:rPr>
        <w:t>认真贯彻落实中央八项规定精神，坚持厉行勤俭节约，进一步规范公务接待，严格控制“三公”经费支出。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3909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63.70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4.50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21.40</w:t>
      </w:r>
      <w:r>
        <w:rPr>
          <w:rFonts w:ascii="方正仿宋_GBK" w:hAnsi="方正仿宋_GBK" w:eastAsia="方正仿宋_GBK" w:cs="方正仿宋_GBK"/>
          <w:sz w:val="32"/>
          <w:szCs w:val="32"/>
          <w:shd w:val="clear" w:color="auto" w:fill="FFFFFF"/>
        </w:rPr>
        <w:t>万元，较上年决算数增加20.40万元，增长2040.00%，主要原因是增加建筑产业工业化、数字化、绿色化发展论坛会议费。本年度培训费支出</w:t>
      </w:r>
      <w:r>
        <w:rPr>
          <w:rFonts w:ascii="方正仿宋_GBK" w:hAnsi="方正仿宋_GBK" w:eastAsia="方正仿宋_GBK" w:cs="方正仿宋_GBK"/>
          <w:sz w:val="32"/>
          <w:szCs w:val="32"/>
        </w:rPr>
        <w:t>5.86</w:t>
      </w:r>
      <w:r>
        <w:rPr>
          <w:rFonts w:ascii="方正仿宋_GBK" w:hAnsi="方正仿宋_GBK" w:eastAsia="方正仿宋_GBK" w:cs="方正仿宋_GBK"/>
          <w:sz w:val="32"/>
          <w:szCs w:val="32"/>
          <w:shd w:val="clear" w:color="auto" w:fill="FFFFFF"/>
        </w:rPr>
        <w:t>万元，较上年决算数减少0.86万元，下降12.80%，主要原因是财政压缩资金，合理开支。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116.43</w:t>
      </w:r>
      <w:r>
        <w:rPr>
          <w:rFonts w:ascii="方正仿宋_GBK" w:hAnsi="方正仿宋_GBK" w:eastAsia="方正仿宋_GBK" w:cs="方正仿宋_GBK"/>
          <w:sz w:val="32"/>
          <w:szCs w:val="32"/>
          <w:shd w:val="clear" w:color="auto" w:fill="FFFFFF"/>
        </w:rPr>
        <w:t>万元，机关运行经费主要用于开支办公费、水电费、邮电费、差旅费、维护费、会议费、劳务费、公务用车运行维护费、公务接待等费用。机关运行经费较上年支出数增加62.31万元，增长115.13%，主要原因是</w:t>
      </w:r>
      <w:r>
        <w:rPr>
          <w:rFonts w:eastAsia="方正仿宋_GBK" w:cs="宋体"/>
          <w:sz w:val="32"/>
          <w:shd w:val="clear" w:color="auto" w:fill="FFFFFF"/>
        </w:rPr>
        <w:t>上年度机关运行经费在项目列支，所以本年度机关运行经费支出也相比上年度增加。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134.06</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134.06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134.06万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86.26</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64.34</w:t>
      </w:r>
      <w:r>
        <w:rPr>
          <w:rFonts w:ascii="方正仿宋_GBK" w:hAnsi="方正仿宋_GBK" w:eastAsia="方正仿宋_GBK" w:cs="方正仿宋_GBK"/>
          <w:sz w:val="32"/>
          <w:szCs w:val="32"/>
          <w:shd w:val="clear" w:color="auto" w:fill="FFFFFF"/>
        </w:rPr>
        <w:t xml:space="preserve"> %。主要采购廉租房项目，县城建成区雨污官网维护项目。</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（一）部门自评情况</w:t>
      </w:r>
    </w:p>
    <w:p>
      <w:pPr>
        <w:pStyle w:val="12"/>
        <w:autoSpaceDE w:val="0"/>
        <w:spacing w:before="0" w:beforeAutospacing="0" w:line="600" w:lineRule="exact"/>
        <w:ind w:firstLine="320" w:firstLineChars="1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根据预算绩效管理要求，我委对部门38个二级项目开展了绩效自评，涉及财政拨款项目支出资金19149.57万元。</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rPr>
      </w:pPr>
      <w:r>
        <w:rPr>
          <w:rFonts w:hint="eastAsia" w:ascii="方正仿宋_GBK" w:hAnsi="方正仿宋_GBK" w:eastAsia="方正仿宋_GBK" w:cs="方正仿宋_GBK"/>
          <w:sz w:val="28"/>
          <w:szCs w:val="28"/>
          <w:shd w:val="clear" w:color="auto" w:fill="FFFFFF"/>
        </w:rPr>
        <w:t>部门整体绩效自评表</w:t>
      </w:r>
    </w:p>
    <w:p>
      <w:pPr>
        <w:pStyle w:val="12"/>
        <w:spacing w:before="0" w:beforeAutospacing="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drawing>
          <wp:inline distT="0" distB="0" distL="0" distR="0">
            <wp:extent cx="5546090" cy="5783580"/>
            <wp:effectExtent l="19050" t="0" r="0" b="0"/>
            <wp:docPr id="3" name="图片 2" descr="20240822171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40822171154.jpg"/>
                    <pic:cNvPicPr>
                      <a:picLocks noChangeAspect="1"/>
                    </pic:cNvPicPr>
                  </pic:nvPicPr>
                  <pic:blipFill>
                    <a:blip r:embed="rId7" cstate="print"/>
                    <a:stretch>
                      <a:fillRect/>
                    </a:stretch>
                  </pic:blipFill>
                  <pic:spPr>
                    <a:xfrm>
                      <a:off x="0" y="0"/>
                      <a:ext cx="5550468" cy="5788107"/>
                    </a:xfrm>
                    <a:prstGeom prst="rect">
                      <a:avLst/>
                    </a:prstGeom>
                  </pic:spPr>
                </pic:pic>
              </a:graphicData>
            </a:graphic>
          </wp:inline>
        </w:drawing>
      </w:r>
      <w:r>
        <w:rPr>
          <w:rFonts w:hint="eastAsia" w:ascii="方正仿宋_GBK" w:hAnsi="方正仿宋_GBK" w:eastAsia="方正仿宋_GBK" w:cs="方正仿宋_GBK"/>
          <w:sz w:val="32"/>
          <w:szCs w:val="32"/>
        </w:rPr>
        <w:fldChar w:fldCharType="end"/>
      </w: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我部门对</w:t>
      </w:r>
      <w:r>
        <w:rPr>
          <w:rFonts w:ascii="方正仿宋_GBK" w:hAnsi="方正仿宋_GBK" w:eastAsia="方正仿宋_GBK" w:cs="方正仿宋_GBK"/>
          <w:sz w:val="32"/>
          <w:szCs w:val="32"/>
          <w:shd w:val="clear" w:color="auto" w:fill="FFFFFF"/>
        </w:rPr>
        <w:t>中央财政城镇保障性安居工程（老旧小区改造）</w:t>
      </w:r>
      <w:r>
        <w:rPr>
          <w:rFonts w:hint="eastAsia" w:ascii="方正仿宋_GBK" w:hAnsi="方正仿宋_GBK" w:eastAsia="方正仿宋_GBK" w:cs="方正仿宋_GBK"/>
          <w:sz w:val="32"/>
          <w:szCs w:val="32"/>
          <w:shd w:val="clear" w:color="auto" w:fill="FFFFFF"/>
        </w:rPr>
        <w:t>开展了绩效评价，涉及财政拨款项目资金10868万元，评价得分100分，评价等次为优；</w:t>
      </w:r>
      <w:r>
        <w:rPr>
          <w:rFonts w:ascii="方正仿宋_GBK" w:hAnsi="方正仿宋_GBK" w:eastAsia="方正仿宋_GBK" w:cs="方正仿宋_GBK"/>
          <w:sz w:val="32"/>
          <w:szCs w:val="32"/>
          <w:shd w:val="clear" w:color="auto" w:fill="FFFFFF"/>
        </w:rPr>
        <w:t>中央财政城镇保障性安居工程补助资金</w:t>
      </w:r>
      <w:r>
        <w:rPr>
          <w:rFonts w:hint="eastAsia" w:ascii="方正仿宋_GBK" w:hAnsi="方正仿宋_GBK" w:eastAsia="方正仿宋_GBK" w:cs="方正仿宋_GBK"/>
          <w:sz w:val="32"/>
          <w:szCs w:val="32"/>
          <w:shd w:val="clear" w:color="auto" w:fill="FFFFFF"/>
        </w:rPr>
        <w:t>134万元，评价得分85分，评价等次为良，从评价情况来看，我委项目专项工作均已完成当年计划，完成了年度绩效目标。所有项目的日常管理工作均按照我委相关管理制度执行，建立了工作有计划、实施有方案、日常有监督的管理机制，工作取得了较好的成效，效能得到了提高。下一步还需加大项目绩效目标管理，合理提高资金使用效率。</w:t>
      </w:r>
    </w:p>
    <w:p>
      <w:pPr>
        <w:pStyle w:val="12"/>
        <w:shd w:val="clear" w:color="auto" w:fill="FFFFFF"/>
        <w:autoSpaceDE w:val="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drawing>
          <wp:inline distT="0" distB="0" distL="0" distR="0">
            <wp:extent cx="5676900" cy="5381625"/>
            <wp:effectExtent l="19050" t="0" r="0" b="0"/>
            <wp:docPr id="1" name="图片 2" descr="C:\Users\Administrator\Desktop\20240822112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20240822112745.jpg"/>
                    <pic:cNvPicPr>
                      <a:picLocks noChangeAspect="1" noChangeArrowheads="1"/>
                    </pic:cNvPicPr>
                  </pic:nvPicPr>
                  <pic:blipFill>
                    <a:blip r:embed="rId8" cstate="print"/>
                    <a:srcRect/>
                    <a:stretch>
                      <a:fillRect/>
                    </a:stretch>
                  </pic:blipFill>
                  <pic:spPr>
                    <a:xfrm>
                      <a:off x="0" y="0"/>
                      <a:ext cx="5682233" cy="5386681"/>
                    </a:xfrm>
                    <a:prstGeom prst="rect">
                      <a:avLst/>
                    </a:prstGeom>
                    <a:noFill/>
                    <a:ln w="9525">
                      <a:noFill/>
                      <a:miter lim="800000"/>
                      <a:headEnd/>
                      <a:tailEnd/>
                    </a:ln>
                  </pic:spPr>
                </pic:pic>
              </a:graphicData>
            </a:graphic>
          </wp:inline>
        </w:drawing>
      </w:r>
      <w:r>
        <w:rPr>
          <w:rFonts w:ascii="方正仿宋_GBK" w:hAnsi="方正仿宋_GBK" w:eastAsia="方正仿宋_GBK" w:cs="方正仿宋_GBK"/>
          <w:sz w:val="32"/>
          <w:szCs w:val="32"/>
          <w:shd w:val="clear" w:color="auto" w:fill="FFFFFF"/>
        </w:rPr>
        <w:drawing>
          <wp:inline distT="0" distB="0" distL="0" distR="0">
            <wp:extent cx="5886450" cy="5114925"/>
            <wp:effectExtent l="19050" t="0" r="0" b="0"/>
            <wp:docPr id="2" name="图片 29" descr="20240822172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20240822172444.jpg"/>
                    <pic:cNvPicPr>
                      <a:picLocks noChangeAspect="1"/>
                    </pic:cNvPicPr>
                  </pic:nvPicPr>
                  <pic:blipFill>
                    <a:blip r:embed="rId9" cstate="print"/>
                    <a:stretch>
                      <a:fillRect/>
                    </a:stretch>
                  </pic:blipFill>
                  <pic:spPr>
                    <a:xfrm>
                      <a:off x="0" y="0"/>
                      <a:ext cx="5888990" cy="5117132"/>
                    </a:xfrm>
                    <a:prstGeom prst="rect">
                      <a:avLst/>
                    </a:prstGeom>
                  </pic:spPr>
                </pic:pic>
              </a:graphicData>
            </a:graphic>
          </wp:inline>
        </w:drawing>
      </w:r>
    </w:p>
    <w:p>
      <w:pPr>
        <w:pStyle w:val="12"/>
        <w:spacing w:before="0" w:beforeAutospacing="0"/>
        <w:rPr>
          <w:rFonts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pPr>
        <w:pStyle w:val="12"/>
        <w:shd w:val="clear" w:color="auto" w:fill="FFFFFF"/>
        <w:autoSpaceDE w:val="0"/>
        <w:spacing w:line="594" w:lineRule="exact"/>
        <w:ind w:firstLine="960" w:firstLineChars="3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2"/>
        <w:shd w:val="clear" w:color="auto" w:fill="FFFFFF"/>
        <w:autoSpaceDE w:val="0"/>
        <w:rPr>
          <w:rFonts w:ascii="方正仿宋_GBK" w:hAnsi="方正仿宋_GBK" w:eastAsia="方正仿宋_GBK" w:cs="方正仿宋_GBK"/>
          <w:sz w:val="32"/>
          <w:szCs w:val="32"/>
          <w:shd w:val="clear" w:color="auto" w:fill="FFFFFF"/>
        </w:rPr>
      </w:pPr>
    </w:p>
    <w:p>
      <w:pPr>
        <w:pStyle w:val="12"/>
        <w:shd w:val="clear" w:color="auto" w:fill="FFFFFF"/>
        <w:autoSpaceDE w:val="0"/>
        <w:spacing w:line="594" w:lineRule="exact"/>
        <w:ind w:firstLine="640" w:firstLineChars="200"/>
        <w:rPr>
          <w:rFonts w:ascii="方正仿宋_GBK" w:hAnsi="方正仿宋_GBK" w:eastAsia="方正仿宋_GBK" w:cs="方正仿宋_GBK"/>
          <w:sz w:val="32"/>
          <w:szCs w:val="32"/>
          <w:shd w:val="clear" w:color="auto" w:fill="FFFFFF"/>
        </w:rPr>
      </w:pPr>
    </w:p>
    <w:p>
      <w:pPr>
        <w:pStyle w:val="12"/>
        <w:shd w:val="clear" w:color="auto" w:fill="FFFFFF"/>
        <w:autoSpaceDE w:val="0"/>
        <w:spacing w:line="594" w:lineRule="exact"/>
        <w:rPr>
          <w:rFonts w:ascii="方正仿宋_GBK" w:hAnsi="方正仿宋_GBK" w:eastAsia="方正仿宋_GBK" w:cs="方正仿宋_GBK"/>
          <w:sz w:val="32"/>
          <w:szCs w:val="32"/>
          <w:shd w:val="clear" w:color="auto" w:fill="FFFFFF"/>
        </w:rPr>
      </w:pPr>
    </w:p>
    <w:p>
      <w:pPr>
        <w:pStyle w:val="14"/>
        <w:autoSpaceDE w:val="0"/>
        <w:ind w:firstLine="964" w:firstLineChars="3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adjustRightInd w:val="0"/>
        <w:snapToGrid w:val="0"/>
        <w:spacing w:line="360" w:lineRule="auto"/>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委托第三方对我下属单位垫江县排水服务中心开展垫江县2022年污泥运输及处理费资金441.00万元，其中：垫江县2022年污泥运输及处理费项目专项资金300.00万元、重庆市2021年远郊区县城市生活污水处理厂污泥无害化处理补助资金141万元项目进行了绩效评价，涉及财政拨款项目资金441.00万元，评价得分93分，评价等次为优，绩效评价发现了绩效目标的产出数量指标设置不合理、乡镇污泥运输与处置未端监管责任不到位。提出了加强绩效目标管理，提升项目管理水平。</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shd w:val="clear" w:color="auto" w:fill="FFFFFF"/>
        <w:autoSpaceDE w:val="0"/>
        <w:spacing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本单位决算公开信息反馈和联系方式：联系电话023-74513038</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公开部门：垫江县住房和城乡建设委员会</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20,974.32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373.98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213.00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341.61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87.19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6,480.04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13,529.31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21,561.30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21,630.36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65.29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5.66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21,636.01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21,636.01 </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公开部门：垫江县住房和城乡建设委员会</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21,561.30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21,348.30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213.00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341.61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341.61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339.26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339.26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64.72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64.72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6,410.98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6,197.98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213.00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6,037.00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5,824.00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213.00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324.50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324.50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71.04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71.04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5,641.45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5,428.45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213.00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污水处理费安排的支出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污水处理设施建设和运营</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13,529.31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13,529.31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13,422.76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13,422.76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廉租住房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公共租赁住房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保障性住房租金补贴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1,845.00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1,845.00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 xml:space="preserve">垫江县住房和城乡建设委员会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21,630.36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2,480.79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19,149.57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341.61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339.64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339.26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339.26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67.21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87.19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11.66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75.53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64.72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64.72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6,480.04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1,953.21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4,526.82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6,106.05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1,953.21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4,152.84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344.50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90.67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5,670.87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1,608.71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4,062.17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85.14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147.84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污水处理费安排的支出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污水处理设施建设和运营</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1,185.92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13,529.31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13,422.76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廉租住房</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98.60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75.00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公共租赁住房</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17.05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保障性住房租金补贴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11,387.00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1,845.00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106.55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106.55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20,974.32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373.98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87.19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6,237.98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5,864.00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373.98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1,185.92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13,529.31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13,529.31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21,348.30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21,388.30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21,014.32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373.98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40.00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21,388.30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21,388.30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21,014.32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373.98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21,014.32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2,480.79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18,533.53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0.44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5.86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341.61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339.64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0.17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339.26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339.26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141.54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141.54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67.21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130.51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伤残抚恤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0.38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退役安置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其他退役安置支出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87.19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75.53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11.66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11.66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75.53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75.53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10.81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64.72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64.72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1,953.21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3,910.79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5,864.00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1,953.21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3,910.79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344.50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344.50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71.04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71.04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其他城乡社区管理事务支出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5,448.45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1,608.71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3,839.75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1,185.92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1,185.92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13,529.31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106.55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13,422.76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13,422.76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13,422.76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廉租住房</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98.60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98.60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棚户区改造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75.00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公共租赁住房</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17.05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保障性住房租金补贴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0.11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老旧小区改造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11,387.00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11,387.00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保障性租赁住房</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1,845.00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1,845.00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106.55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106.55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106.55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106.55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1,991.33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392.18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35.45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60.14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109.19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940.82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141.54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67.21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106.55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14.64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81.36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24.90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114.38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25.73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7.53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9.83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46.83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2,126.95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353.83 </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373.98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373.98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373.98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城乡社区支出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373.98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373.98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373.98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21208</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85.14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2120899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85.14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21213</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147.84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2121399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其他城市基础设施配套费安排的支出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147.84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21214</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污水处理费安排的支出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141.00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2121401</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污水处理设施建设和运营</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141.00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141.00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备注：1.本表反映部门本年度政府性基金预算财政拨款收入支出及结转和结余情况。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垫江县住房和城乡建设委员会</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116.43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69.90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69.90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116.43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45.00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45.00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45.00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24.90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24.90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24.90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134.06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3,909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134.06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134.06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86.26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21.40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5.86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27 -</w:t>
                </w:r>
                <w:r>
                  <w:rPr>
                    <w:rFonts w:hint="default"/>
                  </w:rP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356AD"/>
    <w:rsid w:val="0013173C"/>
    <w:rsid w:val="00134FE8"/>
    <w:rsid w:val="00220139"/>
    <w:rsid w:val="00222974"/>
    <w:rsid w:val="003356AD"/>
    <w:rsid w:val="003D7273"/>
    <w:rsid w:val="00541C25"/>
    <w:rsid w:val="006904AB"/>
    <w:rsid w:val="007062A2"/>
    <w:rsid w:val="008B1B4E"/>
    <w:rsid w:val="009A33CA"/>
    <w:rsid w:val="00A5411D"/>
    <w:rsid w:val="00A94EDE"/>
    <w:rsid w:val="00B25EFB"/>
    <w:rsid w:val="00D8242A"/>
    <w:rsid w:val="00E73222"/>
    <w:rsid w:val="00ED445D"/>
    <w:rsid w:val="6D777D69"/>
    <w:rsid w:val="6EBF5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3032</Words>
  <Characters>17284</Characters>
  <Lines>144</Lines>
  <Paragraphs>40</Paragraphs>
  <TotalTime>6</TotalTime>
  <ScaleCrop>false</ScaleCrop>
  <LinksUpToDate>false</LinksUpToDate>
  <CharactersWithSpaces>20276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2024-08-22T22:36:00Z</dcterms:created>
  <dc:creator>Administrator</dc:creator>
  <cp:lastModifiedBy>Administrator</cp:lastModifiedBy>
  <dcterms:modified xsi:type="dcterms:W3CDTF">2024-09-18T07:16:28Z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BB46EABDBB2749749395447164B066B3_12</vt:lpwstr>
  </property>
</Properties>
</file>