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垫江县城市管理</w:t>
      </w:r>
      <w:bookmarkStart w:id="1" w:name="_GoBack"/>
      <w:bookmarkEnd w:id="1"/>
      <w:r>
        <w:rPr>
          <w:rFonts w:ascii="方正小标宋_GBK" w:hAnsi="方正小标宋_GBK" w:eastAsia="方正小标宋_GBK" w:cs="方正小标宋_GBK"/>
          <w:sz w:val="36"/>
          <w:szCs w:val="36"/>
        </w:rPr>
        <w:t>局</w:t>
      </w:r>
      <w:r>
        <w:rPr>
          <w:rFonts w:ascii="方正小标宋_GBK" w:hAnsi="方正小标宋_GBK" w:eastAsia="方正小标宋_GBK" w:cs="方正小标宋_GBK"/>
          <w:sz w:val="36"/>
          <w:szCs w:val="36"/>
          <w:shd w:val="clear" w:color="auto" w:fill="FFFFFF"/>
        </w:rPr>
        <w:t>2023年度</w:t>
      </w:r>
      <w:r>
        <w:rPr>
          <w:rFonts w:hint="eastAsia" w:ascii="方正小标宋_GBK" w:hAnsi="方正小标宋_GBK" w:eastAsia="方正小标宋_GBK" w:cs="方正小标宋_GBK"/>
          <w:sz w:val="36"/>
          <w:szCs w:val="36"/>
          <w:shd w:val="clear" w:color="auto" w:fill="FFFFFF"/>
          <w:lang w:eastAsia="zh-CN"/>
        </w:rPr>
        <w:t>部门</w:t>
      </w:r>
      <w:r>
        <w:rPr>
          <w:rFonts w:ascii="方正小标宋_GBK" w:hAnsi="方正小标宋_GBK" w:eastAsia="方正小标宋_GBK" w:cs="方正小标宋_GBK"/>
          <w:sz w:val="36"/>
          <w:szCs w:val="36"/>
          <w:shd w:val="clear" w:color="auto" w:fill="FFFFFF"/>
        </w:rPr>
        <w:t>决算公开说明</w:t>
      </w:r>
    </w:p>
    <w:p>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一、单位基本情况</w:t>
      </w:r>
    </w:p>
    <w:p>
      <w:pPr>
        <w:pStyle w:val="13"/>
        <w:spacing w:before="0" w:beforeAutospacing="0" w:after="0" w:afterAutospacing="0" w:line="600"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rPr>
        <w:t>垫江县城市管理局是县政府工作单位，为正科级，不再保留垫江县城市管理综合行政执法局牌子。</w:t>
      </w:r>
    </w:p>
    <w:p>
      <w:pPr>
        <w:pStyle w:val="7"/>
        <w:shd w:val="clear" w:color="auto" w:fill="FFFFFF"/>
        <w:rPr>
          <w:rStyle w:val="11"/>
          <w:rFonts w:hint="default" w:ascii="楷体" w:hAnsi="楷体" w:eastAsia="楷体" w:cs="楷体"/>
          <w:sz w:val="32"/>
          <w:szCs w:val="32"/>
          <w:shd w:val="clear" w:color="auto" w:fill="FFFFFF"/>
        </w:rPr>
      </w:pPr>
      <w:r>
        <w:rPr>
          <w:rStyle w:val="11"/>
          <w:rFonts w:ascii="楷体" w:hAnsi="楷体" w:eastAsia="楷体" w:cs="楷体"/>
          <w:sz w:val="32"/>
          <w:szCs w:val="32"/>
          <w:shd w:val="clear" w:color="auto" w:fill="FFFFFF"/>
        </w:rPr>
        <w:t xml:space="preserve">   （一）职能职责</w:t>
      </w:r>
    </w:p>
    <w:p>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 贯彻执行有关市政公用设施运行管理、市容环境卫生管理、园林绿化管理、城市管理执法等城市管理的法律、法规、规章和方针政策；负责拟定城市管理发展战略、规划、计划并组织实施。</w:t>
      </w:r>
    </w:p>
    <w:p>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2. 负责城市管理基础设施维护工程技术方案的审查；负责城市管理工作的组织协调、监督检查和考核评价。</w:t>
      </w:r>
    </w:p>
    <w:p>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3. 负责城市道路、桥梁、隧道等设施的维护管理；负责城市公共道路照明、公共景观照明等城市照明设施的建设、维护和管理；负责乡镇市政设施维护管理的指导；指导社会单位市政设施维护管理工作。</w:t>
      </w:r>
    </w:p>
    <w:p>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4. 负责指导和监督停车楼场规划及管理工作。</w:t>
      </w:r>
    </w:p>
    <w:p>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5. 负责城市环境卫生管理；负责城市水域环境卫生管理；负责城市生活垃圾处置费征收管理和城市环境卫生设施管理；指导乡镇(街道)环境卫生管理工作。</w:t>
      </w:r>
    </w:p>
    <w:p>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6. 牵头组织开展县城区市容环境综合整治；指导乡镇(街道)市容环境综合整治工作。</w:t>
      </w:r>
    </w:p>
    <w:p>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7. 负责城市户外广告、店招店牌设置管理工作。</w:t>
      </w:r>
    </w:p>
    <w:p>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8. 负责城市生活垃圾、城市建筑垃圾、城市水域垃圾等处置的监督管理；负责城市生活垃圾经营性服务的监督。</w:t>
      </w:r>
    </w:p>
    <w:p>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9. 负责农村生活垃圾治理的业务指导和监督管理。</w:t>
      </w:r>
    </w:p>
    <w:p>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10. 组织编制县级绿地系统规划并组织实施，会同有关单位负责城市绿线的划定和监督管理工作；指导乡镇绿地系统规划编制和实施工作、绿线划定工作；依法负责建设项目绿化工程设计方案管理工作。</w:t>
      </w:r>
    </w:p>
    <w:p>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11. 负责城市园林绿化管理；组织开展城市义务植树活动；负责城市古树名木保护管理；指导监督城市公园应急避难场所的规划、建设、管理工作。</w:t>
      </w:r>
    </w:p>
    <w:p>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12. 负责园林绿化行业市场管理；指导监督园林绿化工程招标、定额、质量管理。</w:t>
      </w:r>
    </w:p>
    <w:p>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13. 负责授权范围内的城市管理综合行政执法工作；负责委托并指导乡镇(街道)城市管理综合行政执法工作。</w:t>
      </w:r>
    </w:p>
    <w:p>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14. 负责城市管理行业安全生产工作的监督、管理和指导；负责城市管理行业应急管理、应对处置的组织、协调和指导。</w:t>
      </w:r>
    </w:p>
    <w:p>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15. 负责城市管理的数字化、智慧化建设与运行的监管；负责城市管理的科学研究和教育工作；开展城市管理综合行政执法行业人员培训。</w:t>
      </w:r>
    </w:p>
    <w:p>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16. 负责对乡镇(街道)的城市管理工作进行考核和评价。</w:t>
      </w:r>
    </w:p>
    <w:p>
      <w:pPr>
        <w:pStyle w:val="7"/>
        <w:shd w:val="clear" w:color="auto" w:fill="FFFFFF"/>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17. 完成县政府交办的其他事项。</w:t>
      </w:r>
    </w:p>
    <w:p>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pPr>
        <w:spacing w:line="600" w:lineRule="exact"/>
        <w:ind w:firstLine="627" w:firstLineChars="196"/>
        <w:rPr>
          <w:rFonts w:hint="default" w:ascii="仿宋_GB2312" w:eastAsia="仿宋_GB2312" w:cs="仿宋_GB2312"/>
          <w:sz w:val="32"/>
          <w:szCs w:val="32"/>
        </w:rPr>
      </w:pPr>
      <w:r>
        <w:rPr>
          <w:rFonts w:hint="default" w:ascii="仿宋_GB2312" w:eastAsia="仿宋_GB2312" w:cs="仿宋_GB2312"/>
          <w:sz w:val="32"/>
          <w:szCs w:val="32"/>
        </w:rPr>
        <w:t>根据上述职责，垫江县城市管理局(垫江县城市管理综合行政执法局)设7个内设机构，分别是：办公室、财务科、城市综合管理科（数字化城市管理中心）、行政许可服务科（法规科）、市容环卫科、市政设施科、园林绿化科。下属三个二级预算单位，分别是垫江县城市管理综合行政执法支队、垫江县市政服务中心、垫江县园林绿化发展中心。</w:t>
      </w:r>
    </w:p>
    <w:p>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 xml:space="preserve">    二、部门决算情况说明</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pPr>
        <w:pStyle w:val="7"/>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2023年度收入总计18849.78万元，支出总计</w:t>
      </w:r>
      <w:r>
        <w:rPr>
          <w:rFonts w:ascii="方正仿宋_GBK" w:hAnsi="方正仿宋_GBK" w:eastAsia="方正仿宋_GBK" w:cs="方正仿宋_GBK"/>
          <w:sz w:val="32"/>
          <w:szCs w:val="32"/>
        </w:rPr>
        <w:t>18849.78</w:t>
      </w:r>
      <w:r>
        <w:rPr>
          <w:rFonts w:ascii="方正仿宋_GBK" w:hAnsi="方正仿宋_GBK" w:eastAsia="方正仿宋_GBK" w:cs="方正仿宋_GBK"/>
          <w:sz w:val="32"/>
          <w:szCs w:val="32"/>
          <w:shd w:val="clear" w:color="auto" w:fill="FFFFFF"/>
        </w:rPr>
        <w:t>万元。收支较上年决算数增加736.97万元，增长4.07%，主要原因是市政中心相比上年增加生活垃圾处置费1609.71万元。</w:t>
      </w:r>
    </w:p>
    <w:p>
      <w:pPr>
        <w:pStyle w:val="7"/>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2023年度收入合计18810.27万元，较上年决算数增加1505.72万元，增长8.70%，主要原因是</w:t>
      </w:r>
      <w:bookmarkStart w:id="0" w:name="OLE_LINK11"/>
      <w:r>
        <w:rPr>
          <w:rFonts w:ascii="Times New Roman" w:hAnsi="Times New Roman" w:eastAsia="方正仿宋_GBK"/>
          <w:sz w:val="32"/>
          <w:szCs w:val="32"/>
        </w:rPr>
        <w:t>市政中心相比上年增加生活垃圾处置费1609.71万元</w:t>
      </w:r>
      <w:bookmarkEnd w:id="0"/>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18810.27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39.51</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18846.38</w:t>
      </w:r>
      <w:r>
        <w:rPr>
          <w:rFonts w:ascii="方正仿宋_GBK" w:hAnsi="方正仿宋_GBK" w:eastAsia="方正仿宋_GBK" w:cs="方正仿宋_GBK"/>
          <w:sz w:val="32"/>
          <w:szCs w:val="32"/>
          <w:shd w:val="clear" w:color="auto" w:fill="FFFFFF"/>
        </w:rPr>
        <w:t>万元，较上年决算数增加773.09万元，增长4.28%，主要原因是本年局机关支出污染治理和节能减碳专项资金1135万元。其中：基本支出3433.88万元，占18.22%；项目支出15412.50万元，占81.78%；经营支出0.00万元，占0.00%。此外，结余分配0.00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3.40</w:t>
      </w:r>
      <w:r>
        <w:rPr>
          <w:rFonts w:ascii="方正仿宋_GBK" w:hAnsi="方正仿宋_GBK" w:eastAsia="方正仿宋_GBK" w:cs="方正仿宋_GBK"/>
          <w:sz w:val="32"/>
          <w:szCs w:val="32"/>
          <w:shd w:val="clear" w:color="auto" w:fill="FFFFFF"/>
        </w:rPr>
        <w:t>万元，较上年决算数减少36.11万元，下降91.39%，主要原因是</w:t>
      </w:r>
      <w:r>
        <w:rPr>
          <w:rFonts w:ascii="方正仿宋_GBK" w:hAnsi="方正仿宋_GBK" w:eastAsia="方正仿宋_GBK" w:cs="方正仿宋_GBK"/>
          <w:sz w:val="32"/>
          <w:szCs w:val="32"/>
        </w:rPr>
        <w:t>本年使用上年结转垃圾分类债券资金31.94万元和市政零星工程项目3.78万元</w:t>
      </w:r>
      <w:r>
        <w:rPr>
          <w:rFonts w:ascii="方正仿宋_GBK" w:hAnsi="方正仿宋_GBK" w:eastAsia="方正仿宋_GBK" w:cs="方正仿宋_GBK"/>
          <w:sz w:val="32"/>
          <w:szCs w:val="32"/>
          <w:shd w:val="clear" w:color="auto" w:fill="FFFFFF"/>
        </w:rPr>
        <w:t>。</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2023年度财政拨款收、支总计18849.78万元。与2022年相比，财政拨款收、支总计各增加736.97万元，增长4.07%。主要原因是本年市政中心相比上年增加生活垃圾处置费1609.71万元。</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6090.70</w:t>
      </w:r>
      <w:r>
        <w:rPr>
          <w:rFonts w:ascii="方正仿宋_GBK" w:hAnsi="方正仿宋_GBK" w:eastAsia="方正仿宋_GBK" w:cs="方正仿宋_GBK"/>
          <w:sz w:val="32"/>
          <w:szCs w:val="32"/>
          <w:shd w:val="clear" w:color="auto" w:fill="FFFFFF"/>
        </w:rPr>
        <w:t>万元，较上年决算数增加120.88万元，增长2.02%。主要原因是本年一般公共预算财政拨款购买服务人员经费补差项目收入增加。较年初预算数增加1657.79万元，增长37.40%。主要原因是本年追加污染治理节能减碳专项建设资金1135万元和</w:t>
      </w:r>
      <w:r>
        <w:rPr>
          <w:rFonts w:ascii="方正仿宋_GBK" w:hAnsi="方正仿宋_GBK" w:eastAsia="方正仿宋_GBK" w:cs="方正仿宋_GBK"/>
          <w:sz w:val="32"/>
          <w:szCs w:val="32"/>
        </w:rPr>
        <w:t>防护网债券资金330万元</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7.18</w:t>
      </w:r>
      <w:r>
        <w:rPr>
          <w:rFonts w:ascii="方正仿宋_GBK" w:hAnsi="方正仿宋_GBK" w:eastAsia="方正仿宋_GBK" w:cs="方正仿宋_GBK"/>
          <w:sz w:val="32"/>
          <w:szCs w:val="32"/>
          <w:shd w:val="clear" w:color="auto" w:fill="FFFFFF"/>
        </w:rPr>
        <w:t>万元。</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6094.48</w:t>
      </w:r>
      <w:r>
        <w:rPr>
          <w:rFonts w:ascii="方正仿宋_GBK" w:hAnsi="方正仿宋_GBK" w:eastAsia="方正仿宋_GBK" w:cs="方正仿宋_GBK"/>
          <w:sz w:val="32"/>
          <w:szCs w:val="32"/>
          <w:shd w:val="clear" w:color="auto" w:fill="FFFFFF"/>
        </w:rPr>
        <w:t>万元，较上年决算数减少245.90万元，下降3.88%。主要原因是本年</w:t>
      </w:r>
      <w:r>
        <w:rPr>
          <w:rFonts w:ascii="方正仿宋_GBK" w:hAnsi="方正仿宋_GBK" w:eastAsia="方正仿宋_GBK" w:cs="方正仿宋_GBK"/>
          <w:sz w:val="32"/>
          <w:szCs w:val="32"/>
        </w:rPr>
        <w:t>污染治理和节能减碳专项中央基建投资项目较去年减少865万元</w:t>
      </w:r>
      <w:r>
        <w:rPr>
          <w:rFonts w:ascii="方正仿宋_GBK" w:hAnsi="方正仿宋_GBK" w:eastAsia="方正仿宋_GBK" w:cs="方正仿宋_GBK"/>
          <w:sz w:val="32"/>
          <w:szCs w:val="32"/>
          <w:shd w:val="clear" w:color="auto" w:fill="FFFFFF"/>
        </w:rPr>
        <w:t>。较年初预算数增加1661.57万元，增长37.48%。主要原因是本年追加污染治理节能减碳专项建设资金1135万元和</w:t>
      </w:r>
      <w:r>
        <w:rPr>
          <w:rFonts w:ascii="方正仿宋_GBK" w:hAnsi="方正仿宋_GBK" w:eastAsia="方正仿宋_GBK" w:cs="方正仿宋_GBK"/>
          <w:sz w:val="32"/>
          <w:szCs w:val="32"/>
        </w:rPr>
        <w:t>防护网债券资金480万元</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3.40</w:t>
      </w:r>
      <w:r>
        <w:rPr>
          <w:rFonts w:ascii="方正仿宋_GBK" w:hAnsi="方正仿宋_GBK" w:eastAsia="方正仿宋_GBK" w:cs="方正仿宋_GBK"/>
          <w:sz w:val="32"/>
          <w:szCs w:val="32"/>
          <w:shd w:val="clear" w:color="auto" w:fill="FFFFFF"/>
        </w:rPr>
        <w:t>万元，较上年决算数减少3.78万元，下降52.65%，主要原因是本年支出上年结转</w:t>
      </w:r>
      <w:r>
        <w:rPr>
          <w:rFonts w:ascii="方正仿宋_GBK" w:hAnsi="方正仿宋_GBK" w:eastAsia="方正仿宋_GBK" w:cs="方正仿宋_GBK"/>
          <w:sz w:val="32"/>
          <w:szCs w:val="32"/>
        </w:rPr>
        <w:t>市政零星工程项目3.78万元</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4.63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0.08</w:t>
      </w:r>
      <w:r>
        <w:rPr>
          <w:rFonts w:ascii="方正仿宋_GBK" w:hAnsi="方正仿宋_GBK" w:eastAsia="方正仿宋_GBK" w:cs="方正仿宋_GBK"/>
          <w:sz w:val="32"/>
          <w:szCs w:val="32"/>
          <w:shd w:val="clear" w:color="auto" w:fill="FFFFFF"/>
        </w:rPr>
        <w:t>%，较年初预算数无增减，主要原因是严格控制培训次数和培训费开支。</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414.51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6.80</w:t>
      </w:r>
      <w:r>
        <w:rPr>
          <w:rFonts w:ascii="方正仿宋_GBK" w:hAnsi="方正仿宋_GBK" w:eastAsia="方正仿宋_GBK" w:cs="方正仿宋_GBK"/>
          <w:sz w:val="32"/>
          <w:szCs w:val="32"/>
          <w:shd w:val="clear" w:color="auto" w:fill="FFFFFF"/>
        </w:rPr>
        <w:t>%，较年初预算数增加24.41万元，增长6.26%，主要原因是人员变动，人员增加。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132.70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2.18</w:t>
      </w:r>
      <w:r>
        <w:rPr>
          <w:rFonts w:ascii="方正仿宋_GBK" w:hAnsi="方正仿宋_GBK" w:eastAsia="方正仿宋_GBK" w:cs="方正仿宋_GBK"/>
          <w:sz w:val="32"/>
          <w:szCs w:val="32"/>
          <w:shd w:val="clear" w:color="auto" w:fill="FFFFFF"/>
        </w:rPr>
        <w:t>%，较年初预算数增加48.83万元，增长58.22%，主要原因是人员变动，人员增加。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（4）节能环保支出</w:t>
      </w:r>
      <w:r>
        <w:rPr>
          <w:rFonts w:ascii="方正仿宋_GBK" w:hAnsi="方正仿宋_GBK" w:eastAsia="方正仿宋_GBK" w:cs="方正仿宋_GBK"/>
          <w:sz w:val="32"/>
          <w:szCs w:val="32"/>
        </w:rPr>
        <w:t>1172.28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19.24</w:t>
      </w:r>
      <w:r>
        <w:rPr>
          <w:rFonts w:ascii="方正仿宋_GBK" w:hAnsi="方正仿宋_GBK" w:eastAsia="方正仿宋_GBK" w:cs="方正仿宋_GBK"/>
          <w:sz w:val="32"/>
          <w:szCs w:val="32"/>
          <w:shd w:val="clear" w:color="auto" w:fill="FFFFFF"/>
        </w:rPr>
        <w:t>%，较年初预算数增加1052.23万元，增长876.49%，主要原因是本年追加</w:t>
      </w:r>
      <w:r>
        <w:rPr>
          <w:rFonts w:ascii="方正仿宋_GBK" w:hAnsi="方正仿宋_GBK" w:eastAsia="方正仿宋_GBK" w:cs="方正仿宋_GBK"/>
          <w:sz w:val="32"/>
          <w:szCs w:val="32"/>
        </w:rPr>
        <w:t>污染治理和节能减碳专项中央基建投资项目1135万元</w:t>
      </w:r>
      <w:r>
        <w:rPr>
          <w:rFonts w:ascii="方正仿宋_GBK" w:hAnsi="方正仿宋_GBK" w:eastAsia="方正仿宋_GBK" w:cs="方正仿宋_GBK"/>
          <w:sz w:val="32"/>
          <w:szCs w:val="32"/>
          <w:shd w:val="clear" w:color="auto" w:fill="FFFFFF"/>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（5）城乡社区支出</w:t>
      </w:r>
      <w:r>
        <w:rPr>
          <w:rFonts w:ascii="方正仿宋_GBK" w:hAnsi="方正仿宋_GBK" w:eastAsia="方正仿宋_GBK" w:cs="方正仿宋_GBK"/>
          <w:sz w:val="32"/>
          <w:szCs w:val="32"/>
        </w:rPr>
        <w:t>4170.09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68.42</w:t>
      </w:r>
      <w:r>
        <w:rPr>
          <w:rFonts w:ascii="方正仿宋_GBK" w:hAnsi="方正仿宋_GBK" w:eastAsia="方正仿宋_GBK" w:cs="方正仿宋_GBK"/>
          <w:sz w:val="32"/>
          <w:szCs w:val="32"/>
          <w:shd w:val="clear" w:color="auto" w:fill="FFFFFF"/>
        </w:rPr>
        <w:t>%，较年初预算数增加743.27万元，增长21.69%，主要原因是本年追加垫江县建成区建筑物外立面和防护网整治项目480万元。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（6）农林水支出</w:t>
      </w:r>
      <w:r>
        <w:rPr>
          <w:rFonts w:ascii="方正仿宋_GBK" w:hAnsi="方正仿宋_GBK" w:eastAsia="方正仿宋_GBK" w:cs="方正仿宋_GBK"/>
          <w:sz w:val="32"/>
          <w:szCs w:val="32"/>
        </w:rPr>
        <w:t>47.20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0.77</w:t>
      </w:r>
      <w:r>
        <w:rPr>
          <w:rFonts w:ascii="方正仿宋_GBK" w:hAnsi="方正仿宋_GBK" w:eastAsia="方正仿宋_GBK" w:cs="方正仿宋_GBK"/>
          <w:sz w:val="32"/>
          <w:szCs w:val="32"/>
          <w:shd w:val="clear" w:color="auto" w:fill="FFFFFF"/>
        </w:rPr>
        <w:t>%，较年初预算数减少231.80万元，下降83.08%，主要原因是农村生活垃圾治理经费划拨给乡镇补助资金作调减指标处理。</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w:t>
      </w:r>
      <w:r>
        <w:rPr>
          <w:rFonts w:ascii="方正仿宋_GBK" w:hAnsi="方正仿宋_GBK" w:eastAsia="方正仿宋_GBK" w:cs="方正仿宋_GBK"/>
          <w:sz w:val="32"/>
          <w:szCs w:val="32"/>
        </w:rPr>
        <w:t>住房保障支出153.08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2.51</w:t>
      </w:r>
      <w:r>
        <w:rPr>
          <w:rFonts w:ascii="方正仿宋_GBK" w:hAnsi="方正仿宋_GBK" w:eastAsia="方正仿宋_GBK" w:cs="方正仿宋_GBK"/>
          <w:sz w:val="32"/>
          <w:szCs w:val="32"/>
          <w:shd w:val="clear" w:color="auto" w:fill="FFFFFF"/>
        </w:rPr>
        <w:t>%，较年初预算数增加24.65万元，增长19.19%，主要原因是人员变动，人员增加。</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3433.88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2538.19</w:t>
      </w:r>
      <w:r>
        <w:rPr>
          <w:rFonts w:ascii="方正仿宋_GBK" w:hAnsi="方正仿宋_GBK" w:eastAsia="方正仿宋_GBK" w:cs="方正仿宋_GBK"/>
          <w:sz w:val="32"/>
          <w:szCs w:val="32"/>
          <w:shd w:val="clear" w:color="auto" w:fill="FFFFFF"/>
        </w:rPr>
        <w:t>万元，较上年决算数增加155.49万元，增长6.53%，主要原因是人员增加支出增加。人员经费用途主要包括基本工资、津贴补贴、奖金、住房公积金、社会保障缴费、购买服务人员工资福利支出及社保统筹等。公用经费</w:t>
      </w:r>
      <w:r>
        <w:rPr>
          <w:rFonts w:ascii="方正仿宋_GBK" w:hAnsi="方正仿宋_GBK" w:eastAsia="方正仿宋_GBK" w:cs="方正仿宋_GBK"/>
          <w:sz w:val="32"/>
          <w:szCs w:val="32"/>
        </w:rPr>
        <w:t>895.69</w:t>
      </w:r>
      <w:r>
        <w:rPr>
          <w:rFonts w:ascii="方正仿宋_GBK" w:hAnsi="方正仿宋_GBK" w:eastAsia="方正仿宋_GBK" w:cs="方正仿宋_GBK"/>
          <w:sz w:val="32"/>
          <w:szCs w:val="32"/>
          <w:shd w:val="clear" w:color="auto" w:fill="FFFFFF"/>
        </w:rPr>
        <w:t>万元，较上年决算数增加381.35万元，增长74.14%，主要原因是城管支队购买服务人员工资作为劳务费支出。公用经费用途主要包括办公费、印刷费、差旅费、接待费、培训费及公务用车运行维护费。</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32.34</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12719.56</w:t>
      </w:r>
      <w:r>
        <w:rPr>
          <w:rFonts w:ascii="方正仿宋_GBK" w:hAnsi="方正仿宋_GBK" w:eastAsia="方正仿宋_GBK" w:cs="方正仿宋_GBK"/>
          <w:sz w:val="32"/>
          <w:szCs w:val="32"/>
          <w:shd w:val="clear" w:color="auto" w:fill="FFFFFF"/>
        </w:rPr>
        <w:t>万元，较上年决算数增加1384.83万元，增长12.22%，主要原因是市政中心相比上年增加生活垃圾处置费1609.71万元。本年支出</w:t>
      </w:r>
      <w:r>
        <w:rPr>
          <w:rFonts w:ascii="方正仿宋_GBK" w:hAnsi="方正仿宋_GBK" w:eastAsia="方正仿宋_GBK" w:cs="方正仿宋_GBK"/>
          <w:sz w:val="32"/>
          <w:szCs w:val="32"/>
        </w:rPr>
        <w:t>12751.90</w:t>
      </w:r>
      <w:r>
        <w:rPr>
          <w:rFonts w:ascii="方正仿宋_GBK" w:hAnsi="方正仿宋_GBK" w:eastAsia="方正仿宋_GBK" w:cs="方正仿宋_GBK"/>
          <w:sz w:val="32"/>
          <w:szCs w:val="32"/>
          <w:shd w:val="clear" w:color="auto" w:fill="FFFFFF"/>
        </w:rPr>
        <w:t>万元，较上年决算数增加1018.98万元，增长8.68%，主要原因是市政中心相比上年增加生活垃圾处置费1609.71万元。</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本部门2023年度无国有资本经营预算财政拨款支出。</w:t>
      </w:r>
    </w:p>
    <w:p>
      <w:pPr>
        <w:pStyle w:val="7"/>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三、“三公”经费情况说明</w:t>
      </w:r>
    </w:p>
    <w:p>
      <w:pPr>
        <w:pStyle w:val="12"/>
        <w:autoSpaceDE w:val="0"/>
        <w:ind w:firstLine="0" w:firstLineChars="0"/>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63.85</w:t>
      </w:r>
      <w:r>
        <w:rPr>
          <w:rFonts w:ascii="方正仿宋_GBK" w:hAnsi="方正仿宋_GBK" w:eastAsia="方正仿宋_GBK" w:cs="方正仿宋_GBK"/>
          <w:sz w:val="32"/>
          <w:szCs w:val="32"/>
          <w:shd w:val="clear" w:color="auto" w:fill="FFFFFF"/>
        </w:rPr>
        <w:t>万元，较年初预算数减少126.65万元，下降66.48%，主要原因是认真贯彻落实中央八项规定精神，按照只减不增的要求从严控制“三公”经费。较上年支出数减少137.98万元，下降68.36%，主要原因是认真贯彻落实中央八项规定精神，按照只减不增的要求从严控制“三公”经费。</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46.13</w:t>
      </w:r>
      <w:r>
        <w:rPr>
          <w:rFonts w:ascii="方正仿宋_GBK" w:hAnsi="方正仿宋_GBK" w:eastAsia="方正仿宋_GBK" w:cs="方正仿宋_GBK"/>
          <w:sz w:val="32"/>
          <w:szCs w:val="32"/>
          <w:shd w:val="clear" w:color="auto" w:fill="FFFFFF"/>
        </w:rPr>
        <w:t>万元，主要用于机要文件交换、市内因公出行、财政业务检查、环卫作业、执法巡逻等工作所需车辆的燃料费、维修费、过桥过路费、保险费。费用支出较年初预算数减少126.87万元，下降73.34%，主要原因是市政中心实有车辆31辆，其中21量车辆为环卫专用车辆，由于职能变动，车辆暂由市政服务公司使用，涉及运行费用由公司承担。较上年支出数减少139.58万元，下降75.16%，主要原因是市政中心实有车辆31辆，其中21量车辆为环卫专用车辆，由于职能变动，车辆暂由市政服务公司使用，涉及运行费用由公司承担。</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17.72</w:t>
      </w:r>
      <w:r>
        <w:rPr>
          <w:rFonts w:ascii="方正仿宋_GBK" w:hAnsi="方正仿宋_GBK" w:eastAsia="方正仿宋_GBK" w:cs="方正仿宋_GBK"/>
          <w:sz w:val="32"/>
          <w:szCs w:val="32"/>
          <w:shd w:val="clear" w:color="auto" w:fill="FFFFFF"/>
        </w:rPr>
        <w:t>万元，主要用于接待其他单位到我单位学习调研城管工作，接受相关单位检查指导工作发生的接待支出。费用支出较年初预算数增加0.22万元，增长1.26%，主要原因是市级检查工作增加,与同级单位工作往来联系增加,接待次数和人数增加导致公务接待费增加。较上年支出数增加1.60万元，增长9.93%，主要原因是市级检查工作增加,与同级单位工作往来联系增加,接待次数和人数增加导致公务接待费增加。</w:t>
      </w:r>
    </w:p>
    <w:p>
      <w:pPr>
        <w:pStyle w:val="12"/>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52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218</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1654</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107.12</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0.89</w:t>
      </w:r>
      <w:r>
        <w:rPr>
          <w:rFonts w:ascii="方正仿宋_GBK" w:hAnsi="方正仿宋_GBK" w:eastAsia="方正仿宋_GBK" w:cs="方正仿宋_GBK"/>
          <w:sz w:val="32"/>
          <w:szCs w:val="32"/>
          <w:shd w:val="clear" w:color="auto" w:fill="FFFFFF"/>
        </w:rPr>
        <w:t>万元。</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12"/>
        <w:autoSpaceDE w:val="0"/>
        <w:ind w:firstLine="0" w:firstLineChars="0"/>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（一）财政拨款会议费和培训费情况说明</w:t>
      </w:r>
    </w:p>
    <w:p>
      <w:pPr>
        <w:pStyle w:val="12"/>
        <w:autoSpaceDE w:val="0"/>
        <w:ind w:firstLine="0" w:firstLineChars="0"/>
        <w:rPr>
          <w:rFonts w:ascii="方正仿宋_GBK" w:hAnsi="方正仿宋_GBK" w:eastAsia="方正仿宋_GBK" w:cs="方正仿宋_GBK"/>
          <w:sz w:val="32"/>
          <w:szCs w:val="32"/>
        </w:rPr>
      </w:pPr>
      <w:r>
        <w:rPr>
          <w:rFonts w:hint="eastAsia" w:ascii="楷体" w:hAnsi="楷体" w:eastAsia="楷体" w:cs="楷体"/>
          <w:b/>
          <w:bCs/>
          <w:sz w:val="32"/>
          <w:szCs w:val="32"/>
          <w:shd w:val="clear" w:color="auto" w:fill="FFFFFF"/>
          <w:lang w:bidi="ar"/>
        </w:rPr>
        <w:t xml:space="preserve">    </w:t>
      </w: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万元，较上年决算数减少0.04万元，下降100.00%，主要原因是</w:t>
      </w:r>
      <w:r>
        <w:rPr>
          <w:rFonts w:hint="eastAsia" w:ascii="方正仿宋_GBK" w:hAnsi="方正仿宋_GBK" w:eastAsia="方正仿宋_GBK" w:cs="方正仿宋_GBK"/>
          <w:sz w:val="32"/>
          <w:szCs w:val="32"/>
        </w:rPr>
        <w:t>本年无会务工作安排</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10.44</w:t>
      </w:r>
      <w:r>
        <w:rPr>
          <w:rFonts w:ascii="方正仿宋_GBK" w:hAnsi="方正仿宋_GBK" w:eastAsia="方正仿宋_GBK" w:cs="方正仿宋_GBK"/>
          <w:sz w:val="32"/>
          <w:szCs w:val="32"/>
          <w:shd w:val="clear" w:color="auto" w:fill="FFFFFF"/>
        </w:rPr>
        <w:t>万元，较上年决算数增加1.89万元，增长22.11%，主要原因是</w:t>
      </w:r>
      <w:r>
        <w:rPr>
          <w:rFonts w:hint="eastAsia" w:ascii="方正仿宋_GBK" w:hAnsi="方正仿宋_GBK" w:eastAsia="方正仿宋_GBK" w:cs="方正仿宋_GBK"/>
          <w:sz w:val="32"/>
          <w:szCs w:val="32"/>
        </w:rPr>
        <w:t>培训次数增加</w:t>
      </w:r>
      <w:r>
        <w:rPr>
          <w:rFonts w:ascii="方正仿宋_GBK" w:hAnsi="方正仿宋_GBK" w:eastAsia="方正仿宋_GBK" w:cs="方正仿宋_GBK"/>
          <w:sz w:val="32"/>
          <w:szCs w:val="32"/>
          <w:shd w:val="clear" w:color="auto" w:fill="FFFFFF"/>
        </w:rPr>
        <w:t>。</w:t>
      </w:r>
    </w:p>
    <w:p>
      <w:pPr>
        <w:pStyle w:val="12"/>
        <w:autoSpaceDE w:val="0"/>
        <w:ind w:firstLine="0" w:firstLineChars="0"/>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（二）机关运行经费情况说明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561.58</w:t>
      </w:r>
      <w:r>
        <w:rPr>
          <w:rFonts w:ascii="方正仿宋_GBK" w:hAnsi="方正仿宋_GBK" w:eastAsia="方正仿宋_GBK" w:cs="方正仿宋_GBK"/>
          <w:sz w:val="32"/>
          <w:szCs w:val="32"/>
          <w:shd w:val="clear" w:color="auto" w:fill="FFFFFF"/>
        </w:rPr>
        <w:t>万元，机关运行经费主要用于开支办公费、公务车运行维护费、接待费、差旅费、培训费、邮电费、误餐费、劳务费。机关运行经费较上年支出数增加389.79万元，增长226.90%，主要原因是城管支队购买服务人员工资作为劳务费支出。</w:t>
      </w:r>
    </w:p>
    <w:p>
      <w:pPr>
        <w:pStyle w:val="12"/>
        <w:autoSpaceDE w:val="0"/>
        <w:ind w:firstLine="0" w:firstLineChars="0"/>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截至2023年12月31日，本部门共有车辆</w:t>
      </w:r>
      <w:r>
        <w:rPr>
          <w:rFonts w:ascii="方正仿宋_GBK" w:hAnsi="方正仿宋_GBK" w:eastAsia="方正仿宋_GBK" w:cs="方正仿宋_GBK"/>
          <w:sz w:val="32"/>
          <w:szCs w:val="32"/>
        </w:rPr>
        <w:t>52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18</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34</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ind w:firstLine="0" w:firstLineChars="0"/>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2023年度本部门政府采购支出总额</w:t>
      </w:r>
      <w:r>
        <w:rPr>
          <w:rFonts w:ascii="方正仿宋_GBK" w:hAnsi="方正仿宋_GBK" w:eastAsia="方正仿宋_GBK" w:cs="方正仿宋_GBK"/>
          <w:sz w:val="32"/>
          <w:szCs w:val="32"/>
        </w:rPr>
        <w:t>141.72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73.43</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68.29</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141.72万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141.72</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%。主要用于采购市政中心维修维护服务。</w:t>
      </w:r>
    </w:p>
    <w:p>
      <w:pPr>
        <w:pStyle w:val="7"/>
        <w:numPr>
          <w:ilvl w:val="0"/>
          <w:numId w:val="1"/>
        </w:numPr>
        <w:shd w:val="clear" w:color="auto" w:fill="FFFFFF"/>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预算绩效管理情况说明</w:t>
      </w:r>
    </w:p>
    <w:p>
      <w:pPr>
        <w:pStyle w:val="12"/>
        <w:autoSpaceDE w:val="0"/>
        <w:ind w:firstLine="0" w:firstLineChars="0"/>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（一）部门自评情况</w:t>
      </w:r>
    </w:p>
    <w:p>
      <w:pPr>
        <w:pStyle w:val="7"/>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ascii="方正仿宋_GBK" w:hAnsi="方正仿宋_GBK" w:eastAsia="方正仿宋_GBK" w:cs="方正仿宋_GBK"/>
          <w:sz w:val="32"/>
          <w:szCs w:val="32"/>
          <w:shd w:val="clear" w:color="auto" w:fill="FFFFFF"/>
          <w:lang w:bidi="ar"/>
        </w:rPr>
        <w:t>根据预算绩效管理要求，我部门对部门整体和30个二级项目开展了绩效自评，涉及财政拨款项目支出资金15376.78万元。</w:t>
      </w:r>
      <w:r>
        <w:rPr>
          <w:rFonts w:ascii="Times New Roman" w:hAnsi="Times New Roman" w:eastAsia="方正仿宋_GBK"/>
          <w:sz w:val="32"/>
          <w:szCs w:val="32"/>
        </w:rPr>
        <w:t>通过年度预算支出，完成如下工作目标：建城区194万平米绿地大范围的枯枝杂草清除24次，大面积草坪绿篱修剪整形12次，补植补栽绿地苗木10万株，病虫害防治12次，苗圃扦插繁植育苗20万株，落实7-8月抗旱保苗、秋冬行道树修剪整形工作。生活垃圾无害化处理率100%，生活垃圾回收利用率35%以上，市政设施完好率98%，功能照明日常亮灯率98%,数字化城市管理问题处置结案率97%.规范市场环境，取消占道经营，改善城市秩序，杜绝十乱行为（乱扔乱牵乱挂乱占乱吐乱停等），对违章占道行为予以制止。</w:t>
      </w:r>
    </w:p>
    <w:p>
      <w:pPr>
        <w:pStyle w:val="13"/>
        <w:autoSpaceDE w:val="0"/>
        <w:spacing w:before="0" w:beforeAutospacing="0" w:line="600" w:lineRule="exact"/>
        <w:ind w:firstLine="640"/>
        <w:rPr>
          <w:rFonts w:ascii="方正仿宋_GBK" w:hAnsi="方正仿宋_GBK" w:eastAsia="方正仿宋_GBK" w:cs="方正仿宋_GBK"/>
          <w:sz w:val="32"/>
          <w:szCs w:val="32"/>
          <w:shd w:val="clear" w:color="auto" w:fill="FFFFFF"/>
          <w:lang w:bidi="ar"/>
        </w:rPr>
      </w:pPr>
    </w:p>
    <w:p>
      <w:pPr>
        <w:pStyle w:val="13"/>
        <w:spacing w:before="0" w:beforeAutospacing="0"/>
      </w:pPr>
      <w:r>
        <w:drawing>
          <wp:inline distT="0" distB="0" distL="114300" distR="114300">
            <wp:extent cx="5272405" cy="4070985"/>
            <wp:effectExtent l="0" t="0" r="4445" b="57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5272405" cy="4070985"/>
                    </a:xfrm>
                    <a:prstGeom prst="rect">
                      <a:avLst/>
                    </a:prstGeom>
                    <a:noFill/>
                    <a:ln w="9525">
                      <a:noFill/>
                    </a:ln>
                  </pic:spPr>
                </pic:pic>
              </a:graphicData>
            </a:graphic>
          </wp:inline>
        </w:drawing>
      </w:r>
    </w:p>
    <w:p>
      <w:pPr>
        <w:pStyle w:val="13"/>
        <w:spacing w:before="0" w:beforeAutospacing="0"/>
      </w:pPr>
      <w:r>
        <w:drawing>
          <wp:inline distT="0" distB="0" distL="114300" distR="114300">
            <wp:extent cx="5272405" cy="4196080"/>
            <wp:effectExtent l="0" t="0" r="4445"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272405" cy="4196080"/>
                    </a:xfrm>
                    <a:prstGeom prst="rect">
                      <a:avLst/>
                    </a:prstGeom>
                    <a:noFill/>
                    <a:ln w="9525">
                      <a:noFill/>
                    </a:ln>
                  </pic:spPr>
                </pic:pic>
              </a:graphicData>
            </a:graphic>
          </wp:inline>
        </w:drawing>
      </w:r>
    </w:p>
    <w:p>
      <w:pPr>
        <w:pStyle w:val="12"/>
        <w:autoSpaceDE w:val="0"/>
        <w:ind w:firstLine="0" w:firstLineChars="0"/>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（二）部门绩效评价情况</w:t>
      </w:r>
    </w:p>
    <w:p>
      <w:pPr>
        <w:pStyle w:val="15"/>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我部门未组织开展绩效评价。</w:t>
      </w:r>
    </w:p>
    <w:p>
      <w:pPr>
        <w:pStyle w:val="12"/>
        <w:autoSpaceDE w:val="0"/>
        <w:ind w:firstLine="0" w:firstLineChars="0"/>
      </w:pPr>
      <w:r>
        <w:rPr>
          <w:rFonts w:hint="eastAsia" w:ascii="楷体" w:hAnsi="楷体" w:eastAsia="楷体" w:cs="楷体"/>
          <w:b/>
          <w:bCs/>
          <w:sz w:val="32"/>
          <w:szCs w:val="32"/>
          <w:shd w:val="clear" w:color="auto" w:fill="FFFFFF"/>
          <w:lang w:bidi="ar"/>
        </w:rPr>
        <w:t xml:space="preserve">  （三）财政绩效评价情况</w:t>
      </w:r>
    </w:p>
    <w:p>
      <w:pPr>
        <w:pStyle w:val="15"/>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委托第三方对我部门垫江县2022年农村生活垃圾及城区餐厨垃圾收运服务费项目开展了绩效评价，涉及财政拨款项目资金1,821.00万元，评价得分94分，评价等次为优，绩效评价发现了预算编制不科学、不合理，导致目标任务难以完成等主要问题，提出加强绩效目标及具体绩效指标编制的科学性及合理性，使预算编制更加科学及合理。提高预算绩效管理工作水平。</w:t>
      </w:r>
    </w:p>
    <w:p>
      <w:pPr>
        <w:pStyle w:val="15"/>
        <w:autoSpaceDE w:val="0"/>
        <w:ind w:firstLine="643"/>
        <w:rPr>
          <w:rStyle w:val="11"/>
          <w:rFonts w:ascii="方正仿宋_GBK" w:hAnsi="方正仿宋_GBK" w:eastAsia="方正仿宋_GBK" w:cs="方正仿宋_GBK"/>
          <w:sz w:val="32"/>
          <w:szCs w:val="32"/>
          <w:shd w:val="clear" w:color="auto" w:fill="FFFFFF"/>
        </w:rPr>
      </w:pPr>
      <w:r>
        <w:rPr>
          <w:rStyle w:val="11"/>
          <w:rFonts w:hint="eastAsia" w:ascii="方正仿宋_GBK" w:hAnsi="方正仿宋_GBK" w:eastAsia="方正仿宋_GBK" w:cs="方正仿宋_GBK"/>
          <w:sz w:val="32"/>
          <w:szCs w:val="32"/>
          <w:shd w:val="clear" w:color="auto" w:fill="FFFFFF"/>
        </w:rPr>
        <w:t xml:space="preserve">  </w:t>
      </w:r>
      <w:r>
        <w:rPr>
          <w:rStyle w:val="11"/>
          <w:rFonts w:hint="eastAsia" w:ascii="黑体" w:hAnsi="黑体" w:eastAsia="黑体" w:cs="黑体"/>
          <w:sz w:val="32"/>
          <w:szCs w:val="32"/>
          <w:shd w:val="clear" w:color="auto" w:fill="FFFFFF"/>
        </w:rPr>
        <w:t>六、专业名词解释</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 </w:t>
      </w: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七、决算公开联系方式及信息反馈渠道</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本单位决算公开信息反馈和联系方式：023-74513007。</w:t>
      </w:r>
    </w:p>
    <w:p>
      <w:pPr>
        <w:pStyle w:val="12"/>
        <w:autoSpaceDE w:val="0"/>
        <w:ind w:firstLine="0" w:firstLineChars="0"/>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8"/>
        <w:tblW w:w="22292" w:type="dxa"/>
        <w:tblInd w:w="0" w:type="dxa"/>
        <w:tblLayout w:type="fixed"/>
        <w:tblCellMar>
          <w:top w:w="0" w:type="dxa"/>
          <w:left w:w="0" w:type="dxa"/>
          <w:bottom w:w="0" w:type="dxa"/>
          <w:right w:w="0" w:type="dxa"/>
        </w:tblCellMar>
      </w:tblPr>
      <w:tblGrid>
        <w:gridCol w:w="6581"/>
        <w:gridCol w:w="4358"/>
        <w:gridCol w:w="7536"/>
        <w:gridCol w:w="3817"/>
      </w:tblGrid>
      <w:tr>
        <w:tblPrEx>
          <w:tblLayout w:type="fixed"/>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收入支出决算总表</w:t>
            </w:r>
          </w:p>
        </w:tc>
      </w:tr>
      <w:tr>
        <w:tblPrEx>
          <w:tblLayout w:type="fixed"/>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4358"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381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rPr>
            </w:pPr>
            <w:r>
              <w:rPr>
                <w:rFonts w:cs="宋体"/>
                <w:lang w:bidi="ar"/>
              </w:rPr>
              <w:t>公开01表</w:t>
            </w:r>
          </w:p>
        </w:tc>
      </w:tr>
      <w:tr>
        <w:tblPrEx>
          <w:tblLayout w:type="fixed"/>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tcMar>
              <w:top w:w="15" w:type="dxa"/>
              <w:left w:w="15" w:type="dxa"/>
              <w:right w:w="15" w:type="dxa"/>
            </w:tcMar>
            <w:vAlign w:val="bottom"/>
          </w:tcPr>
          <w:p>
            <w:pPr>
              <w:textAlignment w:val="bottom"/>
              <w:rPr>
                <w:rFonts w:hint="default" w:cs="宋体"/>
              </w:rPr>
            </w:pPr>
            <w:r>
              <w:rPr>
                <w:rFonts w:cs="宋体"/>
              </w:rPr>
              <w:t>公开部门：垫江县城市管理局</w:t>
            </w:r>
          </w:p>
        </w:tc>
        <w:tc>
          <w:tcPr>
            <w:tcW w:w="4358"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cs="Arial"/>
                <w:sz w:val="22"/>
                <w:szCs w:val="22"/>
              </w:rPr>
            </w:pPr>
          </w:p>
        </w:tc>
        <w:tc>
          <w:tcPr>
            <w:tcW w:w="75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3817"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Layout w:type="fixed"/>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支出</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w:t>
            </w:r>
          </w:p>
        </w:tc>
        <w:tc>
          <w:tcPr>
            <w:tcW w:w="4358"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rPr>
              <w:t>功能分类科目</w:t>
            </w:r>
          </w:p>
        </w:tc>
        <w:tc>
          <w:tcPr>
            <w:tcW w:w="381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6,090.70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12,719.56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4.63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八、其他收入</w:t>
            </w:r>
          </w:p>
        </w:tc>
        <w:tc>
          <w:tcPr>
            <w:tcW w:w="43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414.51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132.70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1,172.28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16,870.05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67.20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153.08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31.94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18,810.27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18,846.38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结余分配</w:t>
            </w:r>
          </w:p>
        </w:tc>
        <w:tc>
          <w:tcPr>
            <w:tcW w:w="3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39.51 </w:t>
            </w:r>
          </w:p>
        </w:tc>
        <w:tc>
          <w:tcPr>
            <w:tcW w:w="7536"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3.40 </w:t>
            </w:r>
          </w:p>
        </w:tc>
      </w:tr>
      <w:tr>
        <w:tblPrEx>
          <w:tblLayout w:type="fixed"/>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18,849.78 </w:t>
            </w:r>
          </w:p>
        </w:tc>
        <w:tc>
          <w:tcPr>
            <w:tcW w:w="7536" w:type="dxa"/>
            <w:tcBorders>
              <w:top w:val="nil"/>
              <w:left w:val="nil"/>
              <w:bottom w:val="single" w:color="000000" w:sz="4" w:space="0"/>
              <w:right w:val="single" w:color="auto"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jc w:val="right"/>
              <w:textAlignment w:val="center"/>
              <w:rPr>
                <w:rFonts w:hint="default" w:cs="宋体"/>
                <w:sz w:val="20"/>
                <w:szCs w:val="20"/>
              </w:rPr>
            </w:pPr>
            <w:r>
              <w:rPr>
                <w:rFonts w:cs="宋体"/>
                <w:sz w:val="21"/>
                <w:szCs w:val="21"/>
                <w:lang w:bidi="ar"/>
              </w:rPr>
              <w:t xml:space="preserve">18,849.78 </w:t>
            </w:r>
          </w:p>
        </w:tc>
      </w:tr>
    </w:tbl>
    <w:p>
      <w:pPr>
        <w:rPr>
          <w:rFonts w:hint="default" w:cs="宋体"/>
          <w:sz w:val="21"/>
          <w:szCs w:val="21"/>
          <w:lang w:bidi="ar"/>
        </w:rPr>
      </w:pPr>
      <w:r>
        <w:rPr>
          <w:rFonts w:cs="宋体"/>
          <w:sz w:val="21"/>
          <w:szCs w:val="21"/>
          <w:lang w:bidi="ar"/>
        </w:rPr>
        <w:t>备注：1.本表反映部门本年度的总收支和年末结转结余情况。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8"/>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tblPrEx>
          <w:tblLayout w:type="fixed"/>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收入决算表</w:t>
            </w:r>
          </w:p>
        </w:tc>
      </w:tr>
      <w:tr>
        <w:tblPrEx>
          <w:tblLayout w:type="fixed"/>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sz w:val="22"/>
                <w:szCs w:val="22"/>
              </w:rPr>
            </w:pPr>
            <w:r>
              <w:rPr>
                <w:rFonts w:cs="宋体"/>
              </w:rPr>
              <w:t>公开部门：垫江县城市管理局</w:t>
            </w:r>
          </w:p>
        </w:tc>
        <w:tc>
          <w:tcPr>
            <w:tcW w:w="241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239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23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rPr>
            </w:pPr>
            <w:r>
              <w:rPr>
                <w:rFonts w:cs="宋体"/>
                <w:lang w:bidi="ar"/>
              </w:rPr>
              <w:t>公开02表</w:t>
            </w:r>
          </w:p>
        </w:tc>
      </w:tr>
      <w:tr>
        <w:tblPrEx>
          <w:tblLayout w:type="fixed"/>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241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239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196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23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Layout w:type="fixed"/>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其他收入</w:t>
            </w:r>
          </w:p>
        </w:tc>
      </w:tr>
      <w:tr>
        <w:tblPrEx>
          <w:tblLayout w:type="fixed"/>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Layout w:type="fixed"/>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Layout w:type="fixed"/>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Layout w:type="fixed"/>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3317"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Layout w:type="fixed"/>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24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18,810.27 </w:t>
            </w:r>
          </w:p>
        </w:tc>
        <w:tc>
          <w:tcPr>
            <w:tcW w:w="23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18,810.27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4.63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4.63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20508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4.63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4.63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2050803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4.63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4.63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414.51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414.51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392.82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392.82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157.55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157.55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2080506</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78.77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78.77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156.50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156.50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2080801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死亡抚恤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4.64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4.64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退役安置</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2080999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其他退役安置支出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16.80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16.80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132.70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132.70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2100410</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102.70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102.70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2101101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35.53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35.53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2101102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67.17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67.17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节能环保支出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1,172.28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1,172.28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污染防治</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1,172.28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1,172.28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2110304</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固体废弃物与化学品</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1,172.28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1,172.28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16,865.87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16,865.87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3,603.31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3,603.31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2120101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1,187.38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1,187.38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2120199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其他城乡社区管理事务支出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2,415.92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2,415.92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城乡社区公共设施</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2120399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其他城乡社区公共设施支出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21208</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8,645.54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8,645.54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2120899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其他国有土地使用权出让收入安排的支出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8,645.54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8,645.54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城市基础设施配套费安排的支出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4,054.02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4,054.02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2121301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城市公共设施</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988.11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988.11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2121302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城市环境卫生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2,390.51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2,390.51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2121399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其他城市基础设施配套费安排的支出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675.39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675.39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480.00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480.00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2129999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其他城乡社区支出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480.00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480.00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农林水支出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67.20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67.20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21305</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hint="eastAsia" w:cs="宋体"/>
                <w:b/>
                <w:sz w:val="21"/>
                <w:szCs w:val="21"/>
                <w:lang w:eastAsia="zh-CN" w:bidi="ar"/>
              </w:rPr>
              <w:t>巩固拓展脱贫攻坚成果</w:t>
            </w:r>
            <w:r>
              <w:rPr>
                <w:rFonts w:cs="宋体"/>
                <w:b/>
                <w:sz w:val="21"/>
                <w:szCs w:val="21"/>
                <w:lang w:bidi="ar"/>
              </w:rPr>
              <w:t>衔接乡村振兴</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47.20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47.20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2130599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w:t>
            </w:r>
            <w:r>
              <w:rPr>
                <w:rFonts w:hint="eastAsia" w:cs="宋体"/>
                <w:sz w:val="21"/>
                <w:szCs w:val="21"/>
                <w:lang w:eastAsia="zh-CN" w:bidi="ar"/>
              </w:rPr>
              <w:t>巩固拓展脱贫攻坚成果</w:t>
            </w:r>
            <w:r>
              <w:rPr>
                <w:rFonts w:cs="宋体"/>
                <w:sz w:val="21"/>
                <w:szCs w:val="21"/>
                <w:lang w:bidi="ar"/>
              </w:rPr>
              <w:t>衔接乡村振兴支出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47.20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47.20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21367</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三峡水库库区基金支出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2136799</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其他三峡水库库区基金支出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153.08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153.08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22102</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153.08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153.08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2210201</w:t>
            </w:r>
          </w:p>
        </w:tc>
        <w:tc>
          <w:tcPr>
            <w:tcW w:w="33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153.08 </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153.08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bl>
    <w:p>
      <w:pPr>
        <w:ind w:left="630" w:hanging="630" w:hangingChars="300"/>
        <w:rPr>
          <w:rFonts w:hint="default" w:cs="宋体"/>
          <w:sz w:val="21"/>
          <w:szCs w:val="21"/>
          <w:lang w:bidi="ar"/>
        </w:rPr>
      </w:pPr>
      <w:r>
        <w:rPr>
          <w:rFonts w:cs="宋体"/>
          <w:sz w:val="21"/>
          <w:szCs w:val="21"/>
          <w:lang w:bidi="ar"/>
        </w:rPr>
        <w:t>备注：1.本表反映部门本年度取得的各项收入情况。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pPr>
        <w:rPr>
          <w:rFonts w:hint="default" w:cs="宋体"/>
          <w:sz w:val="21"/>
          <w:szCs w:val="21"/>
          <w:lang w:bidi="ar"/>
        </w:rPr>
      </w:pPr>
      <w:r>
        <w:rPr>
          <w:rFonts w:cs="宋体"/>
          <w:sz w:val="21"/>
          <w:szCs w:val="21"/>
          <w:lang w:bidi="ar"/>
        </w:rPr>
        <w:br w:type="page"/>
      </w:r>
    </w:p>
    <w:p>
      <w:pPr>
        <w:ind w:left="630" w:hanging="630" w:hangingChars="300"/>
        <w:rPr>
          <w:rFonts w:hint="default" w:cs="宋体"/>
          <w:sz w:val="21"/>
          <w:szCs w:val="21"/>
          <w:lang w:bidi="ar"/>
        </w:rPr>
      </w:pPr>
    </w:p>
    <w:tbl>
      <w:tblPr>
        <w:tblStyle w:val="8"/>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tblPrEx>
          <w:tblLayout w:type="fixed"/>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支出决算表</w:t>
            </w:r>
          </w:p>
        </w:tc>
      </w:tr>
      <w:tr>
        <w:tblPrEx>
          <w:tblLayout w:type="fixed"/>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lang w:bidi="ar"/>
              </w:rPr>
              <w:t xml:space="preserve">： </w:t>
            </w:r>
            <w:r>
              <w:t xml:space="preserve">垫江县城市管理局 </w:t>
            </w: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277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rPr>
            </w:pPr>
            <w:r>
              <w:rPr>
                <w:rFonts w:cs="宋体"/>
                <w:lang w:bidi="ar"/>
              </w:rPr>
              <w:t>公开03表</w:t>
            </w:r>
          </w:p>
        </w:tc>
      </w:tr>
      <w:tr>
        <w:tblPrEx>
          <w:tblLayout w:type="fixed"/>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276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277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Layout w:type="fixed"/>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对附属单位补助支出</w:t>
            </w:r>
          </w:p>
        </w:tc>
      </w:tr>
      <w:tr>
        <w:tblPrEx>
          <w:tblLayout w:type="fixed"/>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Layout w:type="fixed"/>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Layout w:type="fixed"/>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Layout w:type="fixed"/>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3528" w:type="dxa"/>
            <w:vMerge w:val="continue"/>
            <w:tcBorders>
              <w:top w:val="nil"/>
              <w:left w:val="nil"/>
              <w:bottom w:val="single" w:color="000000" w:sz="4" w:space="0"/>
              <w:right w:val="nil"/>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Layout w:type="fixed"/>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18,846.38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3,433.88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15,412.50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20508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2050803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414.51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397.46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17.05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0.25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0.25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392.82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392.82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157.55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157.55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2080506</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78.77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78.77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156.50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156.50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2080801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死亡抚恤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4.64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退役安置</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2080999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其他退役安置支出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16.80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132.70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102.70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2100410</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102.70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102.70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2101101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35.53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35.53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2101102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67.17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67.17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节能环保支出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1,172.28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1,172.28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污染防治</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1,172.28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1,172.28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2110304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固体废弃物与化学品</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1,172.28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1,172.28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16,870.05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2,776.01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14,094.04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3,603.31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2,776.01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827.30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2120101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1,187.38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1,187.38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2120199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其他城乡社区管理事务支出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2,415.92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1,588.63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827.30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城乡社区公共设施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86.78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86.78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2120399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其他城乡社区公共设施支出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86.78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86.78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21208</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8,645.54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8,645.54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2120899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其他国有土地使用权出让收入安排的支出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8,645.54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8,645.54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城市基础设施配套费安排的支出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4,054.42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4,054.42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2121301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城市公共设施</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988.11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988.11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2121302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城市环境卫生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2,390.51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2,390.51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2121399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其他城市基础设施配套费安排的支出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675.79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675.79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480.00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480.00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2129999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其他城乡社区支出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480.00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480.00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农林水支出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67.20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67.20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21305</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hint="eastAsia" w:cs="宋体"/>
                <w:b/>
                <w:sz w:val="21"/>
                <w:szCs w:val="21"/>
                <w:lang w:eastAsia="zh-CN" w:bidi="ar"/>
              </w:rPr>
              <w:t>巩固拓展脱贫攻坚成果</w:t>
            </w:r>
            <w:r>
              <w:rPr>
                <w:rFonts w:cs="宋体"/>
                <w:b/>
                <w:sz w:val="21"/>
                <w:szCs w:val="21"/>
                <w:lang w:bidi="ar"/>
              </w:rPr>
              <w:t>衔接乡村振兴</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47.20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47.20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2130599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w:t>
            </w:r>
            <w:r>
              <w:rPr>
                <w:rFonts w:hint="eastAsia" w:cs="宋体"/>
                <w:sz w:val="21"/>
                <w:szCs w:val="21"/>
                <w:lang w:eastAsia="zh-CN" w:bidi="ar"/>
              </w:rPr>
              <w:t>巩固拓展脱贫攻坚成果</w:t>
            </w:r>
            <w:r>
              <w:rPr>
                <w:rFonts w:cs="宋体"/>
                <w:sz w:val="21"/>
                <w:szCs w:val="21"/>
                <w:lang w:bidi="ar"/>
              </w:rPr>
              <w:t>衔接乡村振兴支出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47.20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47.20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21367</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三峡水库库区基金支出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2136799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其他三峡水库库区基金支出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20.00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153.08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153.08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153.08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153.08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2210201</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153.08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153.08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229</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31.94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31.94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22904</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其他政府性基金及对应专项债务收入安排的支出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31.94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b/>
                <w:sz w:val="21"/>
                <w:szCs w:val="21"/>
                <w:lang w:bidi="ar"/>
              </w:rPr>
              <w:t xml:space="preserve">31.94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2290402</w:t>
            </w:r>
          </w:p>
        </w:tc>
        <w:tc>
          <w:tcPr>
            <w:tcW w:w="35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其他地方自行试点项目收益专项债券收入安排的支出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31.94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31.94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18"/>
                <w:szCs w:val="18"/>
              </w:rPr>
            </w:pPr>
            <w:r>
              <w:rPr>
                <w:rFonts w:cs="宋体"/>
                <w:sz w:val="21"/>
                <w:szCs w:val="21"/>
                <w:lang w:bidi="ar"/>
              </w:rPr>
              <w:t xml:space="preserve"> </w:t>
            </w:r>
          </w:p>
        </w:tc>
      </w:tr>
    </w:tbl>
    <w:p>
      <w:pPr>
        <w:rPr>
          <w:rFonts w:hint="default" w:cs="宋体"/>
          <w:sz w:val="21"/>
          <w:szCs w:val="21"/>
        </w:rPr>
      </w:pPr>
      <w:r>
        <w:rPr>
          <w:rFonts w:cs="宋体"/>
          <w:sz w:val="21"/>
          <w:szCs w:val="21"/>
          <w:lang w:bidi="ar"/>
        </w:rPr>
        <w:t>备注：1.本表反映部门本年度各项支出情况。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r>
        <w:rPr>
          <w:rFonts w:cs="宋体"/>
          <w:sz w:val="21"/>
          <w:szCs w:val="21"/>
          <w:lang w:bidi="ar"/>
        </w:rPr>
        <w:br w:type="page"/>
      </w:r>
    </w:p>
    <w:p>
      <w:pPr>
        <w:rPr>
          <w:rFonts w:hint="default" w:cs="宋体"/>
          <w:sz w:val="21"/>
          <w:szCs w:val="21"/>
          <w:lang w:bidi="ar"/>
        </w:rPr>
      </w:pPr>
    </w:p>
    <w:tbl>
      <w:tblPr>
        <w:tblStyle w:val="8"/>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tblPrEx>
          <w:tblLayout w:type="fixed"/>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财政拨款收入支出决算总表</w:t>
            </w:r>
          </w:p>
        </w:tc>
      </w:tr>
      <w:tr>
        <w:tblPrEx>
          <w:tblLayout w:type="fixed"/>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lang w:bidi="ar"/>
              </w:rPr>
              <w:t xml:space="preserve">： </w:t>
            </w:r>
            <w:r>
              <w:t>垫江县城市管理局</w:t>
            </w:r>
          </w:p>
        </w:tc>
        <w:tc>
          <w:tcPr>
            <w:tcW w:w="37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301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rPr>
            </w:pPr>
            <w:r>
              <w:rPr>
                <w:rFonts w:cs="宋体"/>
                <w:lang w:bidi="ar"/>
              </w:rPr>
              <w:t>公开04表</w:t>
            </w:r>
          </w:p>
        </w:tc>
      </w:tr>
      <w:tr>
        <w:tblPrEx>
          <w:tblLayout w:type="fixed"/>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37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295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301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Layout w:type="fixed"/>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支     出</w:t>
            </w:r>
          </w:p>
        </w:tc>
      </w:tr>
      <w:tr>
        <w:tblPrEx>
          <w:tblLayout w:type="fixed"/>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r>
      <w:tr>
        <w:tblPrEx>
          <w:tblLayout w:type="fixed"/>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国有资本经营预算财政拨款</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6,090.70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12,719.56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4.63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4.63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414.51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414.51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132.70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132.70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1,172.28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1,172.28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16,870.05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4,170.09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12,699.96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67.20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47.20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20.00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153.08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153.08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31.94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31.94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Arial" w:hAnsi="Arial" w:cs="Arial"/>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18,810.27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18,846.38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6,094.48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12,751.90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39.51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3.40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3.40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7.18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rPr>
                <w:rFonts w:hint="default" w:ascii="Arial" w:hAnsi="Arial" w:cs="Arial"/>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sz w:val="20"/>
                <w:szCs w:val="20"/>
              </w:rPr>
            </w:pP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32.34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r>
      <w:tr>
        <w:tblPrEx>
          <w:tblLayout w:type="fixed"/>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18,849.78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0"/>
                <w:szCs w:val="20"/>
              </w:rPr>
            </w:pPr>
            <w:r>
              <w:rPr>
                <w:rFonts w:cs="宋体"/>
                <w:sz w:val="21"/>
                <w:szCs w:val="21"/>
                <w:lang w:bidi="ar"/>
              </w:rPr>
              <w:t xml:space="preserve">18,849.78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0"/>
                <w:szCs w:val="20"/>
              </w:rPr>
            </w:pPr>
            <w:r>
              <w:rPr>
                <w:rFonts w:cs="宋体"/>
                <w:sz w:val="21"/>
                <w:szCs w:val="21"/>
                <w:lang w:bidi="ar"/>
              </w:rPr>
              <w:t xml:space="preserve">6,097.88 </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0"/>
                <w:szCs w:val="20"/>
              </w:rPr>
            </w:pPr>
            <w:r>
              <w:rPr>
                <w:rFonts w:cs="宋体"/>
                <w:sz w:val="21"/>
                <w:szCs w:val="21"/>
                <w:lang w:bidi="ar"/>
              </w:rPr>
              <w:t xml:space="preserve">12,751.90 </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bl>
    <w:p>
      <w:pPr>
        <w:rPr>
          <w:rFonts w:hint="default" w:cs="宋体"/>
          <w:sz w:val="21"/>
          <w:szCs w:val="21"/>
        </w:rPr>
      </w:pPr>
      <w:r>
        <w:rPr>
          <w:rFonts w:cs="宋体"/>
          <w:sz w:val="21"/>
          <w:szCs w:val="21"/>
          <w:lang w:bidi="ar"/>
        </w:rPr>
        <w:t>备注：1.本表反映部门本年度一般公共预算财政拨款、政府性基金预算财政拨款及国有资本经营预算财政拨款的总收支和年末结转结余情况。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300" w:type="dxa"/>
        <w:tblInd w:w="0" w:type="dxa"/>
        <w:tblLayout w:type="fixed"/>
        <w:tblCellMar>
          <w:top w:w="0" w:type="dxa"/>
          <w:left w:w="0" w:type="dxa"/>
          <w:bottom w:w="0" w:type="dxa"/>
          <w:right w:w="0" w:type="dxa"/>
        </w:tblCellMar>
      </w:tblPr>
      <w:tblGrid>
        <w:gridCol w:w="2694"/>
        <w:gridCol w:w="5151"/>
        <w:gridCol w:w="4817"/>
        <w:gridCol w:w="4817"/>
        <w:gridCol w:w="4821"/>
      </w:tblGrid>
      <w:tr>
        <w:tblPrEx>
          <w:tblLayout w:type="fixed"/>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一般公共预算财政拨款支出决算表</w:t>
            </w:r>
          </w:p>
        </w:tc>
      </w:tr>
      <w:tr>
        <w:tblPrEx>
          <w:tblLayout w:type="fixed"/>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lang w:bidi="ar"/>
              </w:rPr>
              <w:t xml:space="preserve">： </w:t>
            </w:r>
            <w:r>
              <w:t>垫江县城市管理局</w:t>
            </w: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482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rPr>
            </w:pPr>
            <w:r>
              <w:rPr>
                <w:rFonts w:cs="宋体"/>
                <w:lang w:bidi="ar"/>
              </w:rPr>
              <w:t>公开05表</w:t>
            </w:r>
          </w:p>
        </w:tc>
      </w:tr>
      <w:tr>
        <w:tblPrEx>
          <w:tblLayout w:type="fixed"/>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481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482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Layout w:type="fixed"/>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w:t>
            </w:r>
          </w:p>
        </w:tc>
      </w:tr>
      <w:tr>
        <w:tblPrEx>
          <w:tblLayout w:type="fixed"/>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项目支出</w:t>
            </w:r>
          </w:p>
        </w:tc>
      </w:tr>
      <w:tr>
        <w:tblPrEx>
          <w:tblLayout w:type="fixed"/>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Layout w:type="fixed"/>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Layout w:type="fixed"/>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6,094.48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3,433.88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2,660.60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教育支出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4.63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4.63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20508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进修及培训</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4.63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4.63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2050803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培训支出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4.63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4.63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414.51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397.46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17.05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0.25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0.25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2080102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0.25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0.25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392.82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392.82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157.55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157.55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2080506</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78.77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78.77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2080599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156.50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156.50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20808</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抚恤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4.64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4.64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2080801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死亡抚恤</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4.64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4.64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20809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退役安置</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16.80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16.80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2080999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其他退役安置支出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16.80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16.80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132.70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102.70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30.00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公共卫生</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30.00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2100410</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突发公共卫生事件应急处理</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30.00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21011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102.70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102.70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2101101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35.53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35.53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2101102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67.17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67.17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节能环保支出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1,172.28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1,172.28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21103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污染防治</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1,172.28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1,172.28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2110304</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固体废弃物与化学品</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1,172.28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1,172.28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4,170.09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2,776.01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1,394.07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城乡社区管理事务</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3,603.31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2,776.01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827.30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2120101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行政运行</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1,187.38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1,187.38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2120199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其他城乡社区管理事务支出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2,415.92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1,588.63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827.30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21203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城乡社区公共设施</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86.78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86.78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2120399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其他城乡社区公共设施支出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86.78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86.78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21299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其他城乡社区支出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480.00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480.00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2129999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其他城乡社区支出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480.00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480.00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农林水支出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47.20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47.20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21305</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hint="eastAsia" w:cs="宋体"/>
                <w:b/>
                <w:sz w:val="21"/>
                <w:szCs w:val="21"/>
                <w:lang w:eastAsia="zh-CN" w:bidi="ar"/>
              </w:rPr>
              <w:t>巩固拓展脱贫攻坚成果</w:t>
            </w:r>
            <w:r>
              <w:rPr>
                <w:rFonts w:cs="宋体"/>
                <w:b/>
                <w:sz w:val="21"/>
                <w:szCs w:val="21"/>
                <w:lang w:bidi="ar"/>
              </w:rPr>
              <w:t>衔接乡村振兴</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47.20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47.20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2130599</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其他</w:t>
            </w:r>
            <w:r>
              <w:rPr>
                <w:rFonts w:hint="eastAsia" w:cs="宋体"/>
                <w:sz w:val="21"/>
                <w:szCs w:val="21"/>
                <w:lang w:eastAsia="zh-CN" w:bidi="ar"/>
              </w:rPr>
              <w:t>巩固拓展脱贫攻坚成果</w:t>
            </w:r>
            <w:r>
              <w:rPr>
                <w:rFonts w:cs="宋体"/>
                <w:sz w:val="21"/>
                <w:szCs w:val="21"/>
                <w:lang w:bidi="ar"/>
              </w:rPr>
              <w:t>衔接乡村振兴支出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47.20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47.20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153.08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153.08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22102</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b/>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153.08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153.08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2210201</w:t>
            </w:r>
          </w:p>
        </w:tc>
        <w:tc>
          <w:tcPr>
            <w:tcW w:w="5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sz w:val="22"/>
                <w:szCs w:val="22"/>
              </w:rPr>
            </w:pPr>
            <w:r>
              <w:rPr>
                <w:rFonts w:cs="宋体"/>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153.08 </w:t>
            </w:r>
          </w:p>
        </w:tc>
        <w:tc>
          <w:tcPr>
            <w:tcW w:w="48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153.08 </w:t>
            </w:r>
          </w:p>
        </w:tc>
        <w:tc>
          <w:tcPr>
            <w:tcW w:w="48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bl>
    <w:p>
      <w:pPr>
        <w:rPr>
          <w:rFonts w:hint="default" w:cs="宋体"/>
          <w:sz w:val="21"/>
          <w:szCs w:val="21"/>
        </w:rPr>
      </w:pPr>
      <w:r>
        <w:rPr>
          <w:rFonts w:cs="宋体"/>
          <w:sz w:val="21"/>
          <w:szCs w:val="21"/>
          <w:lang w:bidi="ar"/>
        </w:rPr>
        <w:t>备注：1.本表反映部门本年度一般公共预算财政拨款支出情况。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ind w:firstLine="630" w:firstLineChars="300"/>
        <w:rPr>
          <w:rFonts w:hint="default" w:cs="宋体"/>
          <w:sz w:val="21"/>
          <w:szCs w:val="21"/>
        </w:rPr>
      </w:pPr>
      <w:r>
        <w:rPr>
          <w:rFonts w:cs="宋体"/>
          <w:sz w:val="21"/>
          <w:szCs w:val="21"/>
        </w:rPr>
        <w:br w:type="page"/>
      </w:r>
    </w:p>
    <w:tbl>
      <w:tblPr>
        <w:tblStyle w:val="8"/>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tblPrEx>
          <w:tblLayout w:type="fixed"/>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一般公共预算财政拨款基本支出决算表</w:t>
            </w:r>
          </w:p>
        </w:tc>
      </w:tr>
      <w:tr>
        <w:tblPrEx>
          <w:tblLayout w:type="fixed"/>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lang w:bidi="ar"/>
              </w:rPr>
              <w:t xml:space="preserve">： </w:t>
            </w:r>
            <w:r>
              <w:t>垫江县城市管理局</w:t>
            </w:r>
          </w:p>
        </w:tc>
        <w:tc>
          <w:tcPr>
            <w:tcW w:w="282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112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233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274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150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446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249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rPr>
            </w:pPr>
            <w:r>
              <w:rPr>
                <w:rFonts w:cs="宋体"/>
                <w:lang w:bidi="ar"/>
              </w:rPr>
              <w:t>公开06表</w:t>
            </w:r>
          </w:p>
        </w:tc>
      </w:tr>
      <w:tr>
        <w:tblPrEx>
          <w:tblLayout w:type="fixed"/>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282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1122"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2330"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2747"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150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4465"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2494"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Layout w:type="fixed"/>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公用经费</w:t>
            </w:r>
          </w:p>
        </w:tc>
      </w:tr>
      <w:tr>
        <w:tblPrEx>
          <w:tblLayout w:type="fixed"/>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金额</w:t>
            </w:r>
          </w:p>
        </w:tc>
      </w:tr>
      <w:tr>
        <w:tblPrEx>
          <w:tblLayout w:type="fixed"/>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2,374.32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895.69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456.82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27.56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136.63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300.80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2.30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761.98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1.41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157.55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6.66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78.77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35.37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102.70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12.00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3.20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133.89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153.08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26.20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4.67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196.59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163.87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10.44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17.72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5.29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132.42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395.18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10.40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1.62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58.35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15.76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24.85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46.13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30.50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85.80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r>
      <w:tr>
        <w:tblPrEx>
          <w:tblLayout w:type="fixed"/>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rPr>
                <w:rFonts w:hint="default" w:ascii="Arial" w:hAnsi="Arial" w:cs="Arial"/>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sz w:val="22"/>
                <w:szCs w:val="22"/>
              </w:rPr>
            </w:pPr>
          </w:p>
        </w:tc>
      </w:tr>
      <w:tr>
        <w:tblPrEx>
          <w:tblLayout w:type="fixed"/>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2,538.19 </w:t>
            </w:r>
          </w:p>
        </w:tc>
        <w:tc>
          <w:tcPr>
            <w:tcW w:w="12173" w:type="dxa"/>
            <w:gridSpan w:val="5"/>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sz w:val="22"/>
                <w:szCs w:val="22"/>
              </w:rPr>
            </w:pPr>
            <w:r>
              <w:rPr>
                <w:rFonts w:cs="宋体"/>
                <w:sz w:val="21"/>
                <w:szCs w:val="21"/>
                <w:lang w:bidi="ar"/>
              </w:rPr>
              <w:t xml:space="preserve">895.69 </w:t>
            </w:r>
          </w:p>
        </w:tc>
      </w:tr>
    </w:tbl>
    <w:p>
      <w:pPr>
        <w:rPr>
          <w:rFonts w:hint="default" w:cs="宋体"/>
          <w:sz w:val="21"/>
          <w:szCs w:val="21"/>
        </w:rPr>
      </w:pPr>
      <w:r>
        <w:rPr>
          <w:rFonts w:cs="宋体"/>
          <w:sz w:val="21"/>
          <w:szCs w:val="21"/>
          <w:lang w:bidi="ar"/>
        </w:rPr>
        <w:t>备注：1.本表反映部门本年度一般公共预算财政拨款基本支出明细情况。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tblPrEx>
          <w:tblLayout w:type="fixed"/>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lang w:bidi="ar"/>
              </w:rPr>
              <w:t xml:space="preserve">： </w:t>
            </w:r>
            <w:r>
              <w:t>垫江县城市管理局</w:t>
            </w: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25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263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rPr>
            </w:pPr>
            <w:r>
              <w:rPr>
                <w:rFonts w:cs="宋体"/>
                <w:lang w:bidi="ar"/>
              </w:rPr>
              <w:t>公开07表</w:t>
            </w:r>
          </w:p>
        </w:tc>
      </w:tr>
      <w:tr>
        <w:tblPrEx>
          <w:tblLayout w:type="fixed"/>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247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2558"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263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Layout w:type="fixed"/>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年末结转和结余</w:t>
            </w:r>
          </w:p>
        </w:tc>
      </w:tr>
      <w:tr>
        <w:tblPrEx>
          <w:tblLayout w:type="fixed"/>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Layout w:type="fixed"/>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Layout w:type="fixed"/>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Layout w:type="fixed"/>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32.34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12,719.56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12,751.90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12,751.90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r>
      <w:tr>
        <w:tblPrEx>
          <w:tblLayout w:type="fixed"/>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212</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城乡社区支出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0.40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12,699.56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12,699.96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12,699.96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21208</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国有土地使用权出让收入安排的支出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8,645.54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8,645.54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8,645.54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2120899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其他国有土地使用权出让收入安排的支出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8,645.54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8,645.54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8,645.54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21213</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城市基础设施配套费安排的支出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0.40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4,054.02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4,054.42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4,054.42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2121301</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城市公共设施</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988.11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988.11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988.11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2121302</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城市环境卫生</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2,390.51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2,390.51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2,390.51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2121399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其他城市基础设施配套费安排的支出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0.40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675.39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675.79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675.79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213</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农林水支出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20.00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20.00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20.00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21367</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三峡水库库区基金支出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20.00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20.00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20.00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2136799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其他三峡水库库区基金支出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20.00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20.00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20.00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229</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其他支出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31.94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31.94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31.94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22904</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b/>
                <w:sz w:val="21"/>
                <w:szCs w:val="21"/>
                <w:lang w:bidi="ar"/>
              </w:rPr>
              <w:t>其他政府性基金及对应专项债务收入安排的支出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31.94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31.94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sz w:val="21"/>
                <w:szCs w:val="21"/>
                <w:lang w:bidi="ar"/>
              </w:rPr>
              <w:t xml:space="preserve">31.94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2290402</w:t>
            </w:r>
          </w:p>
        </w:tc>
        <w:tc>
          <w:tcPr>
            <w:tcW w:w="44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sz w:val="22"/>
                <w:szCs w:val="22"/>
              </w:rPr>
            </w:pPr>
            <w:r>
              <w:rPr>
                <w:rFonts w:cs="宋体"/>
                <w:sz w:val="21"/>
                <w:szCs w:val="21"/>
                <w:lang w:bidi="ar"/>
              </w:rPr>
              <w:t>其他地方自行试点项目收益专项债券收入安排的支出</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31.94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31.94 </w:t>
            </w:r>
          </w:p>
        </w:tc>
        <w:tc>
          <w:tcPr>
            <w:tcW w:w="24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31.94 </w:t>
            </w:r>
          </w:p>
        </w:tc>
        <w:tc>
          <w:tcPr>
            <w:tcW w:w="26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sz w:val="21"/>
                <w:szCs w:val="21"/>
                <w:lang w:bidi="ar"/>
              </w:rPr>
              <w:t xml:space="preserve"> </w:t>
            </w:r>
          </w:p>
        </w:tc>
      </w:tr>
    </w:tbl>
    <w:p>
      <w:pPr>
        <w:rPr>
          <w:rFonts w:hint="default" w:cs="宋体"/>
          <w:sz w:val="21"/>
          <w:szCs w:val="21"/>
        </w:rPr>
      </w:pPr>
      <w:r>
        <w:rPr>
          <w:rFonts w:cs="宋体"/>
          <w:sz w:val="21"/>
          <w:szCs w:val="21"/>
          <w:lang w:bidi="ar"/>
        </w:rPr>
        <w:t>备注：1.本表反映部门本年度政府性基金预算财政拨款收入支出及结转和结余情况。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220" w:type="dxa"/>
        <w:tblInd w:w="0" w:type="dxa"/>
        <w:tblLayout w:type="fixed"/>
        <w:tblCellMar>
          <w:top w:w="0" w:type="dxa"/>
          <w:left w:w="0" w:type="dxa"/>
          <w:bottom w:w="0" w:type="dxa"/>
          <w:right w:w="0" w:type="dxa"/>
        </w:tblCellMar>
      </w:tblPr>
      <w:tblGrid>
        <w:gridCol w:w="2729"/>
        <w:gridCol w:w="4420"/>
        <w:gridCol w:w="4736"/>
        <w:gridCol w:w="5423"/>
        <w:gridCol w:w="4912"/>
      </w:tblGrid>
      <w:tr>
        <w:tblPrEx>
          <w:tblLayout w:type="fixed"/>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tcMar>
              <w:top w:w="15" w:type="dxa"/>
              <w:left w:w="15" w:type="dxa"/>
              <w:right w:w="15" w:type="dxa"/>
            </w:tcMar>
            <w:vAlign w:val="bottom"/>
          </w:tcPr>
          <w:p>
            <w:pPr>
              <w:rPr>
                <w:rFonts w:hint="default" w:ascii="Arial" w:hAnsi="Arial" w:cs="Arial"/>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lang w:bidi="ar"/>
              </w:rPr>
              <w:t xml:space="preserve">： </w:t>
            </w:r>
            <w:r>
              <w:t>垫江县城市管理局</w:t>
            </w:r>
          </w:p>
        </w:tc>
        <w:tc>
          <w:tcPr>
            <w:tcW w:w="47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542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491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rPr>
            </w:pPr>
            <w:r>
              <w:rPr>
                <w:rFonts w:cs="宋体"/>
                <w:lang w:bidi="ar"/>
              </w:rPr>
              <w:t>公开08表</w:t>
            </w:r>
          </w:p>
        </w:tc>
      </w:tr>
      <w:tr>
        <w:tblPrEx>
          <w:tblLayout w:type="fixed"/>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4736"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5423"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4912"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Layout w:type="fixed"/>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bottom"/>
          </w:tcPr>
          <w:p>
            <w:pPr>
              <w:jc w:val="center"/>
              <w:textAlignment w:val="bottom"/>
              <w:rPr>
                <w:rFonts w:hint="default" w:cs="宋体"/>
                <w:b/>
                <w:sz w:val="22"/>
                <w:szCs w:val="22"/>
              </w:rPr>
            </w:pPr>
            <w:r>
              <w:rPr>
                <w:rFonts w:cs="宋体"/>
                <w:b/>
                <w:sz w:val="22"/>
                <w:szCs w:val="22"/>
                <w:lang w:bidi="ar"/>
              </w:rPr>
              <w:t>本年支出</w:t>
            </w:r>
          </w:p>
        </w:tc>
      </w:tr>
      <w:tr>
        <w:tblPrEx>
          <w:tblLayout w:type="fixed"/>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项目支出</w:t>
            </w:r>
          </w:p>
        </w:tc>
      </w:tr>
      <w:tr>
        <w:tblPrEx>
          <w:tblLayout w:type="fixed"/>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Layout w:type="fixed"/>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Layout w:type="fixed"/>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sz w:val="22"/>
                <w:szCs w:val="22"/>
              </w:rPr>
            </w:pPr>
          </w:p>
        </w:tc>
      </w:tr>
      <w:tr>
        <w:tblPrEx>
          <w:tblLayout w:type="fixed"/>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合计</w:t>
            </w:r>
          </w:p>
        </w:tc>
        <w:tc>
          <w:tcPr>
            <w:tcW w:w="4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cs="宋体"/>
                <w:b/>
                <w:sz w:val="22"/>
                <w:szCs w:val="22"/>
              </w:rPr>
            </w:pPr>
          </w:p>
        </w:tc>
        <w:tc>
          <w:tcPr>
            <w:tcW w:w="491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cs="宋体"/>
                <w:b/>
                <w:sz w:val="22"/>
                <w:szCs w:val="22"/>
              </w:rPr>
            </w:pPr>
            <w:r>
              <w:rPr>
                <w:rFonts w:cs="宋体"/>
                <w:b/>
                <w:bCs/>
                <w:sz w:val="21"/>
                <w:szCs w:val="21"/>
                <w:lang w:bidi="ar"/>
              </w:rPr>
              <w:t xml:space="preserve"> </w:t>
            </w:r>
          </w:p>
        </w:tc>
      </w:tr>
    </w:tbl>
    <w:p>
      <w:pPr>
        <w:rPr>
          <w:rFonts w:hint="default" w:cs="宋体"/>
          <w:sz w:val="21"/>
          <w:szCs w:val="21"/>
          <w:lang w:bidi="ar"/>
        </w:rPr>
      </w:pPr>
      <w:r>
        <w:rPr>
          <w:rFonts w:cs="宋体"/>
          <w:sz w:val="21"/>
          <w:szCs w:val="21"/>
          <w:lang w:bidi="ar"/>
        </w:rPr>
        <w:t>备注：本表反映部门本年度国有资本经营预算财政拨款支出情况。本部门无国有资本经营收支，故本表无数据。</w:t>
      </w:r>
      <w:r>
        <w:rPr>
          <w:rFonts w:cs="宋体"/>
          <w:sz w:val="21"/>
          <w:szCs w:val="21"/>
          <w:lang w:bidi="ar"/>
        </w:rPr>
        <w:br w:type="textWrapping"/>
      </w:r>
      <w:r>
        <w:rPr>
          <w:rFonts w:cs="宋体"/>
          <w:sz w:val="21"/>
          <w:szCs w:val="21"/>
        </w:rPr>
        <w:br w:type="textWrapping"/>
      </w:r>
    </w:p>
    <w:p>
      <w:pPr>
        <w:rPr>
          <w:rFonts w:hint="default" w:cs="宋体"/>
          <w:sz w:val="21"/>
          <w:szCs w:val="21"/>
        </w:rPr>
      </w:pPr>
      <w:r>
        <w:rPr>
          <w:rFonts w:cs="宋体"/>
          <w:sz w:val="21"/>
          <w:szCs w:val="21"/>
        </w:rPr>
        <w:br w:type="page"/>
      </w:r>
    </w:p>
    <w:tbl>
      <w:tblPr>
        <w:tblStyle w:val="8"/>
        <w:tblW w:w="22168" w:type="dxa"/>
        <w:tblInd w:w="0" w:type="dxa"/>
        <w:tblLayout w:type="fixed"/>
        <w:tblCellMar>
          <w:top w:w="0" w:type="dxa"/>
          <w:left w:w="0" w:type="dxa"/>
          <w:bottom w:w="0" w:type="dxa"/>
          <w:right w:w="0" w:type="dxa"/>
        </w:tblCellMar>
      </w:tblPr>
      <w:tblGrid>
        <w:gridCol w:w="5159"/>
        <w:gridCol w:w="3822"/>
        <w:gridCol w:w="3281"/>
        <w:gridCol w:w="6581"/>
        <w:gridCol w:w="3325"/>
      </w:tblGrid>
      <w:tr>
        <w:tblPrEx>
          <w:tblLayout w:type="fixed"/>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sz w:val="40"/>
                <w:szCs w:val="40"/>
              </w:rPr>
            </w:pPr>
            <w:r>
              <w:rPr>
                <w:rFonts w:cs="宋体"/>
                <w:b/>
                <w:sz w:val="44"/>
                <w:szCs w:val="44"/>
                <w:lang w:bidi="ar"/>
              </w:rPr>
              <w:t>机构运行信息表</w:t>
            </w:r>
          </w:p>
        </w:tc>
      </w:tr>
      <w:tr>
        <w:tblPrEx>
          <w:tblLayout w:type="fixed"/>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3822" w:type="dxa"/>
            <w:tcBorders>
              <w:top w:val="nil"/>
              <w:left w:val="nil"/>
              <w:bottom w:val="nil"/>
              <w:right w:val="nil"/>
            </w:tcBorders>
            <w:shd w:val="clear" w:color="auto" w:fill="auto"/>
            <w:tcMar>
              <w:top w:w="15" w:type="dxa"/>
              <w:left w:w="15" w:type="dxa"/>
              <w:right w:w="15" w:type="dxa"/>
            </w:tcMar>
            <w:vAlign w:val="bottom"/>
          </w:tcPr>
          <w:p>
            <w:pPr>
              <w:jc w:val="center"/>
              <w:rPr>
                <w:rFonts w:hint="default" w:ascii="Arial" w:hAnsi="Arial" w:cs="Arial"/>
                <w:sz w:val="20"/>
                <w:szCs w:val="20"/>
              </w:rPr>
            </w:pPr>
          </w:p>
        </w:tc>
        <w:tc>
          <w:tcPr>
            <w:tcW w:w="3281"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cs="Arial"/>
                <w:sz w:val="20"/>
                <w:szCs w:val="20"/>
              </w:rPr>
            </w:pPr>
          </w:p>
        </w:tc>
        <w:tc>
          <w:tcPr>
            <w:tcW w:w="658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0"/>
                <w:szCs w:val="20"/>
              </w:rPr>
            </w:pPr>
          </w:p>
        </w:tc>
        <w:tc>
          <w:tcPr>
            <w:tcW w:w="332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rPr>
            </w:pPr>
            <w:r>
              <w:rPr>
                <w:rFonts w:cs="宋体"/>
                <w:lang w:bidi="ar"/>
              </w:rPr>
              <w:t>公开09表</w:t>
            </w:r>
          </w:p>
        </w:tc>
      </w:tr>
      <w:tr>
        <w:tblPrEx>
          <w:tblLayout w:type="fixed"/>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tcMar>
              <w:top w:w="15" w:type="dxa"/>
              <w:left w:w="15" w:type="dxa"/>
              <w:right w:w="15" w:type="dxa"/>
            </w:tcMar>
            <w:vAlign w:val="bottom"/>
          </w:tcPr>
          <w:p>
            <w:pPr>
              <w:textAlignment w:val="bottom"/>
              <w:rPr>
                <w:rFonts w:hint="default" w:ascii="Arial" w:hAnsi="Arial" w:cs="Arial"/>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lang w:bidi="ar"/>
              </w:rPr>
              <w:t xml:space="preserve">： </w:t>
            </w:r>
            <w:r>
              <w:t>垫江县城市管理局</w:t>
            </w:r>
          </w:p>
        </w:tc>
        <w:tc>
          <w:tcPr>
            <w:tcW w:w="3822" w:type="dxa"/>
            <w:tcBorders>
              <w:top w:val="nil"/>
              <w:left w:val="nil"/>
              <w:bottom w:val="nil"/>
              <w:right w:val="nil"/>
            </w:tcBorders>
            <w:shd w:val="clear" w:color="auto" w:fill="auto"/>
            <w:tcMar>
              <w:top w:w="15" w:type="dxa"/>
              <w:left w:w="15" w:type="dxa"/>
              <w:right w:w="15" w:type="dxa"/>
            </w:tcMar>
            <w:vAlign w:val="bottom"/>
          </w:tcPr>
          <w:p>
            <w:pPr>
              <w:jc w:val="center"/>
              <w:rPr>
                <w:rFonts w:hint="default" w:cs="宋体"/>
                <w:sz w:val="22"/>
                <w:szCs w:val="22"/>
              </w:rPr>
            </w:pPr>
          </w:p>
        </w:tc>
        <w:tc>
          <w:tcPr>
            <w:tcW w:w="3281" w:type="dxa"/>
            <w:tcBorders>
              <w:top w:val="nil"/>
              <w:left w:val="nil"/>
              <w:bottom w:val="nil"/>
              <w:right w:val="nil"/>
            </w:tcBorders>
            <w:shd w:val="clear" w:color="auto" w:fill="auto"/>
            <w:tcMar>
              <w:top w:w="15" w:type="dxa"/>
              <w:left w:w="15" w:type="dxa"/>
              <w:right w:w="15" w:type="dxa"/>
            </w:tcMar>
            <w:vAlign w:val="bottom"/>
          </w:tcPr>
          <w:p>
            <w:pPr>
              <w:jc w:val="right"/>
              <w:rPr>
                <w:rFonts w:hint="default" w:ascii="Arial" w:hAnsi="Arial" w:cs="Arial"/>
                <w:sz w:val="22"/>
                <w:szCs w:val="22"/>
              </w:rPr>
            </w:pPr>
          </w:p>
        </w:tc>
        <w:tc>
          <w:tcPr>
            <w:tcW w:w="6581" w:type="dxa"/>
            <w:tcBorders>
              <w:top w:val="nil"/>
              <w:left w:val="nil"/>
              <w:bottom w:val="nil"/>
              <w:right w:val="nil"/>
            </w:tcBorders>
            <w:shd w:val="clear" w:color="auto" w:fill="auto"/>
            <w:tcMar>
              <w:top w:w="15" w:type="dxa"/>
              <w:left w:w="15" w:type="dxa"/>
              <w:right w:w="15" w:type="dxa"/>
            </w:tcMar>
            <w:vAlign w:val="bottom"/>
          </w:tcPr>
          <w:p>
            <w:pPr>
              <w:rPr>
                <w:rFonts w:hint="default" w:ascii="Arial" w:hAnsi="Arial" w:cs="Arial"/>
                <w:sz w:val="22"/>
                <w:szCs w:val="22"/>
              </w:rPr>
            </w:pPr>
          </w:p>
        </w:tc>
        <w:tc>
          <w:tcPr>
            <w:tcW w:w="332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rPr>
            </w:pPr>
            <w:r>
              <w:rPr>
                <w:rFonts w:cs="宋体"/>
                <w:lang w:bidi="ar"/>
              </w:rPr>
              <w:t>单位：</w:t>
            </w:r>
            <w:r>
              <w:rPr>
                <w:rFonts w:cs="宋体"/>
              </w:rPr>
              <w:t>万元</w:t>
            </w:r>
          </w:p>
        </w:tc>
      </w:tr>
      <w:tr>
        <w:tblPrEx>
          <w:tblLayout w:type="fixed"/>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预算数</w:t>
            </w:r>
          </w:p>
        </w:tc>
        <w:tc>
          <w:tcPr>
            <w:tcW w:w="3281"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项  目</w:t>
            </w:r>
          </w:p>
        </w:tc>
        <w:tc>
          <w:tcPr>
            <w:tcW w:w="3325" w:type="dxa"/>
            <w:tcBorders>
              <w:top w:val="single" w:color="000000" w:sz="4" w:space="0"/>
              <w:left w:val="nil"/>
              <w:bottom w:val="nil"/>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sz w:val="22"/>
                <w:szCs w:val="22"/>
              </w:rPr>
            </w:pPr>
            <w:r>
              <w:rPr>
                <w:rFonts w:cs="宋体"/>
                <w:b/>
                <w:sz w:val="22"/>
                <w:szCs w:val="22"/>
                <w:lang w:bidi="ar"/>
              </w:rPr>
              <w:t>决算数</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561.58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63.85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63.85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61.38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500.20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46.13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46.13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52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46.13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46.13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17.72 </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17.72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17.72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18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34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52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218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141.72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73.43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1,654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68.29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141.72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141.72 </w:t>
            </w: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二、会议费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sz w:val="20"/>
                <w:szCs w:val="20"/>
              </w:rPr>
            </w:pPr>
          </w:p>
        </w:tc>
      </w:tr>
      <w:tr>
        <w:tblPrEx>
          <w:tblLayout w:type="fixed"/>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tcMar>
              <w:top w:w="15" w:type="dxa"/>
              <w:left w:w="15" w:type="dxa"/>
              <w:right w:w="15" w:type="dxa"/>
            </w:tcMar>
            <w:vAlign w:val="center"/>
          </w:tcPr>
          <w:p>
            <w:pPr>
              <w:textAlignment w:val="center"/>
              <w:rPr>
                <w:rFonts w:hint="default" w:cs="宋体"/>
                <w:sz w:val="22"/>
                <w:szCs w:val="22"/>
              </w:rPr>
            </w:pPr>
            <w:r>
              <w:rPr>
                <w:rFonts w:cs="宋体"/>
                <w:sz w:val="22"/>
                <w:szCs w:val="22"/>
                <w:lang w:bidi="ar"/>
              </w:rPr>
              <w:t>三、培训费</w:t>
            </w:r>
          </w:p>
        </w:tc>
        <w:tc>
          <w:tcPr>
            <w:tcW w:w="38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sz w:val="22"/>
                <w:szCs w:val="22"/>
              </w:rPr>
            </w:pPr>
            <w:r>
              <w:rPr>
                <w:rFonts w:cs="宋体"/>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bottom"/>
          </w:tcPr>
          <w:p>
            <w:pPr>
              <w:wordWrap w:val="0"/>
              <w:jc w:val="right"/>
              <w:textAlignment w:val="bottom"/>
              <w:rPr>
                <w:rFonts w:hint="default" w:ascii="Arial" w:hAnsi="Arial" w:cs="Arial"/>
                <w:sz w:val="20"/>
                <w:szCs w:val="20"/>
              </w:rPr>
            </w:pPr>
            <w:r>
              <w:rPr>
                <w:rFonts w:cs="宋体"/>
                <w:sz w:val="21"/>
                <w:szCs w:val="21"/>
                <w:lang w:bidi="ar"/>
              </w:rPr>
              <w:t xml:space="preserve">10.44 </w:t>
            </w:r>
          </w:p>
        </w:tc>
        <w:tc>
          <w:tcPr>
            <w:tcW w:w="658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rPr>
                <w:rFonts w:hint="default" w:cs="宋体"/>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right"/>
              <w:rPr>
                <w:rFonts w:hint="default" w:ascii="Arial" w:hAnsi="Arial" w:cs="Arial"/>
                <w:sz w:val="20"/>
                <w:szCs w:val="20"/>
              </w:rPr>
            </w:pPr>
          </w:p>
        </w:tc>
      </w:tr>
    </w:tbl>
    <w:p>
      <w:pPr>
        <w:rPr>
          <w:rFonts w:hint="default" w:cs="宋体"/>
          <w:sz w:val="21"/>
          <w:szCs w:val="21"/>
        </w:rPr>
      </w:pPr>
      <w:r>
        <w:rPr>
          <w:rFonts w:cs="宋体"/>
          <w:sz w:val="21"/>
          <w:szCs w:val="21"/>
          <w:lang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rPr>
          <w:rFonts w:hint="default" w:cs="宋体"/>
          <w:sz w:val="21"/>
          <w:szCs w:val="21"/>
          <w:lang w:bidi="ar"/>
        </w:rPr>
      </w:pPr>
    </w:p>
    <w:p>
      <w:pPr>
        <w:pStyle w:val="12"/>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rPr>
                          </w:pPr>
                          <w:r>
                            <w:fldChar w:fldCharType="begin"/>
                          </w:r>
                          <w:r>
                            <w:instrText xml:space="preserve"> PAGE  \* MERGEFORMAT </w:instrText>
                          </w:r>
                          <w:r>
                            <w:fldChar w:fldCharType="separate"/>
                          </w:r>
                          <w:r>
                            <w:rPr>
                              <w:rFonts w:hint="default"/>
                            </w:rP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121AD2"/>
    <w:rsid w:val="002E5443"/>
    <w:rsid w:val="00550ABE"/>
    <w:rsid w:val="00661779"/>
    <w:rsid w:val="007B419D"/>
    <w:rsid w:val="009B67B8"/>
    <w:rsid w:val="00B03CCD"/>
    <w:rsid w:val="00DB666A"/>
    <w:rsid w:val="00E76362"/>
    <w:rsid w:val="00F73F90"/>
    <w:rsid w:val="00FE3038"/>
    <w:rsid w:val="01474EBF"/>
    <w:rsid w:val="01F3521E"/>
    <w:rsid w:val="03B87EA0"/>
    <w:rsid w:val="03E3214F"/>
    <w:rsid w:val="044C50BA"/>
    <w:rsid w:val="048105D5"/>
    <w:rsid w:val="05BC6D49"/>
    <w:rsid w:val="06194FF1"/>
    <w:rsid w:val="06A2550B"/>
    <w:rsid w:val="06F80EE2"/>
    <w:rsid w:val="07001CCA"/>
    <w:rsid w:val="072056AB"/>
    <w:rsid w:val="075678DB"/>
    <w:rsid w:val="079D7CC7"/>
    <w:rsid w:val="08051BCA"/>
    <w:rsid w:val="086C12F4"/>
    <w:rsid w:val="08BA052C"/>
    <w:rsid w:val="08DB07BA"/>
    <w:rsid w:val="0969353F"/>
    <w:rsid w:val="098305D0"/>
    <w:rsid w:val="0A5C4B69"/>
    <w:rsid w:val="0A86124A"/>
    <w:rsid w:val="0AB54CC0"/>
    <w:rsid w:val="0B9335CE"/>
    <w:rsid w:val="0C7927C4"/>
    <w:rsid w:val="0C9B098C"/>
    <w:rsid w:val="0D673E11"/>
    <w:rsid w:val="0D8D47EF"/>
    <w:rsid w:val="0DDA54E4"/>
    <w:rsid w:val="0E3A5F83"/>
    <w:rsid w:val="0E8A4AC0"/>
    <w:rsid w:val="0F836721"/>
    <w:rsid w:val="0FA25D96"/>
    <w:rsid w:val="107B59E5"/>
    <w:rsid w:val="10EC0126"/>
    <w:rsid w:val="10F70B9A"/>
    <w:rsid w:val="111445C7"/>
    <w:rsid w:val="114278C6"/>
    <w:rsid w:val="1158083A"/>
    <w:rsid w:val="11643A4B"/>
    <w:rsid w:val="11ED0F98"/>
    <w:rsid w:val="11F03528"/>
    <w:rsid w:val="12C921C4"/>
    <w:rsid w:val="13871C70"/>
    <w:rsid w:val="139F5785"/>
    <w:rsid w:val="13A71CB4"/>
    <w:rsid w:val="13AF1D43"/>
    <w:rsid w:val="13CE1647"/>
    <w:rsid w:val="13FD55AB"/>
    <w:rsid w:val="14200702"/>
    <w:rsid w:val="15033306"/>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542842"/>
    <w:rsid w:val="25791755"/>
    <w:rsid w:val="26396DF4"/>
    <w:rsid w:val="27167136"/>
    <w:rsid w:val="2784741F"/>
    <w:rsid w:val="27B23302"/>
    <w:rsid w:val="29310A5F"/>
    <w:rsid w:val="29C37A35"/>
    <w:rsid w:val="2A076083"/>
    <w:rsid w:val="2A73162E"/>
    <w:rsid w:val="2B167953"/>
    <w:rsid w:val="2B200583"/>
    <w:rsid w:val="2B8209DE"/>
    <w:rsid w:val="2C6762A3"/>
    <w:rsid w:val="2EBF7B3E"/>
    <w:rsid w:val="2FCA4B37"/>
    <w:rsid w:val="2FE029D7"/>
    <w:rsid w:val="2FF06E00"/>
    <w:rsid w:val="30562E26"/>
    <w:rsid w:val="30586FEC"/>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672547"/>
    <w:rsid w:val="3DDF3AB1"/>
    <w:rsid w:val="3E1D0952"/>
    <w:rsid w:val="3E42660A"/>
    <w:rsid w:val="3E7555B1"/>
    <w:rsid w:val="3E787ED9"/>
    <w:rsid w:val="3EEC37F3"/>
    <w:rsid w:val="3F032E93"/>
    <w:rsid w:val="3F0527E5"/>
    <w:rsid w:val="3F6417BB"/>
    <w:rsid w:val="3F694D83"/>
    <w:rsid w:val="3F885DCC"/>
    <w:rsid w:val="3FCD675E"/>
    <w:rsid w:val="4004000C"/>
    <w:rsid w:val="411B6CE5"/>
    <w:rsid w:val="412070D7"/>
    <w:rsid w:val="41314E40"/>
    <w:rsid w:val="41E0734B"/>
    <w:rsid w:val="426554D0"/>
    <w:rsid w:val="426C1EA8"/>
    <w:rsid w:val="42736402"/>
    <w:rsid w:val="42E86A87"/>
    <w:rsid w:val="43307B09"/>
    <w:rsid w:val="43633808"/>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EC04229"/>
    <w:rsid w:val="4F0C6BA3"/>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215A20"/>
    <w:rsid w:val="5842572D"/>
    <w:rsid w:val="58D66223"/>
    <w:rsid w:val="5A3B59D6"/>
    <w:rsid w:val="5AD134D8"/>
    <w:rsid w:val="5C263CE4"/>
    <w:rsid w:val="5C5D2777"/>
    <w:rsid w:val="5CF66BF3"/>
    <w:rsid w:val="5D290C69"/>
    <w:rsid w:val="5F2D4A41"/>
    <w:rsid w:val="5F9A0020"/>
    <w:rsid w:val="60C74F6C"/>
    <w:rsid w:val="61025A59"/>
    <w:rsid w:val="61126205"/>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B1613"/>
    <w:rsid w:val="6AAD2300"/>
    <w:rsid w:val="6B474EF5"/>
    <w:rsid w:val="6BA054CE"/>
    <w:rsid w:val="6BBF53FD"/>
    <w:rsid w:val="6C560CAE"/>
    <w:rsid w:val="6C576495"/>
    <w:rsid w:val="6D1576ED"/>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0F2E95"/>
    <w:rsid w:val="754758CF"/>
    <w:rsid w:val="764F62AB"/>
    <w:rsid w:val="765C45EC"/>
    <w:rsid w:val="768A7619"/>
    <w:rsid w:val="772E1EBA"/>
    <w:rsid w:val="77DC2C54"/>
    <w:rsid w:val="77EB79F7"/>
    <w:rsid w:val="796D60A4"/>
    <w:rsid w:val="79A031D5"/>
    <w:rsid w:val="7A1525F7"/>
    <w:rsid w:val="7B420052"/>
    <w:rsid w:val="7B861484"/>
    <w:rsid w:val="7BD06A28"/>
    <w:rsid w:val="7C3A7C0B"/>
    <w:rsid w:val="7C5248E4"/>
    <w:rsid w:val="7C566698"/>
    <w:rsid w:val="7C5866A3"/>
    <w:rsid w:val="7D7406BB"/>
    <w:rsid w:val="7DE94331"/>
    <w:rsid w:val="7E7906DE"/>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3">
    <w:name w:val="heading 4"/>
    <w:basedOn w:val="1"/>
    <w:next w:val="1"/>
    <w:unhideWhenUsed/>
    <w:qFormat/>
    <w:uiPriority w:val="0"/>
    <w:pPr>
      <w:spacing w:beforeAutospacing="1" w:afterAutospacing="1"/>
      <w:outlineLvl w:val="3"/>
    </w:pPr>
    <w:rPr>
      <w:b/>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840" w:leftChars="400"/>
    </w:pPr>
    <w:rPr>
      <w:rFonts w:ascii="Times New Roman" w:hAnsi="Times New Roman" w:eastAsia="方正仿宋简体"/>
      <w:szCs w:val="22"/>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link w:val="16"/>
    <w:qFormat/>
    <w:uiPriority w:val="99"/>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页眉 字符"/>
    <w:basedOn w:val="10"/>
    <w:link w:val="5"/>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2913</Words>
  <Characters>16609</Characters>
  <Lines>138</Lines>
  <Paragraphs>38</Paragraphs>
  <TotalTime>1</TotalTime>
  <ScaleCrop>false</ScaleCrop>
  <LinksUpToDate>false</LinksUpToDate>
  <CharactersWithSpaces>19484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2025-10-22T01:44:59Z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BB46EABDBB2749749395447164B066B3_12</vt:lpwstr>
  </property>
</Properties>
</file>