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280" w:afterAutospacing="0" w:line="315" w:lineRule="atLeast"/>
        <w:ind w:left="0" w:right="0"/>
        <w:jc w:val="center"/>
        <w:rPr>
          <w:sz w:val="36"/>
          <w:szCs w:val="36"/>
        </w:rPr>
      </w:pPr>
      <w:r>
        <w:rPr>
          <w:rFonts w:ascii="方正小标宋_GBK" w:hAnsi="方正小标宋_GBK" w:eastAsia="方正小标宋_GBK" w:cs="方正小标宋_GBK"/>
          <w:sz w:val="36"/>
          <w:szCs w:val="36"/>
        </w:rPr>
        <w:t>垫江县市政服务中心</w:t>
      </w:r>
      <w:r>
        <w:rPr>
          <w:rFonts w:hint="eastAsia" w:ascii="方正小标宋_GBK" w:hAnsi="方正小标宋_GBK" w:eastAsia="方正小标宋_GBK" w:cs="方正小标宋_GBK"/>
          <w:sz w:val="36"/>
          <w:szCs w:val="36"/>
          <w:shd w:val="clear" w:fill="FFFFFF"/>
        </w:rPr>
        <w:t>2023年度决算公开说明</w:t>
      </w:r>
    </w:p>
    <w:p>
      <w:pPr>
        <w:pStyle w:val="6"/>
        <w:keepNext w:val="0"/>
        <w:keepLines w:val="0"/>
        <w:widowControl/>
        <w:suppressLineNumbers w:val="0"/>
        <w:shd w:val="clear" w:fill="FFFFFF"/>
        <w:spacing w:before="280" w:beforeAutospacing="0" w:after="280" w:afterAutospacing="0" w:line="315" w:lineRule="atLeast"/>
        <w:ind w:left="0" w:right="0" w:firstLine="640"/>
        <w:rPr>
          <w:sz w:val="32"/>
          <w:szCs w:val="32"/>
        </w:rPr>
      </w:pPr>
      <w:r>
        <w:rPr>
          <w:rFonts w:ascii="黑体" w:hAnsi="宋体" w:eastAsia="黑体" w:cs="黑体"/>
          <w:b/>
          <w:sz w:val="32"/>
          <w:szCs w:val="32"/>
          <w:shd w:val="clear" w:fill="FFFFFF"/>
        </w:rPr>
        <w:t>一、单位基本情况</w:t>
      </w:r>
    </w:p>
    <w:p>
      <w:pPr>
        <w:pStyle w:val="6"/>
        <w:keepNext w:val="0"/>
        <w:keepLines w:val="0"/>
        <w:widowControl/>
        <w:suppressLineNumbers w:val="0"/>
        <w:shd w:val="clear" w:fill="FFFFFF"/>
        <w:spacing w:before="280" w:beforeAutospacing="0" w:after="280" w:afterAutospacing="0" w:line="315" w:lineRule="atLeast"/>
        <w:ind w:left="0" w:right="0" w:firstLine="420"/>
        <w:rPr>
          <w:sz w:val="32"/>
          <w:szCs w:val="32"/>
        </w:rPr>
      </w:pPr>
      <w:r>
        <w:rPr>
          <w:rFonts w:ascii="方正仿宋_GBK" w:hAnsi="方正仿宋_GBK" w:eastAsia="方正仿宋_GBK" w:cs="方正仿宋_GBK"/>
          <w:sz w:val="32"/>
          <w:szCs w:val="32"/>
          <w:shd w:val="clear" w:fill="FFFFFF"/>
        </w:rPr>
        <w:t>垫江县市政服务中心隶属于垫江县城市管理局。</w:t>
      </w:r>
    </w:p>
    <w:p>
      <w:pPr>
        <w:pStyle w:val="6"/>
        <w:keepNext w:val="0"/>
        <w:keepLines w:val="0"/>
        <w:widowControl/>
        <w:suppressLineNumbers w:val="0"/>
        <w:shd w:val="clear" w:fill="FFFFFF"/>
        <w:spacing w:before="280" w:beforeAutospacing="0" w:after="280" w:afterAutospacing="0" w:line="315" w:lineRule="atLeast"/>
        <w:ind w:left="0" w:right="0" w:firstLine="420"/>
        <w:rPr>
          <w:sz w:val="32"/>
          <w:szCs w:val="32"/>
        </w:rPr>
      </w:pPr>
      <w:r>
        <w:rPr>
          <w:rFonts w:ascii="楷体" w:hAnsi="楷体" w:eastAsia="楷体" w:cs="楷体"/>
          <w:b/>
          <w:sz w:val="32"/>
          <w:szCs w:val="32"/>
          <w:shd w:val="clear" w:fill="FFFFFF"/>
        </w:rPr>
        <w:t>（一）职能职责</w:t>
      </w:r>
    </w:p>
    <w:p>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19"/>
          <w:sz w:val="32"/>
          <w:szCs w:val="32"/>
        </w:rPr>
        <w:t>1. 承担城区市政道路、桥梁、隧道、雕塑</w:t>
      </w:r>
      <w:r>
        <w:rPr>
          <w:rFonts w:hint="eastAsia" w:ascii="方正仿宋_GBK" w:hAnsi="方正仿宋_GBK" w:eastAsia="方正仿宋_GBK" w:cs="方正仿宋_GBK"/>
          <w:spacing w:val="18"/>
          <w:sz w:val="32"/>
          <w:szCs w:val="32"/>
        </w:rPr>
        <w:t>、停车场所等</w:t>
      </w:r>
      <w:r>
        <w:rPr>
          <w:rFonts w:hint="eastAsia" w:ascii="方正仿宋_GBK" w:hAnsi="方正仿宋_GBK" w:eastAsia="方正仿宋_GBK" w:cs="方正仿宋_GBK"/>
          <w:spacing w:val="20"/>
          <w:sz w:val="32"/>
          <w:szCs w:val="32"/>
        </w:rPr>
        <w:t>市政设施及其附属设施运行维护；</w:t>
      </w:r>
    </w:p>
    <w:p>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2. 承担城区道路、夜景景观照明运行维护；</w:t>
      </w:r>
    </w:p>
    <w:p>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14"/>
          <w:sz w:val="32"/>
          <w:szCs w:val="32"/>
        </w:rPr>
        <w:t>3. 承担城区照明系统自动化运行维护；</w:t>
      </w:r>
    </w:p>
    <w:p>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4. 承担城区公厕、垃圾中转站及果皮箱、垃圾分类等城市环境卫生设施运行维护；</w:t>
      </w:r>
    </w:p>
    <w:p>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5. 承担城区公共区域（主次干道、背街小巷、广场、公园、绿带）环境卫生作业的组织等工作；</w:t>
      </w:r>
    </w:p>
    <w:p>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6. 承担城区牛皮癣清除的工作；</w:t>
      </w:r>
    </w:p>
    <w:p>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7. 承担城镇生活垃圾的收集、运输、处置等工作；</w:t>
      </w:r>
    </w:p>
    <w:p>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8. 承担城区垃圾分类等工作；</w:t>
      </w:r>
    </w:p>
    <w:p>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9. 承担城区河道、水域清漂等工作；</w:t>
      </w:r>
    </w:p>
    <w:p>
      <w:pPr>
        <w:pStyle w:val="6"/>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pacing w:val="20"/>
          <w:sz w:val="32"/>
          <w:szCs w:val="32"/>
        </w:rPr>
        <w:t>10. 指导乡镇环境卫生和市政设施事务性工作。</w:t>
      </w:r>
    </w:p>
    <w:p>
      <w:pPr>
        <w:pStyle w:val="6"/>
        <w:keepNext w:val="0"/>
        <w:keepLines w:val="0"/>
        <w:widowControl/>
        <w:suppressLineNumbers w:val="0"/>
        <w:shd w:val="clear" w:fill="FFFFFF"/>
        <w:spacing w:before="280" w:beforeAutospacing="0" w:after="280" w:afterAutospacing="0" w:line="315" w:lineRule="atLeast"/>
        <w:ind w:left="0" w:right="0" w:firstLine="420"/>
        <w:rPr>
          <w:sz w:val="32"/>
          <w:szCs w:val="32"/>
        </w:rPr>
      </w:pPr>
      <w:r>
        <w:rPr>
          <w:rFonts w:hint="eastAsia" w:ascii="楷体" w:hAnsi="楷体" w:eastAsia="楷体" w:cs="楷体"/>
          <w:b/>
          <w:sz w:val="32"/>
          <w:szCs w:val="32"/>
          <w:shd w:val="clear" w:fill="FFFFFF"/>
        </w:rPr>
        <w:t>（二）机构设置</w:t>
      </w:r>
    </w:p>
    <w:p>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sz w:val="32"/>
          <w:szCs w:val="32"/>
          <w:shd w:val="clear" w:fill="FFFFFF"/>
        </w:rPr>
        <w:t>根据上述职责，垫江县市政服务中心设 4 个内设科室：</w:t>
      </w:r>
    </w:p>
    <w:p>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sz w:val="32"/>
          <w:szCs w:val="32"/>
          <w:shd w:val="clear" w:fill="FFFFFF"/>
        </w:rPr>
        <w:t>办公室。负责文电、会务、宣传、保密、后勤、档案等 工作；负责党的建设、政工人事、群团等工作；负责综合性 文稿、内部管理制度起草审核工作；负责信访维稳、议提案 办理；负责环境保护、安全生产、目标考核等；承担财务管 理、资产管理等工作；负责设施设备、材料、物资保管以及 车辆维修维护；负责内部审计和单位核算；负责垃圾处置费 征收相关工作；完成县城市管理局、中心交办的其他工作。</w:t>
      </w:r>
    </w:p>
    <w:p>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sz w:val="32"/>
          <w:szCs w:val="32"/>
          <w:shd w:val="clear" w:fill="FFFFFF"/>
        </w:rPr>
        <w:t>环卫管护科。负责城区公共区域环境卫生和城区公厕、 垃圾中转站等环卫设施运行管护工作；负责县城区公共区域机扫冲洗作业、清扫保洁作业、垃圾收运作业、水域清漂作 业；负责化粪池监测；责县城区公共区域垃圾分类作业和厨余垃圾收运；负责脏车入城自动冲洗点工作；完成县城市管理局、中心交办的其他工作。</w:t>
      </w:r>
    </w:p>
    <w:p>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sz w:val="32"/>
          <w:szCs w:val="32"/>
          <w:shd w:val="clear" w:fill="FFFFFF"/>
        </w:rPr>
        <w:t>垃圾处置科。负责采集生活垃圾填埋场、焚烧发电厂、 渗滤液处理厂等的垃圾处理量、工艺标准和作业质量等方面 数据信息；负责检测生活垃圾、渗滤液处理计量工作； 完成县城市管理局、中心交办的其他工作。</w:t>
      </w:r>
    </w:p>
    <w:p>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sz w:val="32"/>
          <w:szCs w:val="32"/>
          <w:shd w:val="clear" w:fill="FFFFFF"/>
        </w:rPr>
        <w:t>设施管护科。负责城区市政道路、桥梁、隧道、雕塑、停车场所等市政设施及其附属设施运行维护；负责县城区桥梁、隧道安全检测；参与临时开挖及占用城市道路现场勘察；负责城市道路照明、夜景景观照明设施设备运行维护；负责远程智能终端系统等设备运行维护；完成县城市管理局、中心交办的其他工作。</w:t>
      </w:r>
    </w:p>
    <w:p>
      <w:pPr>
        <w:pStyle w:val="6"/>
        <w:keepNext w:val="0"/>
        <w:keepLines w:val="0"/>
        <w:widowControl/>
        <w:suppressLineNumbers w:val="0"/>
        <w:shd w:val="clear" w:fill="FFFFFF"/>
        <w:spacing w:before="280" w:beforeAutospacing="0" w:after="280" w:afterAutospacing="0" w:line="315" w:lineRule="atLeast"/>
        <w:ind w:left="0" w:right="0" w:firstLine="640"/>
        <w:rPr>
          <w:sz w:val="32"/>
          <w:szCs w:val="32"/>
        </w:rPr>
      </w:pPr>
      <w:r>
        <w:rPr>
          <w:rFonts w:hint="default" w:ascii="黑体" w:hAnsi="宋体" w:eastAsia="黑体" w:cs="黑体"/>
          <w:b/>
          <w:sz w:val="32"/>
          <w:szCs w:val="32"/>
          <w:shd w:val="clear" w:fill="FFFFFF"/>
        </w:rPr>
        <w:t>二、部门决算情况说明</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（一）收入支出决算总体情况说明。</w:t>
      </w:r>
    </w:p>
    <w:p>
      <w:pPr>
        <w:pStyle w:val="6"/>
        <w:keepNext w:val="0"/>
        <w:keepLines w:val="0"/>
        <w:widowControl/>
        <w:suppressLineNumbers w:val="0"/>
        <w:spacing w:before="257" w:beforeAutospacing="0" w:after="0" w:afterAutospacing="0" w:line="410" w:lineRule="atLeast"/>
        <w:ind w:left="0" w:right="0" w:firstLine="696"/>
        <w:rPr>
          <w:sz w:val="32"/>
          <w:szCs w:val="32"/>
        </w:rPr>
      </w:pPr>
      <w:r>
        <w:rPr>
          <w:rFonts w:hint="eastAsia" w:ascii="方正仿宋_GBK" w:hAnsi="方正仿宋_GBK" w:eastAsia="方正仿宋_GBK" w:cs="方正仿宋_GBK"/>
          <w:b/>
          <w:sz w:val="32"/>
          <w:szCs w:val="32"/>
          <w:shd w:val="clear" w:fill="FFFFFF"/>
        </w:rPr>
        <w:t>1.总体情况。</w:t>
      </w:r>
      <w:r>
        <w:rPr>
          <w:rFonts w:hint="eastAsia" w:ascii="方正仿宋_GBK" w:hAnsi="方正仿宋_GBK" w:eastAsia="方正仿宋_GBK" w:cs="方正仿宋_GBK"/>
          <w:sz w:val="32"/>
          <w:szCs w:val="32"/>
          <w:shd w:val="clear" w:fill="FFFFFF"/>
        </w:rPr>
        <w:t>2023年度收入总计11996.04万元，支出总计</w:t>
      </w:r>
      <w:r>
        <w:rPr>
          <w:rFonts w:hint="eastAsia" w:ascii="方正仿宋_GBK" w:hAnsi="方正仿宋_GBK" w:eastAsia="方正仿宋_GBK" w:cs="方正仿宋_GBK"/>
          <w:sz w:val="32"/>
          <w:szCs w:val="32"/>
        </w:rPr>
        <w:t>11996.04</w:t>
      </w:r>
      <w:r>
        <w:rPr>
          <w:rFonts w:hint="eastAsia" w:ascii="方正仿宋_GBK" w:hAnsi="方正仿宋_GBK" w:eastAsia="方正仿宋_GBK" w:cs="方正仿宋_GBK"/>
          <w:sz w:val="32"/>
          <w:szCs w:val="32"/>
          <w:shd w:val="clear" w:fill="FFFFFF"/>
        </w:rPr>
        <w:t>万元。收支较上年决算数增加1597.63万元，增长15.36%，主要原因是</w:t>
      </w:r>
      <w:r>
        <w:rPr>
          <w:rFonts w:hint="eastAsia" w:ascii="方正仿宋_GBK" w:hAnsi="方正仿宋_GBK" w:eastAsia="方正仿宋_GBK" w:cs="方正仿宋_GBK"/>
          <w:spacing w:val="12"/>
          <w:sz w:val="32"/>
          <w:szCs w:val="32"/>
        </w:rPr>
        <w:t>一般公共预算财政拨款收入</w:t>
      </w:r>
      <w:r>
        <w:rPr>
          <w:rFonts w:hint="eastAsia" w:ascii="方正仿宋_GBK" w:hAnsi="方正仿宋_GBK" w:eastAsia="方正仿宋_GBK" w:cs="方正仿宋_GBK"/>
          <w:sz w:val="32"/>
          <w:szCs w:val="32"/>
          <w:shd w:val="clear" w:fill="FFFFFF"/>
        </w:rPr>
        <w:t> 1240.75万元较上年增加145.07万元，增长13.24%，政府性基金预算财政拨款收入10755.29万元较上年增加1922.56万元，增长21.77%；本年支出11996.04万元较上年增长1597.63万元，增长15.36%，年末结转结余0.00万元较上年基本持平。</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2.收入情况。</w:t>
      </w:r>
      <w:r>
        <w:rPr>
          <w:rFonts w:hint="eastAsia" w:ascii="方正仿宋_GBK" w:hAnsi="方正仿宋_GBK" w:eastAsia="方正仿宋_GBK" w:cs="方正仿宋_GBK"/>
          <w:sz w:val="32"/>
          <w:szCs w:val="32"/>
          <w:shd w:val="clear" w:fill="FFFFFF"/>
        </w:rPr>
        <w:t>2023年度收入合计11996.04万元，较上年决算数增加2067.63万元，增长20.83%，主要原因是政府性基金较上年增加生活垃圾处置费1609.71万元；一般公共预算较上年增加购买人员补差经费105.70万元，疫情防控经费30.00万元。其中：财政拨款收入</w:t>
      </w:r>
      <w:r>
        <w:rPr>
          <w:rFonts w:hint="eastAsia" w:ascii="方正仿宋_GBK" w:hAnsi="方正仿宋_GBK" w:eastAsia="方正仿宋_GBK" w:cs="方正仿宋_GBK"/>
          <w:sz w:val="32"/>
          <w:szCs w:val="32"/>
        </w:rPr>
        <w:t>11996.04</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100.00</w:t>
      </w:r>
      <w:r>
        <w:rPr>
          <w:rFonts w:hint="eastAsia" w:ascii="方正仿宋_GBK" w:hAnsi="方正仿宋_GBK" w:eastAsia="方正仿宋_GBK" w:cs="方正仿宋_GBK"/>
          <w:sz w:val="32"/>
          <w:szCs w:val="32"/>
          <w:shd w:val="clear" w:fill="FFFFFF"/>
        </w:rPr>
        <w:t>%；事业收入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万元，占0.00%；经营收入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万元，占0.00%；其他收入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万元，占0.00%。此外，使用非财政拨款结余和专用结余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万元，年初结转和结余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3.支出情况。</w:t>
      </w:r>
      <w:r>
        <w:rPr>
          <w:rFonts w:hint="eastAsia" w:ascii="方正仿宋_GBK" w:hAnsi="方正仿宋_GBK" w:eastAsia="方正仿宋_GBK" w:cs="方正仿宋_GBK"/>
          <w:sz w:val="32"/>
          <w:szCs w:val="32"/>
          <w:shd w:val="clear" w:fill="FFFFFF"/>
        </w:rPr>
        <w:t>2023年度支出合计</w:t>
      </w:r>
      <w:r>
        <w:rPr>
          <w:rFonts w:hint="eastAsia" w:ascii="方正仿宋_GBK" w:hAnsi="方正仿宋_GBK" w:eastAsia="方正仿宋_GBK" w:cs="方正仿宋_GBK"/>
          <w:sz w:val="32"/>
          <w:szCs w:val="32"/>
        </w:rPr>
        <w:t>11996.04</w:t>
      </w:r>
      <w:r>
        <w:rPr>
          <w:rFonts w:hint="eastAsia" w:ascii="方正仿宋_GBK" w:hAnsi="方正仿宋_GBK" w:eastAsia="方正仿宋_GBK" w:cs="方正仿宋_GBK"/>
          <w:sz w:val="32"/>
          <w:szCs w:val="32"/>
          <w:shd w:val="clear" w:fill="FFFFFF"/>
        </w:rPr>
        <w:t>万元，较上年决算数增加1597.63万元，增长15.36%，主要原因是政府性基金较上年增加生活垃圾处置费1609.71万元；一般公共预算较上年增加购买人员补差经费105.7万元，疫情防控经费30.00万元。其中：基本支出</w:t>
      </w:r>
      <w:r>
        <w:rPr>
          <w:rFonts w:hint="eastAsia" w:ascii="方正仿宋_GBK" w:hAnsi="方正仿宋_GBK" w:eastAsia="方正仿宋_GBK" w:cs="方正仿宋_GBK"/>
          <w:sz w:val="32"/>
          <w:szCs w:val="32"/>
        </w:rPr>
        <w:t>1019.27</w:t>
      </w:r>
      <w:r>
        <w:rPr>
          <w:rFonts w:hint="eastAsia" w:ascii="方正仿宋_GBK" w:hAnsi="方正仿宋_GBK" w:eastAsia="方正仿宋_GBK" w:cs="方正仿宋_GBK"/>
          <w:sz w:val="32"/>
          <w:szCs w:val="32"/>
          <w:shd w:val="clear" w:fill="FFFFFF"/>
        </w:rPr>
        <w:t>万元，占8.50%；项目支出</w:t>
      </w:r>
      <w:r>
        <w:rPr>
          <w:rFonts w:hint="eastAsia" w:ascii="方正仿宋_GBK" w:hAnsi="方正仿宋_GBK" w:eastAsia="方正仿宋_GBK" w:cs="方正仿宋_GBK"/>
          <w:sz w:val="32"/>
          <w:szCs w:val="32"/>
        </w:rPr>
        <w:t>10976.76</w:t>
      </w:r>
      <w:r>
        <w:rPr>
          <w:rFonts w:hint="eastAsia" w:ascii="方正仿宋_GBK" w:hAnsi="方正仿宋_GBK" w:eastAsia="方正仿宋_GBK" w:cs="方正仿宋_GBK"/>
          <w:sz w:val="32"/>
          <w:szCs w:val="32"/>
          <w:shd w:val="clear" w:fill="FFFFFF"/>
        </w:rPr>
        <w:t>万元，占91.50%；经营支出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万元，占0.00%。此外，结余分配</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4.结转结余情况。</w:t>
      </w:r>
      <w:r>
        <w:rPr>
          <w:rFonts w:hint="eastAsia" w:ascii="方正仿宋_GBK" w:hAnsi="方正仿宋_GBK" w:eastAsia="方正仿宋_GBK" w:cs="方正仿宋_GBK"/>
          <w:sz w:val="32"/>
          <w:szCs w:val="32"/>
          <w:shd w:val="clear" w:fill="FFFFFF"/>
        </w:rPr>
        <w:t>2023年度年末结转和结余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万元，较上年决算数无增减，主要原因是严格控制经费收支平衡。</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（二）财政拨款收入支出决算总体情况说明</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2023年度财政拨款收、支总计11996.04万元。与2022年相比，财政拨款收、支总计各增加1597.63万元，增长15.36%。主要原因是政府性基金较上年增加生活垃圾处置费1609.71万元；一般公共预算较上年增加购买人员补差经费105.70万元，疫情防控经费30.00万元。</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（三）一般公共预算财政拨款收入支出决算情况说明</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1.收入情况。</w:t>
      </w:r>
      <w:r>
        <w:rPr>
          <w:rFonts w:hint="eastAsia" w:ascii="方正仿宋_GBK" w:hAnsi="方正仿宋_GBK" w:eastAsia="方正仿宋_GBK" w:cs="方正仿宋_GBK"/>
          <w:sz w:val="32"/>
          <w:szCs w:val="32"/>
          <w:shd w:val="clear" w:fill="FFFFFF"/>
        </w:rPr>
        <w:t>2023年度一般公共预算财政拨款收入</w:t>
      </w:r>
      <w:r>
        <w:rPr>
          <w:rFonts w:hint="eastAsia" w:ascii="方正仿宋_GBK" w:hAnsi="方正仿宋_GBK" w:eastAsia="方正仿宋_GBK" w:cs="方正仿宋_GBK"/>
          <w:sz w:val="32"/>
          <w:szCs w:val="32"/>
        </w:rPr>
        <w:t>1240.75</w:t>
      </w:r>
      <w:r>
        <w:rPr>
          <w:rFonts w:hint="eastAsia" w:ascii="方正仿宋_GBK" w:hAnsi="方正仿宋_GBK" w:eastAsia="方正仿宋_GBK" w:cs="方正仿宋_GBK"/>
          <w:sz w:val="32"/>
          <w:szCs w:val="32"/>
          <w:shd w:val="clear" w:fill="FFFFFF"/>
        </w:rPr>
        <w:t>万元，较上年决算数增加145.07万元，增长13.24%。主要原因是本年增加疫情防控专项经费和市财政衔接推进乡村振兴补助资金（农村环境卫生治理）较年初预算数减少172.62万元，下降12.21%。主要原因是市财政衔接推进乡村振兴补助资金（农村环境卫生治理）调剂支出。此外，年初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2.支出情况。</w:t>
      </w:r>
      <w:r>
        <w:rPr>
          <w:rFonts w:hint="eastAsia" w:ascii="方正仿宋_GBK" w:hAnsi="方正仿宋_GBK" w:eastAsia="方正仿宋_GBK" w:cs="方正仿宋_GBK"/>
          <w:sz w:val="32"/>
          <w:szCs w:val="32"/>
          <w:shd w:val="clear" w:fill="FFFFFF"/>
        </w:rPr>
        <w:t>2023年度一般公共预算财政拨款支出</w:t>
      </w:r>
      <w:r>
        <w:rPr>
          <w:rFonts w:hint="eastAsia" w:ascii="方正仿宋_GBK" w:hAnsi="方正仿宋_GBK" w:eastAsia="方正仿宋_GBK" w:cs="方正仿宋_GBK"/>
          <w:sz w:val="32"/>
          <w:szCs w:val="32"/>
        </w:rPr>
        <w:t>1240.75</w:t>
      </w:r>
      <w:r>
        <w:rPr>
          <w:rFonts w:hint="eastAsia" w:ascii="方正仿宋_GBK" w:hAnsi="方正仿宋_GBK" w:eastAsia="方正仿宋_GBK" w:cs="方正仿宋_GBK"/>
          <w:sz w:val="32"/>
          <w:szCs w:val="32"/>
          <w:shd w:val="clear" w:fill="FFFFFF"/>
        </w:rPr>
        <w:t>万元，较上年决算数减少104.93万元，下降7.80%。主要原因是本年在节能环保支出中减少市政设施维护维修项目资金。较年初预算数减少172.62万元，下降12.21%。主要原因是市财政衔接推进乡村振兴补助资金（农村环境卫生治理）调剂支出。</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3.结转结余情况。</w:t>
      </w:r>
      <w:r>
        <w:rPr>
          <w:rFonts w:hint="eastAsia" w:ascii="方正仿宋_GBK" w:hAnsi="方正仿宋_GBK" w:eastAsia="方正仿宋_GBK" w:cs="方正仿宋_GBK"/>
          <w:sz w:val="32"/>
          <w:szCs w:val="32"/>
          <w:shd w:val="clear" w:fill="FFFFFF"/>
        </w:rPr>
        <w:t>2023年度年末一般公共预算财政拨款结转和结余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万元，较上年决算数无增减，主要原因是规范资金用途，合理使用资金。</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 4.比较情况。</w:t>
      </w:r>
      <w:r>
        <w:rPr>
          <w:rFonts w:hint="eastAsia" w:ascii="方正仿宋_GBK" w:hAnsi="方正仿宋_GBK" w:eastAsia="方正仿宋_GBK" w:cs="方正仿宋_GBK"/>
          <w:sz w:val="32"/>
          <w:szCs w:val="32"/>
          <w:shd w:val="clear" w:fill="FFFFFF"/>
        </w:rPr>
        <w:t>本部门2023年度一般公共预算财政拨款支出主要用于以下几个方面：</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（1）教育支出</w:t>
      </w:r>
      <w:r>
        <w:rPr>
          <w:rFonts w:hint="eastAsia" w:ascii="方正仿宋_GBK" w:hAnsi="方正仿宋_GBK" w:eastAsia="方正仿宋_GBK" w:cs="方正仿宋_GBK"/>
          <w:sz w:val="32"/>
          <w:szCs w:val="32"/>
        </w:rPr>
        <w:t>2.09</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0.17</w:t>
      </w:r>
      <w:r>
        <w:rPr>
          <w:rFonts w:hint="eastAsia" w:ascii="方正仿宋_GBK" w:hAnsi="方正仿宋_GBK" w:eastAsia="方正仿宋_GBK" w:cs="方正仿宋_GBK"/>
          <w:sz w:val="32"/>
          <w:szCs w:val="32"/>
          <w:shd w:val="clear" w:fill="FFFFFF"/>
        </w:rPr>
        <w:t>%，较年初预算数无增减，主要原因是严格控制经费收支平衡。</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（2）社会保障与就业支出</w:t>
      </w:r>
      <w:r>
        <w:rPr>
          <w:rFonts w:hint="eastAsia" w:ascii="方正仿宋_GBK" w:hAnsi="方正仿宋_GBK" w:eastAsia="方正仿宋_GBK" w:cs="方正仿宋_GBK"/>
          <w:sz w:val="32"/>
          <w:szCs w:val="32"/>
        </w:rPr>
        <w:t>116.61</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9.40</w:t>
      </w:r>
      <w:r>
        <w:rPr>
          <w:rFonts w:hint="eastAsia" w:ascii="方正仿宋_GBK" w:hAnsi="方正仿宋_GBK" w:eastAsia="方正仿宋_GBK" w:cs="方正仿宋_GBK"/>
          <w:sz w:val="32"/>
          <w:szCs w:val="32"/>
          <w:shd w:val="clear" w:fill="FFFFFF"/>
        </w:rPr>
        <w:t>%，较年初预算数增加7.01万元，增长6.40%，主要原因是社保缴费基数上调，导致费用增加。</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（3）卫生健康支出</w:t>
      </w:r>
      <w:r>
        <w:rPr>
          <w:rFonts w:hint="eastAsia" w:ascii="方正仿宋_GBK" w:hAnsi="方正仿宋_GBK" w:eastAsia="方正仿宋_GBK" w:cs="方正仿宋_GBK"/>
          <w:sz w:val="32"/>
          <w:szCs w:val="32"/>
        </w:rPr>
        <w:t>54.55</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4.40</w:t>
      </w:r>
      <w:r>
        <w:rPr>
          <w:rFonts w:hint="eastAsia" w:ascii="方正仿宋_GBK" w:hAnsi="方正仿宋_GBK" w:eastAsia="方正仿宋_GBK" w:cs="方正仿宋_GBK"/>
          <w:sz w:val="32"/>
          <w:szCs w:val="32"/>
          <w:shd w:val="clear" w:fill="FFFFFF"/>
        </w:rPr>
        <w:t>%，较年初预算数增加29.14万元，增长114.68%，主要原因是社保缴费基数上调，导致费用增加。</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（4）节能环保支出</w:t>
      </w:r>
      <w:r>
        <w:rPr>
          <w:rFonts w:hint="eastAsia" w:ascii="方正仿宋_GBK" w:hAnsi="方正仿宋_GBK" w:eastAsia="方正仿宋_GBK" w:cs="方正仿宋_GBK"/>
          <w:sz w:val="32"/>
          <w:szCs w:val="32"/>
        </w:rPr>
        <w:t>37.28</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3.00</w:t>
      </w:r>
      <w:r>
        <w:rPr>
          <w:rFonts w:hint="eastAsia" w:ascii="方正仿宋_GBK" w:hAnsi="方正仿宋_GBK" w:eastAsia="方正仿宋_GBK" w:cs="方正仿宋_GBK"/>
          <w:sz w:val="32"/>
          <w:szCs w:val="32"/>
          <w:shd w:val="clear" w:fill="FFFFFF"/>
        </w:rPr>
        <w:t>%，较年初预算数减少82.77万元，下降68.95%，主要原因是本年度清漂资金结余结转下年继续使用。</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（5）城乡社区支出</w:t>
      </w:r>
      <w:r>
        <w:rPr>
          <w:rFonts w:hint="eastAsia" w:ascii="方正仿宋_GBK" w:hAnsi="方正仿宋_GBK" w:eastAsia="方正仿宋_GBK" w:cs="方正仿宋_GBK"/>
          <w:sz w:val="32"/>
          <w:szCs w:val="32"/>
        </w:rPr>
        <w:t>932.41</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75.15</w:t>
      </w:r>
      <w:r>
        <w:rPr>
          <w:rFonts w:hint="eastAsia" w:ascii="方正仿宋_GBK" w:hAnsi="方正仿宋_GBK" w:eastAsia="方正仿宋_GBK" w:cs="方正仿宋_GBK"/>
          <w:sz w:val="32"/>
          <w:szCs w:val="32"/>
          <w:shd w:val="clear" w:fill="FFFFFF"/>
        </w:rPr>
        <w:t>%，较年初预算数增加85.69万元，增长10.12%，主要原因是社保及住房公积金缴费基数上调，导致增加支出。</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（6）农林水支出</w:t>
      </w:r>
      <w:r>
        <w:rPr>
          <w:rFonts w:hint="eastAsia" w:ascii="方正仿宋_GBK" w:hAnsi="方正仿宋_GBK" w:eastAsia="方正仿宋_GBK" w:cs="方正仿宋_GBK"/>
          <w:sz w:val="32"/>
          <w:szCs w:val="32"/>
        </w:rPr>
        <w:t>47.20</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3.80</w:t>
      </w:r>
      <w:r>
        <w:rPr>
          <w:rFonts w:hint="eastAsia" w:ascii="方正仿宋_GBK" w:hAnsi="方正仿宋_GBK" w:eastAsia="方正仿宋_GBK" w:cs="方正仿宋_GBK"/>
          <w:sz w:val="32"/>
          <w:szCs w:val="32"/>
          <w:shd w:val="clear" w:fill="FFFFFF"/>
        </w:rPr>
        <w:t>%，较年初预算数减少231.80万元，下降83.08%，主要原因是市财政衔接推进乡村振兴补助资金（农村环境卫生治理）调剂支出226.27万元，1.53万元结转下年继续使用。</w:t>
      </w:r>
    </w:p>
    <w:p>
      <w:pPr>
        <w:pStyle w:val="6"/>
        <w:keepNext w:val="0"/>
        <w:keepLines w:val="0"/>
        <w:widowControl/>
        <w:suppressLineNumbers w:val="0"/>
        <w:spacing w:before="0" w:beforeAutospacing="0" w:after="0" w:afterAutospacing="0" w:line="315" w:lineRule="atLeast"/>
        <w:ind w:left="0" w:right="0" w:firstLine="640"/>
        <w:rPr>
          <w:sz w:val="32"/>
          <w:szCs w:val="32"/>
        </w:rPr>
      </w:pPr>
      <w:r>
        <w:rPr>
          <w:rFonts w:hint="eastAsia" w:ascii="方正仿宋_GBK" w:hAnsi="方正仿宋_GBK" w:eastAsia="方正仿宋_GBK" w:cs="方正仿宋_GBK"/>
          <w:sz w:val="32"/>
          <w:szCs w:val="32"/>
          <w:shd w:val="clear" w:fill="FFFFFF"/>
        </w:rPr>
        <w:t>（7）</w:t>
      </w:r>
      <w:r>
        <w:rPr>
          <w:rFonts w:hint="eastAsia" w:ascii="方正仿宋_GBK" w:hAnsi="方正仿宋_GBK" w:eastAsia="方正仿宋_GBK" w:cs="方正仿宋_GBK"/>
          <w:sz w:val="32"/>
          <w:szCs w:val="32"/>
        </w:rPr>
        <w:t>住房保障支出50.60</w:t>
      </w:r>
      <w:r>
        <w:rPr>
          <w:rFonts w:hint="eastAsia" w:ascii="方正仿宋_GBK" w:hAnsi="方正仿宋_GBK" w:eastAsia="方正仿宋_GBK" w:cs="方正仿宋_GBK"/>
          <w:sz w:val="32"/>
          <w:szCs w:val="32"/>
          <w:shd w:val="clear" w:fill="FFFFFF"/>
        </w:rPr>
        <w:t>万元，占</w:t>
      </w:r>
      <w:r>
        <w:rPr>
          <w:rFonts w:hint="eastAsia" w:ascii="方正仿宋_GBK" w:hAnsi="方正仿宋_GBK" w:eastAsia="方正仿宋_GBK" w:cs="方正仿宋_GBK"/>
          <w:sz w:val="32"/>
          <w:szCs w:val="32"/>
        </w:rPr>
        <w:t>4.08</w:t>
      </w:r>
      <w:r>
        <w:rPr>
          <w:rFonts w:hint="eastAsia" w:ascii="方正仿宋_GBK" w:hAnsi="方正仿宋_GBK" w:eastAsia="方正仿宋_GBK" w:cs="方正仿宋_GBK"/>
          <w:sz w:val="32"/>
          <w:szCs w:val="32"/>
          <w:shd w:val="clear" w:fill="FFFFFF"/>
        </w:rPr>
        <w:t>%，较年初预算数增加20.11万元，增长65.96%，主要原因是年初预算不足且缴费基数上调导致支出增加。</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（四）一般公共预算财政拨款基本支出决算情况说明</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 2023年度一般公共财政拨款基本支出</w:t>
      </w:r>
      <w:r>
        <w:rPr>
          <w:rFonts w:hint="eastAsia" w:ascii="方正仿宋_GBK" w:hAnsi="方正仿宋_GBK" w:eastAsia="方正仿宋_GBK" w:cs="方正仿宋_GBK"/>
          <w:sz w:val="32"/>
          <w:szCs w:val="32"/>
        </w:rPr>
        <w:t>1019.27</w:t>
      </w:r>
      <w:r>
        <w:rPr>
          <w:rFonts w:hint="eastAsia" w:ascii="方正仿宋_GBK" w:hAnsi="方正仿宋_GBK" w:eastAsia="方正仿宋_GBK" w:cs="方正仿宋_GBK"/>
          <w:sz w:val="32"/>
          <w:szCs w:val="32"/>
          <w:shd w:val="clear" w:fill="FFFFFF"/>
        </w:rPr>
        <w:t>万元。其中：人员经费</w:t>
      </w:r>
      <w:r>
        <w:rPr>
          <w:rFonts w:hint="eastAsia" w:ascii="方正仿宋_GBK" w:hAnsi="方正仿宋_GBK" w:eastAsia="方正仿宋_GBK" w:cs="方正仿宋_GBK"/>
          <w:sz w:val="32"/>
          <w:szCs w:val="32"/>
        </w:rPr>
        <w:t>821.98</w:t>
      </w:r>
      <w:r>
        <w:rPr>
          <w:rFonts w:hint="eastAsia" w:ascii="方正仿宋_GBK" w:hAnsi="方正仿宋_GBK" w:eastAsia="方正仿宋_GBK" w:cs="方正仿宋_GBK"/>
          <w:sz w:val="32"/>
          <w:szCs w:val="32"/>
          <w:shd w:val="clear" w:fill="FFFFFF"/>
        </w:rPr>
        <w:t>万元，较上年决算数增加63.61万元，增长8.39%，主要原因是社保及住房公积金缴费基数上调，导致增加支出。人员经费用途主要包括基本工资、津贴补贴、奖金、住房公积金、社会保障缴费、购买服务人员工资福利支出及社保统筹等。公用经费</w:t>
      </w:r>
      <w:r>
        <w:rPr>
          <w:rFonts w:hint="eastAsia" w:ascii="方正仿宋_GBK" w:hAnsi="方正仿宋_GBK" w:eastAsia="方正仿宋_GBK" w:cs="方正仿宋_GBK"/>
          <w:sz w:val="32"/>
          <w:szCs w:val="32"/>
        </w:rPr>
        <w:t>197.29</w:t>
      </w:r>
      <w:r>
        <w:rPr>
          <w:rFonts w:hint="eastAsia" w:ascii="方正仿宋_GBK" w:hAnsi="方正仿宋_GBK" w:eastAsia="方正仿宋_GBK" w:cs="方正仿宋_GBK"/>
          <w:sz w:val="32"/>
          <w:szCs w:val="32"/>
          <w:shd w:val="clear" w:fill="FFFFFF"/>
        </w:rPr>
        <w:t>万元，较上年决算数减少14.30万元，下降6.76%，主要原因是公务用车运行经费减少。公用经费用途主要包括办公费、印刷费、差旅费、接待费、培训费及公务用车运行维护费等。</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（五）政府性基金预算收支决算情况说明</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2023年度政府性基金预算财政拨款年初结转结余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万元，年末结转结余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万元。本年收入</w:t>
      </w:r>
      <w:r>
        <w:rPr>
          <w:rFonts w:hint="eastAsia" w:ascii="方正仿宋_GBK" w:hAnsi="方正仿宋_GBK" w:eastAsia="方正仿宋_GBK" w:cs="方正仿宋_GBK"/>
          <w:sz w:val="32"/>
          <w:szCs w:val="32"/>
        </w:rPr>
        <w:t>10755.29</w:t>
      </w:r>
      <w:r>
        <w:rPr>
          <w:rFonts w:hint="eastAsia" w:ascii="方正仿宋_GBK" w:hAnsi="方正仿宋_GBK" w:eastAsia="方正仿宋_GBK" w:cs="方正仿宋_GBK"/>
          <w:sz w:val="32"/>
          <w:szCs w:val="32"/>
          <w:shd w:val="clear" w:fill="FFFFFF"/>
        </w:rPr>
        <w:t>万元，较上年决算数增加1922.57万元，增长21.77%，主要原因是本年度在政府性基金预算财政拨款增加市政环卫设施维护维修经费和垃圾填埋场渗滤液处理费。本年支出</w:t>
      </w:r>
      <w:r>
        <w:rPr>
          <w:rFonts w:hint="eastAsia" w:ascii="方正仿宋_GBK" w:hAnsi="方正仿宋_GBK" w:eastAsia="方正仿宋_GBK" w:cs="方正仿宋_GBK"/>
          <w:sz w:val="32"/>
          <w:szCs w:val="32"/>
        </w:rPr>
        <w:t>10755.29</w:t>
      </w:r>
      <w:r>
        <w:rPr>
          <w:rFonts w:hint="eastAsia" w:ascii="方正仿宋_GBK" w:hAnsi="方正仿宋_GBK" w:eastAsia="方正仿宋_GBK" w:cs="方正仿宋_GBK"/>
          <w:sz w:val="32"/>
          <w:szCs w:val="32"/>
          <w:shd w:val="clear" w:fill="FFFFFF"/>
        </w:rPr>
        <w:t>万元，较上年决算数增加1702.57万元，增长18.81%，主要原因是本年度在政府性基金增加市政环卫设施维护维修经费和垃圾填埋场渗滤液处理费支出。</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（六）国有资本经营预算财政拨款支出决算情况说明</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本单位2023年度无国有资本经营预算财政拨款支出。</w:t>
      </w:r>
    </w:p>
    <w:p>
      <w:pPr>
        <w:pStyle w:val="6"/>
        <w:keepNext w:val="0"/>
        <w:keepLines w:val="0"/>
        <w:widowControl/>
        <w:suppressLineNumbers w:val="0"/>
        <w:shd w:val="clear" w:fill="FFFFFF"/>
        <w:spacing w:before="280" w:beforeAutospacing="0" w:after="280" w:afterAutospacing="0" w:line="315" w:lineRule="atLeast"/>
        <w:ind w:left="0" w:right="0"/>
        <w:rPr>
          <w:sz w:val="32"/>
          <w:szCs w:val="32"/>
        </w:rPr>
      </w:pPr>
      <w:r>
        <w:rPr>
          <w:rFonts w:hint="default" w:ascii="黑体" w:hAnsi="宋体" w:eastAsia="黑体" w:cs="黑体"/>
          <w:b/>
          <w:sz w:val="32"/>
          <w:szCs w:val="32"/>
          <w:shd w:val="clear" w:fill="FFFFFF"/>
        </w:rPr>
        <w:t>三、“三公”经费情况说明</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（一）“三公”经费支出总体情况说明</w:t>
      </w:r>
    </w:p>
    <w:p>
      <w:pPr>
        <w:pStyle w:val="6"/>
        <w:keepNext w:val="0"/>
        <w:keepLines w:val="0"/>
        <w:widowControl/>
        <w:suppressLineNumbers w:val="0"/>
        <w:spacing w:before="114" w:beforeAutospacing="0" w:after="0" w:afterAutospacing="0" w:line="315" w:lineRule="atLeast"/>
        <w:ind w:left="47" w:right="0" w:firstLine="640"/>
        <w:rPr>
          <w:sz w:val="32"/>
          <w:szCs w:val="32"/>
        </w:rPr>
      </w:pPr>
      <w:r>
        <w:rPr>
          <w:rFonts w:hint="eastAsia" w:ascii="方正仿宋_GBK" w:hAnsi="方正仿宋_GBK" w:eastAsia="方正仿宋_GBK" w:cs="方正仿宋_GBK"/>
          <w:sz w:val="32"/>
          <w:szCs w:val="32"/>
          <w:shd w:val="clear" w:fill="FFFFFF"/>
        </w:rPr>
        <w:t>2023年度“三公”经费支出共计</w:t>
      </w:r>
      <w:r>
        <w:rPr>
          <w:rFonts w:hint="eastAsia" w:ascii="方正仿宋_GBK" w:hAnsi="方正仿宋_GBK" w:eastAsia="方正仿宋_GBK" w:cs="方正仿宋_GBK"/>
          <w:sz w:val="32"/>
          <w:szCs w:val="32"/>
        </w:rPr>
        <w:t>19.34</w:t>
      </w:r>
      <w:r>
        <w:rPr>
          <w:rFonts w:hint="eastAsia" w:ascii="方正仿宋_GBK" w:hAnsi="方正仿宋_GBK" w:eastAsia="方正仿宋_GBK" w:cs="方正仿宋_GBK"/>
          <w:sz w:val="32"/>
          <w:szCs w:val="32"/>
          <w:shd w:val="clear" w:fill="FFFFFF"/>
        </w:rPr>
        <w:t>万元，较年初预算数减少101.66万元，下降84.02%，较上年支出数减少140.80万元，下降87.92%，主要原因是一是认真贯彻落实中央八项规定精神，按照只减不增的要求从严控制“ 三公”经费，全年实际支出较预算和决算均有所下降。二是严格落实公车使用规定，公车运行维护成本大幅下降，本年没有公务车购置费用。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（二）“三公”经费分项支出情况</w:t>
      </w:r>
    </w:p>
    <w:p>
      <w:pPr>
        <w:pStyle w:val="6"/>
        <w:keepNext w:val="0"/>
        <w:keepLines w:val="0"/>
        <w:widowControl/>
        <w:suppressLineNumbers w:val="0"/>
        <w:spacing w:before="0" w:beforeAutospacing="0" w:after="0" w:afterAutospacing="0" w:line="600" w:lineRule="atLeast"/>
        <w:ind w:left="0" w:right="0" w:firstLine="640"/>
      </w:pPr>
      <w:r>
        <w:rPr>
          <w:rFonts w:hint="eastAsia" w:ascii="方正仿宋_GBK" w:hAnsi="方正仿宋_GBK" w:eastAsia="方正仿宋_GBK" w:cs="方正仿宋_GBK"/>
          <w:sz w:val="32"/>
          <w:szCs w:val="32"/>
          <w:shd w:val="clear"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 公务车购置费0.00万元。费用支出较年初预算数无增减，主要原因是年初预算数未安排且本年未发生公务车购置费用。较上年支出数无增减，主要原因是上年和本年均未发生公务车购置费用。 </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公务车运行维护费</w:t>
      </w:r>
      <w:r>
        <w:rPr>
          <w:rFonts w:hint="eastAsia" w:ascii="方正仿宋_GBK" w:hAnsi="方正仿宋_GBK" w:eastAsia="方正仿宋_GBK" w:cs="方正仿宋_GBK"/>
          <w:sz w:val="32"/>
          <w:szCs w:val="32"/>
        </w:rPr>
        <w:t>18.12</w:t>
      </w:r>
      <w:r>
        <w:rPr>
          <w:rFonts w:hint="eastAsia" w:ascii="方正仿宋_GBK" w:hAnsi="方正仿宋_GBK" w:eastAsia="方正仿宋_GBK" w:cs="方正仿宋_GBK"/>
          <w:sz w:val="32"/>
          <w:szCs w:val="32"/>
          <w:shd w:val="clear" w:fill="FFFFFF"/>
        </w:rPr>
        <w:t>万元，主要用于机要文件交换、 市内因公出行、财政业务检查、环卫作业等工作所需车辆的  燃料费 、维修费 、过桥过路费、保险费。费用支出较年初预算数减少101.88万元，下降84.90%，主要原因是认真贯彻落实中央八项规定精神，从严控制“ 三公”经费，严格落实公车使用规定，公车运行维护成本下降。较上年支出数减少140.76万元，下降88.60%，主要原因是认真贯彻落实中央八项规定精神，从严控制“ 三公”经费，严格落实公车使用规定，公车运行维护成本下降。</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 公务接待费</w:t>
      </w:r>
      <w:r>
        <w:rPr>
          <w:rFonts w:hint="eastAsia" w:ascii="方正仿宋_GBK" w:hAnsi="方正仿宋_GBK" w:eastAsia="方正仿宋_GBK" w:cs="方正仿宋_GBK"/>
          <w:sz w:val="32"/>
          <w:szCs w:val="32"/>
        </w:rPr>
        <w:t>1.22</w:t>
      </w:r>
      <w:r>
        <w:rPr>
          <w:rFonts w:hint="eastAsia" w:ascii="方正仿宋_GBK" w:hAnsi="方正仿宋_GBK" w:eastAsia="方正仿宋_GBK" w:cs="方正仿宋_GBK"/>
          <w:sz w:val="32"/>
          <w:szCs w:val="32"/>
          <w:shd w:val="clear" w:fill="FFFFFF"/>
        </w:rPr>
        <w:t>万元，主要用于接待其他单位到我单位学习调研城管工作，接受相关部门检查指导工作发生的接待支出。费用支出较年初预算数增加0.22万元，增长22.00%，主要原因是上级单位检查指导工作次数较年初预计增加，导致支出增加。较上年支出数减少0.04万元，下降3.17%，主要原因是认真贯彻落实中央八项规定精神，从严控制</w:t>
      </w:r>
      <w:r>
        <w:rPr>
          <w:rFonts w:hint="default" w:ascii="Times New Roman" w:hAnsi="Times New Roman" w:cs="Times New Roman"/>
          <w:sz w:val="32"/>
          <w:szCs w:val="32"/>
          <w:shd w:val="clear" w:fill="FFFFFF"/>
        </w:rPr>
        <w:t>“ </w:t>
      </w:r>
      <w:r>
        <w:rPr>
          <w:rFonts w:hint="eastAsia" w:ascii="方正仿宋_GBK" w:hAnsi="方正仿宋_GBK" w:eastAsia="方正仿宋_GBK" w:cs="方正仿宋_GBK"/>
          <w:sz w:val="32"/>
          <w:szCs w:val="32"/>
          <w:shd w:val="clear" w:fill="FFFFFF"/>
        </w:rPr>
        <w:t>三公</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经费，强化公务接待支出管理，严格遵守公务接待开支范围和开支标准，严格控制陪餐人数，对应由接待对象承担的费用一律由接待对象自行支付，公务接待费下降。</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（三）“三公”经费实物量情况</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  2023年度本部门因公出国（境）共计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辆，公务车保有量为</w:t>
      </w:r>
      <w:r>
        <w:rPr>
          <w:rFonts w:hint="eastAsia" w:ascii="方正仿宋_GBK" w:hAnsi="方正仿宋_GBK" w:eastAsia="方正仿宋_GBK" w:cs="方正仿宋_GBK"/>
          <w:sz w:val="32"/>
          <w:szCs w:val="32"/>
        </w:rPr>
        <w:t>31</w:t>
      </w:r>
      <w:r>
        <w:rPr>
          <w:rFonts w:hint="eastAsia" w:ascii="方正仿宋_GBK" w:hAnsi="方正仿宋_GBK" w:eastAsia="方正仿宋_GBK" w:cs="方正仿宋_GBK"/>
          <w:sz w:val="32"/>
          <w:szCs w:val="32"/>
          <w:shd w:val="clear" w:fill="FFFFFF"/>
        </w:rPr>
        <w:t>辆；国内公务接待</w:t>
      </w: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shd w:val="clear" w:fill="FFFFFF"/>
        </w:rPr>
        <w:t>批次</w:t>
      </w:r>
      <w:r>
        <w:rPr>
          <w:rFonts w:hint="eastAsia" w:ascii="方正仿宋_GBK" w:hAnsi="方正仿宋_GBK" w:eastAsia="方正仿宋_GBK" w:cs="方正仿宋_GBK"/>
          <w:sz w:val="32"/>
          <w:szCs w:val="32"/>
        </w:rPr>
        <w:t>140</w:t>
      </w:r>
      <w:r>
        <w:rPr>
          <w:rFonts w:hint="eastAsia" w:ascii="方正仿宋_GBK" w:hAnsi="方正仿宋_GBK" w:eastAsia="方正仿宋_GBK" w:cs="方正仿宋_GBK"/>
          <w:sz w:val="32"/>
          <w:szCs w:val="32"/>
          <w:shd w:val="clear"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人。2023年本部门人均接待费</w:t>
      </w:r>
      <w:r>
        <w:rPr>
          <w:rFonts w:hint="eastAsia" w:ascii="方正仿宋_GBK" w:hAnsi="方正仿宋_GBK" w:eastAsia="方正仿宋_GBK" w:cs="方正仿宋_GBK"/>
          <w:sz w:val="32"/>
          <w:szCs w:val="32"/>
        </w:rPr>
        <w:t>87.00</w:t>
      </w:r>
      <w:r>
        <w:rPr>
          <w:rFonts w:hint="eastAsia" w:ascii="方正仿宋_GBK" w:hAnsi="方正仿宋_GBK" w:eastAsia="方正仿宋_GBK" w:cs="方正仿宋_GBK"/>
          <w:sz w:val="32"/>
          <w:szCs w:val="32"/>
          <w:shd w:val="clear"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万元，车均维护费</w:t>
      </w:r>
      <w:r>
        <w:rPr>
          <w:rFonts w:hint="eastAsia" w:ascii="方正仿宋_GBK" w:hAnsi="方正仿宋_GBK" w:eastAsia="方正仿宋_GBK" w:cs="方正仿宋_GBK"/>
          <w:sz w:val="32"/>
          <w:szCs w:val="32"/>
        </w:rPr>
        <w:t>0.58</w:t>
      </w:r>
      <w:r>
        <w:rPr>
          <w:rFonts w:hint="eastAsia" w:ascii="方正仿宋_GBK" w:hAnsi="方正仿宋_GBK" w:eastAsia="方正仿宋_GBK" w:cs="方正仿宋_GBK"/>
          <w:sz w:val="32"/>
          <w:szCs w:val="32"/>
          <w:shd w:val="clear" w:fill="FFFFFF"/>
        </w:rPr>
        <w:t>万元。</w:t>
      </w:r>
    </w:p>
    <w:p>
      <w:pPr>
        <w:pStyle w:val="6"/>
        <w:keepNext w:val="0"/>
        <w:keepLines w:val="0"/>
        <w:widowControl/>
        <w:suppressLineNumbers w:val="0"/>
        <w:shd w:val="clear" w:fill="FFFFFF"/>
        <w:spacing w:before="280" w:beforeAutospacing="0" w:after="280" w:afterAutospacing="0" w:line="315" w:lineRule="atLeast"/>
        <w:ind w:left="0" w:right="0"/>
        <w:rPr>
          <w:sz w:val="32"/>
          <w:szCs w:val="32"/>
        </w:rPr>
      </w:pPr>
      <w:r>
        <w:rPr>
          <w:rFonts w:hint="default" w:ascii="黑体" w:hAnsi="宋体" w:eastAsia="黑体" w:cs="黑体"/>
          <w:b/>
          <w:sz w:val="32"/>
          <w:szCs w:val="32"/>
          <w:shd w:val="clear" w:fill="FFFFFF"/>
        </w:rPr>
        <w:t>四、其他需要说明的事项</w:t>
      </w:r>
    </w:p>
    <w:p>
      <w:pPr>
        <w:pStyle w:val="6"/>
        <w:keepNext w:val="0"/>
        <w:keepLines w:val="0"/>
        <w:widowControl/>
        <w:suppressLineNumbers w:val="0"/>
        <w:shd w:val="clear" w:fill="FFFFFF"/>
        <w:spacing w:before="280" w:beforeAutospacing="0" w:after="280" w:afterAutospacing="0" w:line="315" w:lineRule="atLeast"/>
        <w:ind w:left="0" w:right="0" w:firstLine="640"/>
        <w:rPr>
          <w:sz w:val="32"/>
          <w:szCs w:val="32"/>
        </w:rPr>
      </w:pPr>
      <w:r>
        <w:rPr>
          <w:rFonts w:hint="eastAsia" w:ascii="楷体" w:hAnsi="楷体" w:eastAsia="楷体" w:cs="楷体"/>
          <w:b/>
          <w:sz w:val="32"/>
          <w:szCs w:val="32"/>
          <w:shd w:val="clear" w:fill="FFFFFF"/>
        </w:rPr>
        <w:t>（一）财政拨款会议费和培训费情况说明</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本年度会议费支出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万元，较上年决算数无增减，主要原因是本年度无会议费支出。本年度培训费支出</w:t>
      </w:r>
      <w:r>
        <w:rPr>
          <w:rFonts w:hint="eastAsia" w:ascii="方正仿宋_GBK" w:hAnsi="方正仿宋_GBK" w:eastAsia="方正仿宋_GBK" w:cs="方正仿宋_GBK"/>
          <w:sz w:val="32"/>
          <w:szCs w:val="32"/>
        </w:rPr>
        <w:t>5.65</w:t>
      </w:r>
      <w:r>
        <w:rPr>
          <w:rFonts w:hint="eastAsia" w:ascii="方正仿宋_GBK" w:hAnsi="方正仿宋_GBK" w:eastAsia="方正仿宋_GBK" w:cs="方正仿宋_GBK"/>
          <w:sz w:val="32"/>
          <w:szCs w:val="32"/>
          <w:shd w:val="clear" w:fill="FFFFFF"/>
        </w:rPr>
        <w:t>万元，较上年决算数增加1.51万元，增长36.47%，主要原因是增加工勤人员培训支出。</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（二）机关运行经费情况说明</w:t>
      </w:r>
    </w:p>
    <w:p>
      <w:pPr>
        <w:pStyle w:val="6"/>
        <w:keepNext w:val="0"/>
        <w:keepLines w:val="0"/>
        <w:widowControl/>
        <w:suppressLineNumbers w:val="0"/>
        <w:spacing w:before="0" w:beforeAutospacing="0" w:after="0" w:afterAutospacing="0" w:line="315" w:lineRule="atLeast"/>
        <w:ind w:left="0" w:right="0" w:firstLine="640"/>
        <w:rPr>
          <w:sz w:val="32"/>
          <w:szCs w:val="32"/>
        </w:rPr>
      </w:pPr>
      <w:r>
        <w:rPr>
          <w:rFonts w:hint="eastAsia" w:ascii="方正仿宋_GBK" w:hAnsi="方正仿宋_GBK" w:eastAsia="方正仿宋_GBK" w:cs="方正仿宋_GBK"/>
          <w:sz w:val="32"/>
          <w:szCs w:val="32"/>
          <w:shd w:val="clear" w:fill="FFFFFF"/>
        </w:rPr>
        <w:t>2023年度本部门机关运行经费支出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万元，机关运行经费较上年支出数无增减，</w:t>
      </w:r>
      <w:r>
        <w:rPr>
          <w:rFonts w:hint="eastAsia" w:ascii="方正仿宋_GBK" w:hAnsi="方正仿宋_GBK" w:eastAsia="方正仿宋_GBK" w:cs="方正仿宋_GBK"/>
          <w:sz w:val="32"/>
          <w:szCs w:val="32"/>
        </w:rPr>
        <w:t>主要原因是按照部门决算列报口径，我单位不在机关运行经费统计范围之内。</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（三）国有资产占用情况说明</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  截至2023年12月31日，本部门共有车辆</w:t>
      </w:r>
      <w:r>
        <w:rPr>
          <w:rFonts w:hint="eastAsia" w:ascii="方正仿宋_GBK" w:hAnsi="方正仿宋_GBK" w:eastAsia="方正仿宋_GBK" w:cs="方正仿宋_GBK"/>
          <w:sz w:val="32"/>
          <w:szCs w:val="32"/>
        </w:rPr>
        <w:t>31</w:t>
      </w:r>
      <w:r>
        <w:rPr>
          <w:rFonts w:hint="eastAsia" w:ascii="方正仿宋_GBK" w:hAnsi="方正仿宋_GBK" w:eastAsia="方正仿宋_GBK" w:cs="方正仿宋_GBK"/>
          <w:sz w:val="32"/>
          <w:szCs w:val="32"/>
          <w:shd w:val="clear"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辆、应急保障用车</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shd w:val="clear"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辆，特种专业技术用车</w:t>
      </w:r>
      <w:r>
        <w:rPr>
          <w:rFonts w:hint="eastAsia" w:ascii="方正仿宋_GBK" w:hAnsi="方正仿宋_GBK" w:eastAsia="方正仿宋_GBK" w:cs="方正仿宋_GBK"/>
          <w:sz w:val="32"/>
          <w:szCs w:val="32"/>
        </w:rPr>
        <w:t>24</w:t>
      </w:r>
      <w:r>
        <w:rPr>
          <w:rFonts w:hint="eastAsia" w:ascii="方正仿宋_GBK" w:hAnsi="方正仿宋_GBK" w:eastAsia="方正仿宋_GBK" w:cs="方正仿宋_GBK"/>
          <w:sz w:val="32"/>
          <w:szCs w:val="32"/>
          <w:shd w:val="clear"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台（套）。</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（四）政府采购支出情况说明</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sz w:val="32"/>
          <w:szCs w:val="32"/>
          <w:shd w:val="clear" w:fill="FFFFFF"/>
        </w:rPr>
        <w:t>2023年度本部门政府采购支出总额</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万元，其中：政府采购货物支出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万元、政府采购工程支出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万元、政府采购服务支出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万元。授予中小企业合同金额</w:t>
      </w:r>
      <w:r>
        <w:rPr>
          <w:rFonts w:hint="eastAsia" w:ascii="方正仿宋_GBK" w:hAnsi="方正仿宋_GBK" w:eastAsia="方正仿宋_GBK" w:cs="方正仿宋_GBK"/>
          <w:sz w:val="32"/>
          <w:szCs w:val="32"/>
        </w:rPr>
        <w:t>0.00万</w:t>
      </w:r>
      <w:r>
        <w:rPr>
          <w:rFonts w:hint="eastAsia" w:ascii="方正仿宋_GBK" w:hAnsi="方正仿宋_GBK" w:eastAsia="方正仿宋_GBK" w:cs="方正仿宋_GBK"/>
          <w:sz w:val="32"/>
          <w:szCs w:val="32"/>
          <w:shd w:val="clear" w:fill="FFFFFF"/>
        </w:rPr>
        <w:t>元，占政府采购支出总额的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%，其中：授予小微企业合同金额</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fill="FFFFFF"/>
        </w:rPr>
        <w:t>万元，占政府采购支出总额的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fill="FFFFFF"/>
        </w:rPr>
        <w:t> %。2023年度我单位未发生政府采购事项，无相关经费支出。</w:t>
      </w:r>
    </w:p>
    <w:p>
      <w:pPr>
        <w:pStyle w:val="6"/>
        <w:keepNext w:val="0"/>
        <w:keepLines w:val="0"/>
        <w:widowControl/>
        <w:suppressLineNumbers w:val="0"/>
        <w:shd w:val="clear" w:fill="FFFFFF"/>
        <w:spacing w:before="280" w:beforeAutospacing="0" w:after="280" w:afterAutospacing="0" w:line="315" w:lineRule="atLeast"/>
        <w:ind w:left="0" w:right="0"/>
        <w:rPr>
          <w:sz w:val="32"/>
          <w:szCs w:val="32"/>
        </w:rPr>
      </w:pPr>
      <w:r>
        <w:rPr>
          <w:rFonts w:hint="default" w:ascii="黑体" w:hAnsi="宋体" w:eastAsia="黑体" w:cs="黑体"/>
          <w:b/>
          <w:sz w:val="32"/>
          <w:szCs w:val="32"/>
          <w:shd w:val="clear" w:fill="FFFFFF"/>
        </w:rPr>
        <w:t>五、预算绩效管理情况说明</w:t>
      </w:r>
    </w:p>
    <w:p>
      <w:pPr>
        <w:pStyle w:val="6"/>
        <w:keepNext w:val="0"/>
        <w:keepLines w:val="0"/>
        <w:widowControl/>
        <w:suppressLineNumbers w:val="0"/>
        <w:spacing w:before="0" w:beforeAutospacing="0" w:after="0" w:afterAutospacing="0" w:line="315" w:lineRule="atLeast"/>
        <w:ind w:left="0" w:right="0" w:firstLine="643"/>
        <w:rPr>
          <w:sz w:val="32"/>
          <w:szCs w:val="32"/>
        </w:rPr>
      </w:pPr>
      <w:r>
        <w:rPr>
          <w:rFonts w:hint="eastAsia" w:ascii="楷体" w:hAnsi="楷体" w:eastAsia="楷体" w:cs="楷体"/>
          <w:b/>
          <w:sz w:val="32"/>
          <w:szCs w:val="32"/>
          <w:shd w:val="clear" w:fill="FFFFFF"/>
        </w:rPr>
        <w:t>（一）单位自评情况</w:t>
      </w:r>
    </w:p>
    <w:p>
      <w:pPr>
        <w:pStyle w:val="6"/>
        <w:keepNext w:val="0"/>
        <w:keepLines w:val="0"/>
        <w:widowControl/>
        <w:suppressLineNumbers w:val="0"/>
        <w:spacing w:before="114" w:beforeAutospacing="0" w:after="0" w:afterAutospacing="0" w:line="410" w:lineRule="atLeast"/>
        <w:ind w:left="11" w:right="2" w:firstLine="640"/>
        <w:rPr>
          <w:sz w:val="32"/>
          <w:szCs w:val="32"/>
        </w:rPr>
      </w:pPr>
      <w:r>
        <w:rPr>
          <w:rFonts w:hint="eastAsia" w:ascii="方正仿宋_GBK" w:hAnsi="方正仿宋_GBK" w:eastAsia="方正仿宋_GBK" w:cs="方正仿宋_GBK"/>
          <w:sz w:val="32"/>
          <w:szCs w:val="32"/>
          <w:shd w:val="clear" w:fill="FFFFFF"/>
        </w:rPr>
        <w:t>根据预算绩效管理要求，我单位对13个二级项目开展了绩效自评，涉及财政拨款项目支出资金10976.76万元。从评价情况来看，我中心合理合规使用项目资金，较上年决算数增长12.18%，较年初预算使用完成率达97.85% 。</w:t>
      </w:r>
      <w:r>
        <w:rPr>
          <w:rFonts w:hint="eastAsia" w:ascii="方正仿宋_GBK" w:hAnsi="方正仿宋_GBK" w:eastAsia="方正仿宋_GBK" w:cs="方正仿宋_GBK"/>
          <w:spacing w:val="10"/>
          <w:sz w:val="32"/>
          <w:szCs w:val="32"/>
        </w:rPr>
        <w:t>主要</w:t>
      </w:r>
      <w:r>
        <w:rPr>
          <w:rFonts w:hint="eastAsia" w:ascii="方正仿宋_GBK" w:hAnsi="方正仿宋_GBK" w:eastAsia="方正仿宋_GBK" w:cs="方正仿宋_GBK"/>
          <w:spacing w:val="19"/>
          <w:sz w:val="32"/>
          <w:szCs w:val="32"/>
        </w:rPr>
        <w:t>产出和效果：农村生活垃圾收运服务</w:t>
      </w:r>
      <w:r>
        <w:rPr>
          <w:rFonts w:hint="eastAsia" w:ascii="方正仿宋_GBK" w:hAnsi="方正仿宋_GBK" w:eastAsia="方正仿宋_GBK" w:cs="方正仿宋_GBK"/>
          <w:spacing w:val="-4"/>
          <w:sz w:val="32"/>
          <w:szCs w:val="32"/>
        </w:rPr>
        <w:t>完成</w:t>
      </w:r>
      <w:r>
        <w:rPr>
          <w:rFonts w:hint="eastAsia" w:ascii="方正仿宋_GBK" w:hAnsi="方正仿宋_GBK" w:eastAsia="方正仿宋_GBK" w:cs="方正仿宋_GBK"/>
          <w:spacing w:val="-71"/>
          <w:sz w:val="32"/>
          <w:szCs w:val="32"/>
        </w:rPr>
        <w:t> </w:t>
      </w:r>
      <w:r>
        <w:rPr>
          <w:rFonts w:hint="eastAsia" w:ascii="方正仿宋_GBK" w:hAnsi="方正仿宋_GBK" w:eastAsia="方正仿宋_GBK" w:cs="方正仿宋_GBK"/>
          <w:spacing w:val="-4"/>
          <w:sz w:val="32"/>
          <w:szCs w:val="32"/>
        </w:rPr>
        <w:t>垃圾清运转运6.56万吨，</w:t>
      </w:r>
      <w:r>
        <w:rPr>
          <w:rFonts w:hint="eastAsia" w:ascii="方正仿宋_GBK" w:hAnsi="方正仿宋_GBK" w:eastAsia="方正仿宋_GBK" w:cs="方正仿宋_GBK"/>
          <w:spacing w:val="19"/>
          <w:sz w:val="32"/>
          <w:szCs w:val="32"/>
        </w:rPr>
        <w:t>农村生活垃圾有效处理率100%。</w:t>
      </w:r>
      <w:r>
        <w:rPr>
          <w:rFonts w:hint="eastAsia" w:ascii="方正仿宋_GBK" w:hAnsi="方正仿宋_GBK" w:eastAsia="方正仿宋_GBK" w:cs="方正仿宋_GBK"/>
          <w:sz w:val="32"/>
          <w:szCs w:val="32"/>
          <w:shd w:val="clear" w:fill="FFFFFF"/>
        </w:rPr>
        <w:t>垃圾填埋场渗滤液处理量10.18万立方，渗滤液处理完成率95%，隐患排除及时率100%。城区保洁面积456.01万平方米，城区保洁面积完成率100%，公厕数为52个，公厕管理完成率100%，垃圾清运转运量 5.2万吨，餐厨垃圾转运 2.3万吨，垃圾清运转运完成率100%，机械冲洗验收合格率100%，机械冲洗正常运行率100%。市政环卫设施维护维修车行道约3190㎡，人行道约3.2万㎡，树池石2857m，路缘石479m； 维修路灯1421盏 、保洁路灯1421</w:t>
      </w:r>
      <w:r>
        <w:rPr>
          <w:rFonts w:hint="eastAsia" w:ascii="方正仿宋_GBK" w:hAnsi="方正仿宋_GBK" w:eastAsia="方正仿宋_GBK" w:cs="方正仿宋_GBK"/>
          <w:spacing w:val="7"/>
          <w:sz w:val="32"/>
          <w:szCs w:val="32"/>
        </w:rPr>
        <w:t>盏</w:t>
      </w:r>
      <w:r>
        <w:rPr>
          <w:rFonts w:hint="eastAsia" w:ascii="方正仿宋_GBK" w:hAnsi="方正仿宋_GBK" w:eastAsia="方正仿宋_GBK" w:cs="方正仿宋_GBK"/>
          <w:spacing w:val="6"/>
          <w:sz w:val="32"/>
          <w:szCs w:val="32"/>
        </w:rPr>
        <w:t>，系</w:t>
      </w:r>
      <w:r>
        <w:rPr>
          <w:rFonts w:hint="eastAsia" w:ascii="方正仿宋_GBK" w:hAnsi="方正仿宋_GBK" w:eastAsia="方正仿宋_GBK" w:cs="方正仿宋_GBK"/>
          <w:sz w:val="32"/>
          <w:szCs w:val="32"/>
          <w:shd w:val="clear" w:fill="FFFFFF"/>
        </w:rPr>
        <w:t>统验收合格率98% 。水域清漂对城区内近20余万平方米河道，24万余平方米湖泊及时清理漂浮物和消落区垃圾，做到城区水域清漂全覆盖。</w:t>
      </w:r>
    </w:p>
    <w:p>
      <w:pPr>
        <w:pStyle w:val="6"/>
        <w:keepNext w:val="0"/>
        <w:keepLines w:val="0"/>
        <w:widowControl/>
        <w:suppressLineNumbers w:val="0"/>
        <w:spacing w:before="114" w:beforeAutospacing="0" w:after="0" w:afterAutospacing="0" w:line="410" w:lineRule="atLeast"/>
        <w:ind w:left="11" w:right="2" w:firstLine="640"/>
        <w:rPr>
          <w:sz w:val="32"/>
          <w:szCs w:val="32"/>
        </w:rPr>
      </w:pPr>
      <w:r>
        <w:rPr>
          <w:rFonts w:hint="eastAsia" w:ascii="方正仿宋_GBK" w:hAnsi="方正仿宋_GBK" w:eastAsia="方正仿宋_GBK" w:cs="方正仿宋_GBK"/>
          <w:sz w:val="32"/>
          <w:szCs w:val="32"/>
          <w:shd w:val="clear" w:fill="FFFFFF"/>
        </w:rPr>
        <w:t>我单位对城市环卫作业服务费开展了绩效评价，涉及财政拨款项目资金4571.93万元，评价得分80.6分，评价等次为良好；市政环卫设施维护维修经费绩效评价，涉及财政拨款项目资金451.66万元，评价得分92.58分，评价等次为优。发现的问题及原因：一是年初财政预算资金不足，年中追加资金补缺口；二是设置绩效指标不够细致。下一步改进措施，一是合理预算，按期支付。二是增强部门绩效意识和责任意识，统筹规划，合理安排，三是加强预算绩效管理专业知识培训，增强预算绩效管理工作人员的业务素质，提高预算绩效管理工作水平。</w:t>
      </w:r>
    </w:p>
    <w:p>
      <w:pPr>
        <w:pStyle w:val="6"/>
        <w:keepNext w:val="0"/>
        <w:keepLines w:val="0"/>
        <w:widowControl/>
        <w:suppressLineNumbers w:val="0"/>
        <w:spacing w:before="161" w:beforeAutospacing="0" w:after="0" w:afterAutospacing="0" w:line="403" w:lineRule="atLeast"/>
        <w:ind w:left="0" w:right="0"/>
        <w:jc w:val="both"/>
        <w:rPr>
          <w:sz w:val="31"/>
          <w:szCs w:val="31"/>
        </w:rPr>
      </w:pPr>
      <w:r>
        <w:rPr>
          <w:sz w:val="31"/>
          <w:szCs w:val="31"/>
        </w:rPr>
        <w:drawing>
          <wp:inline distT="0" distB="0" distL="114300" distR="114300">
            <wp:extent cx="5276850" cy="75819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5276850" cy="7581900"/>
                    </a:xfrm>
                    <a:prstGeom prst="rect">
                      <a:avLst/>
                    </a:prstGeom>
                    <a:noFill/>
                    <a:ln w="9525">
                      <a:noFill/>
                    </a:ln>
                  </pic:spPr>
                </pic:pic>
              </a:graphicData>
            </a:graphic>
          </wp:inline>
        </w:drawing>
      </w:r>
    </w:p>
    <w:p>
      <w:pPr>
        <w:pStyle w:val="6"/>
        <w:keepNext w:val="0"/>
        <w:keepLines w:val="0"/>
        <w:widowControl/>
        <w:suppressLineNumbers w:val="0"/>
        <w:spacing w:before="0" w:beforeAutospacing="0" w:after="0" w:afterAutospacing="0" w:line="315" w:lineRule="atLeast"/>
        <w:ind w:left="720" w:right="0" w:hanging="240"/>
        <w:rPr>
          <w:sz w:val="32"/>
          <w:szCs w:val="32"/>
        </w:rPr>
      </w:pPr>
      <w:r>
        <w:rPr>
          <w:sz w:val="32"/>
          <w:szCs w:val="32"/>
        </w:rPr>
        <w:drawing>
          <wp:inline distT="0" distB="0" distL="114300" distR="114300">
            <wp:extent cx="5276850" cy="68008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8"/>
                    <a:stretch>
                      <a:fillRect/>
                    </a:stretch>
                  </pic:blipFill>
                  <pic:spPr>
                    <a:xfrm>
                      <a:off x="0" y="0"/>
                      <a:ext cx="5276850" cy="6800850"/>
                    </a:xfrm>
                    <a:prstGeom prst="rect">
                      <a:avLst/>
                    </a:prstGeom>
                    <a:noFill/>
                    <a:ln w="9525">
                      <a:noFill/>
                    </a:ln>
                  </pic:spPr>
                </pic:pic>
              </a:graphicData>
            </a:graphic>
          </wp:inline>
        </w:drawing>
      </w:r>
      <w:r>
        <w:rPr>
          <w:rFonts w:hint="eastAsia" w:ascii="楷体" w:hAnsi="楷体" w:eastAsia="楷体" w:cs="楷体"/>
          <w:b/>
          <w:sz w:val="32"/>
          <w:szCs w:val="32"/>
          <w:shd w:val="clear" w:fill="FFFFFF"/>
        </w:rPr>
        <w:t>（二）单位绩效评价情况</w:t>
      </w:r>
    </w:p>
    <w:p>
      <w:pPr>
        <w:pStyle w:val="6"/>
        <w:keepNext w:val="0"/>
        <w:keepLines w:val="0"/>
        <w:widowControl/>
        <w:suppressLineNumbers w:val="0"/>
        <w:spacing w:before="0" w:beforeAutospacing="0" w:after="0" w:afterAutospacing="0" w:line="315" w:lineRule="atLeast"/>
        <w:ind w:left="799" w:right="0"/>
        <w:rPr>
          <w:sz w:val="32"/>
          <w:szCs w:val="32"/>
        </w:rPr>
      </w:pPr>
      <w:r>
        <w:rPr>
          <w:rFonts w:hint="eastAsia" w:ascii="方正仿宋_GBK" w:hAnsi="方正仿宋_GBK" w:eastAsia="方正仿宋_GBK" w:cs="方正仿宋_GBK"/>
          <w:sz w:val="32"/>
          <w:szCs w:val="32"/>
          <w:shd w:val="clear" w:fill="FFFFFF"/>
        </w:rPr>
        <w:t>我单位未组织开展绩效评价。</w:t>
      </w:r>
    </w:p>
    <w:p>
      <w:pPr>
        <w:pStyle w:val="6"/>
        <w:keepNext w:val="0"/>
        <w:keepLines w:val="0"/>
        <w:widowControl/>
        <w:suppressLineNumbers w:val="0"/>
        <w:spacing w:before="0" w:beforeAutospacing="0" w:after="0" w:afterAutospacing="0" w:line="315" w:lineRule="atLeast"/>
        <w:ind w:left="0" w:right="0" w:firstLine="643"/>
        <w:rPr>
          <w:sz w:val="32"/>
          <w:szCs w:val="32"/>
        </w:rPr>
      </w:pPr>
      <w:r>
        <w:rPr>
          <w:sz w:val="32"/>
          <w:szCs w:val="32"/>
        </w:rPr>
        <w:t>（三）</w:t>
      </w:r>
      <w:r>
        <w:rPr>
          <w:rFonts w:hint="eastAsia" w:ascii="楷体" w:hAnsi="楷体" w:eastAsia="楷体" w:cs="楷体"/>
          <w:b/>
          <w:sz w:val="32"/>
          <w:szCs w:val="32"/>
          <w:shd w:val="clear" w:fill="FFFFFF"/>
        </w:rPr>
        <w:t>财政绩效评价情况</w:t>
      </w:r>
    </w:p>
    <w:p>
      <w:pPr>
        <w:pStyle w:val="6"/>
        <w:keepNext w:val="0"/>
        <w:keepLines w:val="0"/>
        <w:widowControl/>
        <w:suppressLineNumbers w:val="0"/>
        <w:spacing w:before="0" w:beforeAutospacing="0" w:after="0" w:afterAutospacing="0" w:line="315" w:lineRule="atLeast"/>
        <w:ind w:left="0" w:right="0" w:firstLine="640"/>
        <w:rPr>
          <w:sz w:val="32"/>
          <w:szCs w:val="32"/>
        </w:rPr>
      </w:pPr>
      <w:r>
        <w:rPr>
          <w:sz w:val="32"/>
          <w:szCs w:val="32"/>
          <w:shd w:val="clear" w:fill="FFFFFF"/>
        </w:rPr>
        <w:t>县</w:t>
      </w:r>
      <w:r>
        <w:rPr>
          <w:rFonts w:hint="eastAsia" w:ascii="方正仿宋_GBK" w:hAnsi="方正仿宋_GBK" w:eastAsia="方正仿宋_GBK" w:cs="方正仿宋_GBK"/>
          <w:sz w:val="32"/>
          <w:szCs w:val="32"/>
          <w:shd w:val="clear" w:fill="FFFFFF"/>
        </w:rPr>
        <w:t>财政局委托第三方对我单位垫江县2022年农村生活垃圾及城区餐厨垃圾收运服务费项目开展了绩效评价，涉及财政拨款项目资金1,821.00万元，评价得分94分，评价等次为优，绩效评价发现了预算编制不科学、不合理，导致目标任务难以完成等主要问题，提出加强绩效目标及具体绩效指标编制的科学性及合理性，使预算编制更加科学及合理。</w:t>
      </w:r>
    </w:p>
    <w:p>
      <w:pPr>
        <w:pStyle w:val="6"/>
        <w:keepNext w:val="0"/>
        <w:keepLines w:val="0"/>
        <w:widowControl/>
        <w:suppressLineNumbers w:val="0"/>
        <w:shd w:val="clear" w:fill="FFFFFF"/>
        <w:spacing w:before="0" w:beforeAutospacing="0" w:after="0" w:afterAutospacing="0" w:line="480" w:lineRule="atLeast"/>
        <w:ind w:left="0" w:right="0" w:firstLine="640"/>
        <w:rPr>
          <w:sz w:val="32"/>
          <w:szCs w:val="32"/>
        </w:rPr>
      </w:pPr>
      <w:r>
        <w:rPr>
          <w:rFonts w:hint="default" w:ascii="黑体" w:hAnsi="宋体" w:eastAsia="黑体" w:cs="黑体"/>
          <w:b/>
          <w:sz w:val="32"/>
          <w:szCs w:val="32"/>
          <w:shd w:val="clear" w:fill="FFFFFF"/>
        </w:rPr>
        <w:t>六、专业名词解释</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（一）财政拨款收入：</w:t>
      </w:r>
      <w:r>
        <w:rPr>
          <w:rFonts w:hint="eastAsia" w:ascii="方正仿宋_GBK" w:hAnsi="方正仿宋_GBK" w:eastAsia="方正仿宋_GBK" w:cs="方正仿宋_GBK"/>
          <w:sz w:val="32"/>
          <w:szCs w:val="32"/>
          <w:shd w:val="clear" w:fill="FFFFFF"/>
        </w:rPr>
        <w:t>指本年度从本级财政部门取得的财政拨款，包括一般公共预算财政拨款和政府性基金预算财政拨款。</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（二）事业收入</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指事业单位开展专业业务活动及其辅助活动取得的现金流入；事业单位收到的财政专户实际核拨的教育收费等资金在此反映。</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（三）经营收入</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指事业单位在专业业务活动及其辅助活动之外开展非独立核算经营活动取得的现金流入。</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（四）其他收入</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楷体" w:hAnsi="楷体" w:eastAsia="楷体" w:cs="楷体"/>
          <w:b/>
          <w:sz w:val="32"/>
          <w:szCs w:val="32"/>
          <w:shd w:val="clear" w:fill="FFFFFF"/>
        </w:rPr>
        <w:t>（五）使用非财政拨款结余</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（六）年初结转和结余</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指单位上年结转本年使用的基本支出结转、项目支出结转和结余、经营结余。</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（七）结余分配</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指单位按照国家有关规定，缴纳所得税、提取专用基金、转入非财政拨款结余等当年结余的分配情况。</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（八）年末结转和结余</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指单位结转下年的基本支出结转、项目支出结转和结余、经营结余。</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（九）基本支出</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（十）项目支出</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指在基本支出之外为完成特定行政任务和事业发展目标所发生的支出。</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（十一）经营支出</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指事业单位在专业业务活动及其辅助活动之外开展非独立核算经营活动发生的支出。</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（十二）“三公”经费</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（十三）机关运行经费</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（十四）工资福利支出（支出经济分类科目类级）</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反映单位开支的在职职工和编制外长期聘用人员的各类劳动报酬，以及为上述人员缴纳的各项社会保险费等。</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（十五）商品和服务支出（支出经济分类科目类级）</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反映单位购买商品和服务的支出（不包括用于购置固定资产的支出、战略性和应急储备支出）。</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楷体" w:hAnsi="楷体" w:eastAsia="楷体" w:cs="楷体"/>
          <w:b/>
          <w:sz w:val="32"/>
          <w:szCs w:val="32"/>
          <w:shd w:val="clear" w:fill="FFFFFF"/>
        </w:rPr>
        <w:t> （十六）对个人和家庭的补助（支出经济分类科目类级）</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反映用于对个人和家庭的补助支出。</w:t>
      </w:r>
    </w:p>
    <w:p>
      <w:pPr>
        <w:pStyle w:val="6"/>
        <w:keepNext w:val="0"/>
        <w:keepLines w:val="0"/>
        <w:widowControl/>
        <w:suppressLineNumbers w:val="0"/>
        <w:spacing w:before="0" w:beforeAutospacing="0" w:after="0" w:afterAutospacing="0" w:line="600" w:lineRule="atLeast"/>
        <w:ind w:left="0" w:right="0" w:firstLine="640"/>
        <w:jc w:val="both"/>
      </w:pPr>
      <w:r>
        <w:rPr>
          <w:rFonts w:hint="eastAsia" w:ascii="方正仿宋_GBK" w:hAnsi="方正仿宋_GBK" w:eastAsia="方正仿宋_GBK" w:cs="方正仿宋_GBK"/>
          <w:b/>
          <w:sz w:val="32"/>
          <w:szCs w:val="32"/>
          <w:shd w:val="clear" w:fill="FFFFFF"/>
        </w:rPr>
        <w:t> </w:t>
      </w:r>
      <w:r>
        <w:rPr>
          <w:rFonts w:hint="eastAsia" w:ascii="楷体" w:hAnsi="楷体" w:eastAsia="楷体" w:cs="楷体"/>
          <w:b/>
          <w:sz w:val="32"/>
          <w:szCs w:val="32"/>
          <w:shd w:val="clear" w:fill="FFFFFF"/>
        </w:rPr>
        <w:t>（十七）其他资本性支出（支出经济分类科目类级）</w:t>
      </w:r>
      <w:r>
        <w:rPr>
          <w:rFonts w:hint="eastAsia" w:ascii="楷体" w:hAnsi="楷体" w:eastAsia="楷体" w:cs="楷体"/>
          <w:sz w:val="32"/>
          <w:szCs w:val="32"/>
          <w:shd w:val="clear" w:fill="FFFFFF"/>
        </w:rPr>
        <w:t>：</w:t>
      </w:r>
      <w:r>
        <w:rPr>
          <w:rFonts w:hint="eastAsia" w:ascii="方正仿宋_GBK" w:hAnsi="方正仿宋_GBK" w:eastAsia="方正仿宋_GBK" w:cs="方正仿宋_GBK"/>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widowControl/>
        <w:suppressLineNumbers w:val="0"/>
        <w:shd w:val="clear" w:fill="FFFFFF"/>
        <w:spacing w:before="280" w:beforeAutospacing="0" w:after="280" w:afterAutospacing="0" w:line="315" w:lineRule="atLeast"/>
        <w:ind w:left="0" w:right="0"/>
        <w:rPr>
          <w:sz w:val="32"/>
          <w:szCs w:val="32"/>
        </w:rPr>
      </w:pPr>
      <w:r>
        <w:rPr>
          <w:rFonts w:hint="eastAsia" w:ascii="方正仿宋_GBK" w:hAnsi="方正仿宋_GBK" w:eastAsia="方正仿宋_GBK" w:cs="方正仿宋_GBK"/>
          <w:b/>
          <w:sz w:val="32"/>
          <w:szCs w:val="32"/>
          <w:shd w:val="clear" w:fill="FFFFFF"/>
        </w:rPr>
        <w:t> </w:t>
      </w:r>
      <w:r>
        <w:rPr>
          <w:rFonts w:hint="default" w:ascii="黑体" w:hAnsi="宋体" w:eastAsia="黑体" w:cs="黑体"/>
          <w:b/>
          <w:sz w:val="32"/>
          <w:szCs w:val="32"/>
          <w:shd w:val="clear" w:fill="FFFFFF"/>
        </w:rPr>
        <w:t>七、决算公开联系方式及信息反馈渠道</w:t>
      </w:r>
    </w:p>
    <w:p>
      <w:pPr>
        <w:pStyle w:val="6"/>
        <w:keepNext w:val="0"/>
        <w:keepLines w:val="0"/>
        <w:widowControl/>
        <w:suppressLineNumbers w:val="0"/>
        <w:spacing w:before="0" w:beforeAutospacing="0" w:after="0" w:afterAutospacing="0" w:line="315" w:lineRule="atLeast"/>
        <w:ind w:left="0" w:right="0" w:firstLine="640"/>
        <w:rPr>
          <w:sz w:val="32"/>
          <w:szCs w:val="32"/>
        </w:rPr>
      </w:pPr>
      <w:r>
        <w:rPr>
          <w:rFonts w:hint="eastAsia" w:ascii="方正仿宋_GBK" w:hAnsi="方正仿宋_GBK" w:eastAsia="方正仿宋_GBK" w:cs="方正仿宋_GBK"/>
          <w:sz w:val="32"/>
          <w:szCs w:val="32"/>
          <w:shd w:val="clear" w:fill="FFFFFF"/>
        </w:rPr>
        <w:t>本单位决算公开信息反馈和联系方式：何老师  023-74513007</w:t>
      </w: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公开单位：垫江县市政服务中心</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1,240.75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10,755.29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116.61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54.55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37.28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11,667.70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67.20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50.60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11,996.04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11,996.04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11,996.04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11,996.04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公开单位：垫江县市政服务中心</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11,996.04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11,996.04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40.13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40.13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污染防治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2110304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固体废弃物与化学品</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11,667.70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11,667.70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932.41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932.41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其他城乡社区管理事务支出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932.41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932.41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8,609.30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8,609.30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8,609.30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8,609.30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2,125.99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2,125.99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城市公共设施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626.23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626.23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城市环境卫生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1,499.76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1,499.76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w:t>
            </w:r>
            <w:r>
              <w:rPr>
                <w:rFonts w:hint="eastAsia" w:cs="宋体"/>
                <w:b/>
                <w:color w:val="000000"/>
                <w:sz w:val="21"/>
                <w:szCs w:val="21"/>
                <w:lang w:eastAsia="zh-CN" w:bidi="ar"/>
              </w:rPr>
              <w:t>拓展</w:t>
            </w:r>
            <w:r>
              <w:rPr>
                <w:rFonts w:cs="宋体"/>
                <w:b/>
                <w:color w:val="000000"/>
                <w:sz w:val="21"/>
                <w:szCs w:val="21"/>
                <w:lang w:bidi="ar"/>
              </w:rPr>
              <w:t>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47.20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47.20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w:t>
            </w:r>
            <w:r>
              <w:rPr>
                <w:rFonts w:cs="宋体"/>
                <w:b/>
                <w:color w:val="000000"/>
                <w:sz w:val="21"/>
                <w:szCs w:val="21"/>
                <w:lang w:bidi="ar"/>
              </w:rPr>
              <w:t>巩固</w:t>
            </w:r>
            <w:r>
              <w:rPr>
                <w:rFonts w:hint="eastAsia" w:cs="宋体"/>
                <w:b/>
                <w:color w:val="000000"/>
                <w:sz w:val="21"/>
                <w:szCs w:val="21"/>
                <w:lang w:eastAsia="zh-CN" w:bidi="ar"/>
              </w:rPr>
              <w:t>拓展</w:t>
            </w:r>
            <w:r>
              <w:rPr>
                <w:rFonts w:cs="宋体"/>
                <w:color w:val="000000"/>
                <w:sz w:val="21"/>
                <w:szCs w:val="21"/>
                <w:lang w:bidi="ar"/>
              </w:rPr>
              <w:t>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21367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三峡水库库区基金支出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2136799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其他三峡水库库区基金支出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垫江县市政服务中心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11,996.04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1,019.27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10,976.76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污染防治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2110304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固体废弃物与化学品</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11,667.70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825.42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10,842.28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932.41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825.42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106.99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其他城乡社区管理事务支出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932.41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825.42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106.99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8,609.30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8,609.30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8,609.30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8,609.30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2,125.99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2,125.99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城市公共设施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626.23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城市环境卫生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1,499.76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1,499.76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w:t>
            </w:r>
            <w:r>
              <w:rPr>
                <w:rFonts w:hint="eastAsia" w:cs="宋体"/>
                <w:b/>
                <w:color w:val="000000"/>
                <w:sz w:val="21"/>
                <w:szCs w:val="21"/>
                <w:lang w:eastAsia="zh-CN" w:bidi="ar"/>
              </w:rPr>
              <w:t>拓展</w:t>
            </w:r>
            <w:r>
              <w:rPr>
                <w:rFonts w:cs="宋体"/>
                <w:b/>
                <w:color w:val="000000"/>
                <w:sz w:val="21"/>
                <w:szCs w:val="21"/>
                <w:lang w:bidi="ar"/>
              </w:rPr>
              <w:t>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w:t>
            </w:r>
            <w:r>
              <w:rPr>
                <w:rFonts w:cs="宋体"/>
                <w:b/>
                <w:color w:val="000000"/>
                <w:sz w:val="21"/>
                <w:szCs w:val="21"/>
                <w:lang w:bidi="ar"/>
              </w:rPr>
              <w:t>巩固</w:t>
            </w:r>
            <w:r>
              <w:rPr>
                <w:rFonts w:hint="eastAsia" w:cs="宋体"/>
                <w:b/>
                <w:color w:val="000000"/>
                <w:sz w:val="21"/>
                <w:szCs w:val="21"/>
                <w:lang w:eastAsia="zh-CN" w:bidi="ar"/>
              </w:rPr>
              <w:t>拓展</w:t>
            </w:r>
            <w:r>
              <w:rPr>
                <w:rFonts w:cs="宋体"/>
                <w:color w:val="000000"/>
                <w:sz w:val="21"/>
                <w:szCs w:val="21"/>
                <w:lang w:bidi="ar"/>
              </w:rPr>
              <w:t>脱贫</w:t>
            </w:r>
            <w:r>
              <w:rPr>
                <w:rFonts w:hint="eastAsia" w:cs="宋体"/>
                <w:color w:val="000000"/>
                <w:sz w:val="21"/>
                <w:szCs w:val="21"/>
                <w:lang w:eastAsia="zh-CN" w:bidi="ar"/>
              </w:rPr>
              <w:t>拓展</w:t>
            </w:r>
            <w:r>
              <w:rPr>
                <w:rFonts w:cs="宋体"/>
                <w:color w:val="000000"/>
                <w:sz w:val="21"/>
                <w:szCs w:val="21"/>
                <w:lang w:bidi="ar"/>
              </w:rPr>
              <w:t>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21367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三峡水库库区基金支出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2136799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其他三峡水库库区基金支出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1,240.75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10,755.29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116.61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116.61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54.55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54.55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37.28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37.28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11,667.70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932.41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10,735.29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47.20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11,996.04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11,996.04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1,240.75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10,755.29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11,996.04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11,996.04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1,240.75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10,755.29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1,240.75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1,019.27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221.48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116.61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116.61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111.97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111.97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40.13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40.13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51.78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51.78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4.64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54.55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污染防治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2110304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固体废弃物与化学品</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37.28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37.28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932.41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825.42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106.99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932.41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825.42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106.99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其他城乡社区管理事务支出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932.41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825.42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106.99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47.20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47.20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巩固</w:t>
            </w:r>
            <w:r>
              <w:rPr>
                <w:rFonts w:hint="eastAsia" w:cs="宋体"/>
                <w:b/>
                <w:color w:val="000000"/>
                <w:sz w:val="21"/>
                <w:szCs w:val="21"/>
                <w:lang w:eastAsia="zh-CN" w:bidi="ar"/>
              </w:rPr>
              <w:t>拓展</w:t>
            </w:r>
            <w:r>
              <w:rPr>
                <w:rFonts w:cs="宋体"/>
                <w:b/>
                <w:color w:val="000000"/>
                <w:sz w:val="21"/>
                <w:szCs w:val="21"/>
                <w:lang w:bidi="ar"/>
              </w:rPr>
              <w:t>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47.20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47.20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w:t>
            </w:r>
            <w:r>
              <w:rPr>
                <w:rFonts w:cs="宋体"/>
                <w:b/>
                <w:color w:val="000000"/>
                <w:sz w:val="21"/>
                <w:szCs w:val="21"/>
                <w:lang w:bidi="ar"/>
              </w:rPr>
              <w:t>巩固</w:t>
            </w:r>
            <w:r>
              <w:rPr>
                <w:rFonts w:hint="eastAsia" w:cs="宋体"/>
                <w:b/>
                <w:color w:val="000000"/>
                <w:sz w:val="21"/>
                <w:szCs w:val="21"/>
                <w:lang w:eastAsia="zh-CN" w:bidi="ar"/>
              </w:rPr>
              <w:t>拓展</w:t>
            </w:r>
            <w:r>
              <w:rPr>
                <w:rFonts w:cs="宋体"/>
                <w:color w:val="000000"/>
                <w:sz w:val="21"/>
                <w:szCs w:val="21"/>
                <w:lang w:bidi="ar"/>
              </w:rPr>
              <w:t>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47.20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47.20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bookmarkStart w:id="0" w:name="_GoBack"/>
      <w:bookmarkEnd w:id="0"/>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762.83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197.29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139.98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8.87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5.58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0.74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382.54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20.06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24.55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0.74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57.78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93.85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59.15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5.65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5.29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43.75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27.68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12.84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18.12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821.98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197.29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10,755.29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10,755.29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10,755.29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10,735.29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10,735.29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10,735.29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8,609.30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8,609.30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8,609.30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8,609.30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8,609.30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8,609.30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21213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城市基础设施配套费安排的支出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2,125.99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2,125.99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2,125.99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2121301</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城市公共设施</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626.23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626.23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626.23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2121302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城市环境卫生</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1,499.76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1,499.76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1,499.76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农林水支出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21367</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三峡水库库区基金支出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2136799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其他三峡水库库区基金支出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垫江县市政服务中心</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19.34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19.34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18.12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18.12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18.12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18.12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1.22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24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5.65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OGMwYzBmYjg3N2EzNjlhZTBlNGJlMDBjNDZjNjgifQ=="/>
  </w:docVars>
  <w:rsids>
    <w:rsidRoot w:val="00B03CCD"/>
    <w:rsid w:val="000C2BA0"/>
    <w:rsid w:val="00550ABE"/>
    <w:rsid w:val="00556B59"/>
    <w:rsid w:val="007B419D"/>
    <w:rsid w:val="009B67B8"/>
    <w:rsid w:val="00B03CCD"/>
    <w:rsid w:val="00F73F90"/>
    <w:rsid w:val="00FB1AFA"/>
    <w:rsid w:val="00FD526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393B4B"/>
    <w:rsid w:val="0A5C4B69"/>
    <w:rsid w:val="0A86124A"/>
    <w:rsid w:val="0AB54CC0"/>
    <w:rsid w:val="0B9335CE"/>
    <w:rsid w:val="0BF2311A"/>
    <w:rsid w:val="0C7927C4"/>
    <w:rsid w:val="0C9B098C"/>
    <w:rsid w:val="0D673E11"/>
    <w:rsid w:val="0DDA54E4"/>
    <w:rsid w:val="0E3A5F83"/>
    <w:rsid w:val="0EE6468D"/>
    <w:rsid w:val="0F836721"/>
    <w:rsid w:val="0FA25D96"/>
    <w:rsid w:val="107B59E5"/>
    <w:rsid w:val="10EC0126"/>
    <w:rsid w:val="10F70B9A"/>
    <w:rsid w:val="111445C7"/>
    <w:rsid w:val="114278C6"/>
    <w:rsid w:val="1158083A"/>
    <w:rsid w:val="11643A4B"/>
    <w:rsid w:val="11D97F24"/>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DD03325"/>
    <w:rsid w:val="2FCA4B37"/>
    <w:rsid w:val="2FE029D7"/>
    <w:rsid w:val="2FF06E00"/>
    <w:rsid w:val="30586FEC"/>
    <w:rsid w:val="315F0B22"/>
    <w:rsid w:val="31D84415"/>
    <w:rsid w:val="32285F6F"/>
    <w:rsid w:val="32770556"/>
    <w:rsid w:val="329C0913"/>
    <w:rsid w:val="32AA0460"/>
    <w:rsid w:val="3337290D"/>
    <w:rsid w:val="33E31118"/>
    <w:rsid w:val="33EF7674"/>
    <w:rsid w:val="342D7BC6"/>
    <w:rsid w:val="34EC4F99"/>
    <w:rsid w:val="352930DB"/>
    <w:rsid w:val="35573069"/>
    <w:rsid w:val="355F6038"/>
    <w:rsid w:val="358C217E"/>
    <w:rsid w:val="36C9128A"/>
    <w:rsid w:val="37841E99"/>
    <w:rsid w:val="37BF1123"/>
    <w:rsid w:val="383C3F15"/>
    <w:rsid w:val="38BE4696"/>
    <w:rsid w:val="38C05153"/>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F566D3"/>
    <w:rsid w:val="411B6CE5"/>
    <w:rsid w:val="412070D7"/>
    <w:rsid w:val="41314E40"/>
    <w:rsid w:val="41E0734B"/>
    <w:rsid w:val="426C1EA8"/>
    <w:rsid w:val="42736402"/>
    <w:rsid w:val="42E86A87"/>
    <w:rsid w:val="43307B09"/>
    <w:rsid w:val="439A3EB9"/>
    <w:rsid w:val="43BB152F"/>
    <w:rsid w:val="44C37687"/>
    <w:rsid w:val="44FE6FA1"/>
    <w:rsid w:val="45CB699A"/>
    <w:rsid w:val="465B470D"/>
    <w:rsid w:val="469D6AD4"/>
    <w:rsid w:val="471E6C84"/>
    <w:rsid w:val="4748792B"/>
    <w:rsid w:val="475D719D"/>
    <w:rsid w:val="47674801"/>
    <w:rsid w:val="47D12B8B"/>
    <w:rsid w:val="48225EF7"/>
    <w:rsid w:val="488F422B"/>
    <w:rsid w:val="48E36915"/>
    <w:rsid w:val="48EB6572"/>
    <w:rsid w:val="495C4A24"/>
    <w:rsid w:val="497135DF"/>
    <w:rsid w:val="4A263DF2"/>
    <w:rsid w:val="4A6F6675"/>
    <w:rsid w:val="4ABC5F18"/>
    <w:rsid w:val="4B135857"/>
    <w:rsid w:val="4B7951CB"/>
    <w:rsid w:val="4B7C315C"/>
    <w:rsid w:val="4DAC4ACA"/>
    <w:rsid w:val="4DBE01D2"/>
    <w:rsid w:val="4F0C6BA3"/>
    <w:rsid w:val="4F186D58"/>
    <w:rsid w:val="50F06B6E"/>
    <w:rsid w:val="51736DAF"/>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80662"/>
    <w:rsid w:val="5F2D4A41"/>
    <w:rsid w:val="60C74F6C"/>
    <w:rsid w:val="61025A59"/>
    <w:rsid w:val="613D5BBC"/>
    <w:rsid w:val="61536C39"/>
    <w:rsid w:val="61C37357"/>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4C7F83"/>
    <w:rsid w:val="6D903FF5"/>
    <w:rsid w:val="6DA955B8"/>
    <w:rsid w:val="6DE346AB"/>
    <w:rsid w:val="6DE5391A"/>
    <w:rsid w:val="6EFD1324"/>
    <w:rsid w:val="6F5A53AC"/>
    <w:rsid w:val="6FAC003D"/>
    <w:rsid w:val="6FE55E12"/>
    <w:rsid w:val="6FFB2E76"/>
    <w:rsid w:val="708F6F7F"/>
    <w:rsid w:val="70D94BD3"/>
    <w:rsid w:val="71C34D91"/>
    <w:rsid w:val="71DE099F"/>
    <w:rsid w:val="72D07BB9"/>
    <w:rsid w:val="72DB435C"/>
    <w:rsid w:val="72E2613A"/>
    <w:rsid w:val="72F771F4"/>
    <w:rsid w:val="73934AD2"/>
    <w:rsid w:val="750837F0"/>
    <w:rsid w:val="754758CF"/>
    <w:rsid w:val="764F62AB"/>
    <w:rsid w:val="765C45EC"/>
    <w:rsid w:val="768A7619"/>
    <w:rsid w:val="772E1EBA"/>
    <w:rsid w:val="779603D6"/>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eastAsia="en-US"/>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5"/>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页眉 字符"/>
    <w:basedOn w:val="9"/>
    <w:link w:val="4"/>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2693</Words>
  <Characters>15354</Characters>
  <Lines>127</Lines>
  <Paragraphs>36</Paragraphs>
  <TotalTime>1</TotalTime>
  <ScaleCrop>false</ScaleCrop>
  <LinksUpToDate>false</LinksUpToDate>
  <CharactersWithSpaces>18011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2025-10-22T01:56:50Z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ies>
</file>