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53" w:rsidRDefault="00293ECA">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垫江县城乡建设档案室</w:t>
      </w:r>
    </w:p>
    <w:p w:rsidR="007B1F53" w:rsidRDefault="00293ECA">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7B1F53" w:rsidRDefault="00293EC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7B1F53" w:rsidRDefault="00293ECA">
      <w:pPr>
        <w:pStyle w:val="a8"/>
        <w:shd w:val="clear" w:color="auto" w:fill="FFFFFF"/>
        <w:ind w:firstLine="420"/>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7B1F53" w:rsidRDefault="00293ECA">
      <w:pPr>
        <w:pStyle w:val="a8"/>
        <w:shd w:val="clear" w:color="auto" w:fill="FFFFFF"/>
        <w:ind w:firstLine="42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1、负责城乡建设档案资料的收集、整理、鉴定、保管、统计、利用工作。</w:t>
      </w:r>
    </w:p>
    <w:p w:rsidR="007B1F53" w:rsidRDefault="00293ECA">
      <w:pPr>
        <w:pStyle w:val="a8"/>
        <w:shd w:val="clear" w:color="auto" w:fill="FFFFFF"/>
        <w:ind w:firstLine="42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2、实施城乡建设档案业务指导，主持建设工程档案专项验收，参加工程竣工验收，核发建设工程档案验收意见书。</w:t>
      </w:r>
    </w:p>
    <w:p w:rsidR="007B1F53" w:rsidRDefault="00293ECA">
      <w:pPr>
        <w:pStyle w:val="a8"/>
        <w:shd w:val="clear" w:color="auto" w:fill="FFFFFF"/>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3、负责全县建设、设计、施工、监理、地质单位建设档案人员的培训和资质审查。</w:t>
      </w:r>
    </w:p>
    <w:p w:rsidR="007B1F53" w:rsidRDefault="00293ECA">
      <w:pPr>
        <w:pStyle w:val="a8"/>
        <w:shd w:val="clear" w:color="auto" w:fill="FFFFFF"/>
        <w:ind w:firstLine="420"/>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7B1F53" w:rsidRDefault="00293ECA">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本单位无内设机构。</w:t>
      </w:r>
    </w:p>
    <w:p w:rsidR="007B1F53" w:rsidRDefault="00293EC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7B1F53" w:rsidRDefault="00293ECA">
      <w:pPr>
        <w:pStyle w:val="a8"/>
        <w:shd w:val="clear" w:color="auto" w:fill="FFFFFF"/>
        <w:ind w:firstLineChars="200" w:firstLine="643"/>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2024年度收入总计351.13万元，支出总计</w:t>
      </w:r>
      <w:r>
        <w:rPr>
          <w:rFonts w:ascii="方正仿宋_GBK" w:eastAsia="方正仿宋_GBK" w:hAnsi="方正仿宋_GBK" w:cs="方正仿宋_GBK"/>
          <w:sz w:val="32"/>
          <w:szCs w:val="32"/>
        </w:rPr>
        <w:t>351.13</w:t>
      </w:r>
      <w:r>
        <w:rPr>
          <w:rFonts w:ascii="方正仿宋_GBK" w:eastAsia="方正仿宋_GBK" w:hAnsi="方正仿宋_GBK" w:cs="方正仿宋_GBK"/>
          <w:sz w:val="32"/>
          <w:szCs w:val="32"/>
          <w:shd w:val="clear" w:color="auto" w:fill="FFFFFF"/>
        </w:rPr>
        <w:t>万元。收、支与2023年度相比，增加244.62万元，增长229.7%，主要原因是机构改革合并，导致收入、支出增加。</w:t>
      </w:r>
    </w:p>
    <w:p w:rsidR="007B1F53" w:rsidRDefault="00293ECA">
      <w:pPr>
        <w:pStyle w:val="a8"/>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lastRenderedPageBreak/>
        <w:t>2.收入情况。</w:t>
      </w:r>
      <w:r>
        <w:rPr>
          <w:rFonts w:ascii="方正仿宋_GBK" w:eastAsia="方正仿宋_GBK" w:hAnsi="方正仿宋_GBK" w:cs="方正仿宋_GBK"/>
          <w:sz w:val="32"/>
          <w:szCs w:val="32"/>
          <w:shd w:val="clear" w:color="auto" w:fill="FFFFFF"/>
        </w:rPr>
        <w:t>2024年度收入合计337.13万元，与2023年度相比，增加230.62万元，增长216.5%，主要原因是机构改革合并导致收入增加。其中：财政拨款收入</w:t>
      </w:r>
      <w:r>
        <w:rPr>
          <w:rFonts w:ascii="方正仿宋_GBK" w:eastAsia="方正仿宋_GBK" w:hAnsi="方正仿宋_GBK" w:cs="方正仿宋_GBK"/>
          <w:sz w:val="32"/>
          <w:szCs w:val="32"/>
        </w:rPr>
        <w:t>337.13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14.00</w:t>
      </w:r>
      <w:r>
        <w:rPr>
          <w:rFonts w:ascii="方正仿宋_GBK" w:eastAsia="方正仿宋_GBK" w:hAnsi="方正仿宋_GBK" w:cs="方正仿宋_GBK"/>
          <w:sz w:val="32"/>
          <w:szCs w:val="32"/>
          <w:shd w:val="clear" w:color="auto" w:fill="FFFFFF"/>
        </w:rPr>
        <w:t>万元。</w:t>
      </w:r>
    </w:p>
    <w:p w:rsidR="007B1F53" w:rsidRDefault="00293ECA">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351.13</w:t>
      </w:r>
      <w:r>
        <w:rPr>
          <w:rFonts w:ascii="方正仿宋_GBK" w:eastAsia="方正仿宋_GBK" w:hAnsi="方正仿宋_GBK" w:cs="方正仿宋_GBK"/>
          <w:sz w:val="32"/>
          <w:szCs w:val="32"/>
          <w:shd w:val="clear" w:color="auto" w:fill="FFFFFF"/>
        </w:rPr>
        <w:t>万元，与2023年度相比，增加244.62万元，增长229.7%，主要原因是机构改革合并导致费用增加。其中：基本支出</w:t>
      </w:r>
      <w:r>
        <w:rPr>
          <w:rFonts w:ascii="方正仿宋_GBK" w:eastAsia="方正仿宋_GBK" w:hAnsi="方正仿宋_GBK" w:cs="方正仿宋_GBK"/>
          <w:sz w:val="32"/>
          <w:szCs w:val="32"/>
        </w:rPr>
        <w:t>325.14</w:t>
      </w:r>
      <w:r>
        <w:rPr>
          <w:rFonts w:ascii="方正仿宋_GBK" w:eastAsia="方正仿宋_GBK" w:hAnsi="方正仿宋_GBK" w:cs="方正仿宋_GBK"/>
          <w:sz w:val="32"/>
          <w:szCs w:val="32"/>
          <w:shd w:val="clear" w:color="auto" w:fill="FFFFFF"/>
        </w:rPr>
        <w:t>万元，占92.6%；项目支出</w:t>
      </w:r>
      <w:r>
        <w:rPr>
          <w:rFonts w:ascii="方正仿宋_GBK" w:eastAsia="方正仿宋_GBK" w:hAnsi="方正仿宋_GBK" w:cs="方正仿宋_GBK"/>
          <w:sz w:val="32"/>
          <w:szCs w:val="32"/>
        </w:rPr>
        <w:t>25.99</w:t>
      </w:r>
      <w:r>
        <w:rPr>
          <w:rFonts w:ascii="方正仿宋_GBK" w:eastAsia="方正仿宋_GBK" w:hAnsi="方正仿宋_GBK" w:cs="方正仿宋_GBK"/>
          <w:sz w:val="32"/>
          <w:szCs w:val="32"/>
          <w:shd w:val="clear" w:color="auto" w:fill="FFFFFF"/>
        </w:rPr>
        <w:t>万元，占7.4%；经营支出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B1F53" w:rsidRDefault="00293ECA">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万元，与2023年度相比，无增减，主要原因是年末财政收回结存资金，收支平衡。</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2024年度财政拨款收、支总计351.13万元。与2023年相比，财政拨款收、支总计各增加244.62万元，增长229.7%。主要原因是机构改革合并导致收入、支出增加。</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7B1F53" w:rsidRDefault="00293ECA">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337.13</w:t>
      </w:r>
      <w:r>
        <w:rPr>
          <w:rFonts w:ascii="方正仿宋_GBK" w:eastAsia="方正仿宋_GBK" w:hAnsi="方正仿宋_GBK" w:cs="方正仿宋_GBK"/>
          <w:sz w:val="32"/>
          <w:szCs w:val="32"/>
          <w:shd w:val="clear" w:color="auto" w:fill="FFFFFF"/>
        </w:rPr>
        <w:t>万元，与2023年度相比，增加230.62万元，增长</w:t>
      </w:r>
      <w:r>
        <w:rPr>
          <w:rFonts w:ascii="方正仿宋_GBK" w:eastAsia="方正仿宋_GBK" w:hAnsi="方正仿宋_GBK" w:cs="方正仿宋_GBK"/>
          <w:sz w:val="32"/>
          <w:szCs w:val="32"/>
          <w:shd w:val="clear" w:color="auto" w:fill="FFFFFF"/>
        </w:rPr>
        <w:lastRenderedPageBreak/>
        <w:t>216.5%。主要原因是机构改革合并导致收入增加。较年初预算数增加234.74万元，增长229.3%。主要原因是机构改革合并导致预算收入增加。此外，年初财政拨款结转和结余</w:t>
      </w:r>
      <w:r>
        <w:rPr>
          <w:rFonts w:ascii="方正仿宋_GBK" w:eastAsia="方正仿宋_GBK" w:hAnsi="方正仿宋_GBK" w:cs="方正仿宋_GBK"/>
          <w:sz w:val="32"/>
          <w:szCs w:val="32"/>
        </w:rPr>
        <w:t>14.00</w:t>
      </w:r>
      <w:r>
        <w:rPr>
          <w:rFonts w:ascii="方正仿宋_GBK" w:eastAsia="方正仿宋_GBK" w:hAnsi="方正仿宋_GBK" w:cs="方正仿宋_GBK"/>
          <w:sz w:val="32"/>
          <w:szCs w:val="32"/>
          <w:shd w:val="clear" w:color="auto" w:fill="FFFFFF"/>
        </w:rPr>
        <w:t>万元。</w:t>
      </w:r>
    </w:p>
    <w:p w:rsidR="007B1F53" w:rsidRDefault="00293ECA">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351.13</w:t>
      </w:r>
      <w:r>
        <w:rPr>
          <w:rFonts w:ascii="方正仿宋_GBK" w:eastAsia="方正仿宋_GBK" w:hAnsi="方正仿宋_GBK" w:cs="方正仿宋_GBK"/>
          <w:sz w:val="32"/>
          <w:szCs w:val="32"/>
          <w:shd w:val="clear" w:color="auto" w:fill="FFFFFF"/>
        </w:rPr>
        <w:t>万元，与2023年度相比，增加244.62万元，增长229.7%。主要原因是机构改革合并导致费用增加。较年初预算数增加248.74万元，增长242.9%。主要原因是机构改革合并导致费用增加。</w:t>
      </w:r>
    </w:p>
    <w:p w:rsidR="007B1F53" w:rsidRDefault="00293ECA">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万元，与2023年度相比，无增减，主要原因是年末财政收回结存资金，收支平衡。</w:t>
      </w:r>
    </w:p>
    <w:p w:rsidR="007B1F53" w:rsidRDefault="00293ECA">
      <w:pPr>
        <w:pStyle w:val="a8"/>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（1）教育支出</w:t>
      </w:r>
      <w:r>
        <w:rPr>
          <w:rFonts w:ascii="方正仿宋_GBK" w:eastAsia="方正仿宋_GBK" w:hAnsi="方正仿宋_GBK" w:cs="方正仿宋_GBK"/>
          <w:sz w:val="32"/>
          <w:szCs w:val="32"/>
        </w:rPr>
        <w:t>0.75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0.2%</w:t>
      </w:r>
      <w:r>
        <w:rPr>
          <w:rFonts w:ascii="方正仿宋_GBK" w:eastAsia="方正仿宋_GBK" w:hAnsi="方正仿宋_GBK" w:cs="方正仿宋_GBK"/>
          <w:sz w:val="32"/>
          <w:szCs w:val="32"/>
          <w:shd w:val="clear" w:color="auto" w:fill="FFFFFF"/>
        </w:rPr>
        <w:t>，较年初预算数增加0.47万元，增长167.9%，主要原因是机构改革合并，人员增加，导致费用增加。</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（2）社会保障与就业支出</w:t>
      </w:r>
      <w:r>
        <w:rPr>
          <w:rFonts w:ascii="方正仿宋_GBK" w:eastAsia="方正仿宋_GBK" w:hAnsi="方正仿宋_GBK" w:cs="方正仿宋_GBK"/>
          <w:sz w:val="32"/>
          <w:szCs w:val="32"/>
        </w:rPr>
        <w:t>66.31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18.9%</w:t>
      </w:r>
      <w:r>
        <w:rPr>
          <w:rFonts w:ascii="方正仿宋_GBK" w:eastAsia="方正仿宋_GBK" w:hAnsi="方正仿宋_GBK" w:cs="方正仿宋_GBK"/>
          <w:sz w:val="32"/>
          <w:szCs w:val="32"/>
          <w:shd w:val="clear" w:color="auto" w:fill="FFFFFF"/>
        </w:rPr>
        <w:t>，较年初预算数增加52.15万元，增长368.3%，主要原因是机构改革合并，人员增加，导致费用增加。</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（3）卫生健康支出</w:t>
      </w:r>
      <w:r>
        <w:rPr>
          <w:rFonts w:ascii="方正仿宋_GBK" w:eastAsia="方正仿宋_GBK" w:hAnsi="方正仿宋_GBK" w:cs="方正仿宋_GBK"/>
          <w:sz w:val="32"/>
          <w:szCs w:val="32"/>
        </w:rPr>
        <w:t>9.56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2.7%</w:t>
      </w:r>
      <w:r>
        <w:rPr>
          <w:rFonts w:ascii="方正仿宋_GBK" w:eastAsia="方正仿宋_GBK" w:hAnsi="方正仿宋_GBK" w:cs="方正仿宋_GBK"/>
          <w:sz w:val="32"/>
          <w:szCs w:val="32"/>
          <w:shd w:val="clear" w:color="auto" w:fill="FFFFFF"/>
        </w:rPr>
        <w:t>，较年初预算数增加6.04万元，增长171.6%，主要原因是机构改革合并，人员增加，导致费用增加。</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（4）城乡社区支出</w:t>
      </w:r>
      <w:r>
        <w:rPr>
          <w:rFonts w:ascii="方正仿宋_GBK" w:eastAsia="方正仿宋_GBK" w:hAnsi="方正仿宋_GBK" w:cs="方正仿宋_GBK"/>
          <w:sz w:val="32"/>
          <w:szCs w:val="32"/>
        </w:rPr>
        <w:t>263.03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74.9%</w:t>
      </w:r>
      <w:r>
        <w:rPr>
          <w:rFonts w:ascii="方正仿宋_GBK" w:eastAsia="方正仿宋_GBK" w:hAnsi="方正仿宋_GBK" w:cs="方正仿宋_GBK"/>
          <w:sz w:val="32"/>
          <w:szCs w:val="32"/>
          <w:shd w:val="clear" w:color="auto" w:fill="FFFFFF"/>
        </w:rPr>
        <w:t>，较年初预算数增加182.82万元，增长227.9%，主要原因是机构改革合并，人员增加，导致费用增加。</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住房保障支出11.47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3.3%</w:t>
      </w:r>
      <w:r>
        <w:rPr>
          <w:rFonts w:ascii="方正仿宋_GBK" w:eastAsia="方正仿宋_GBK" w:hAnsi="方正仿宋_GBK" w:cs="方正仿宋_GBK"/>
          <w:sz w:val="32"/>
          <w:szCs w:val="32"/>
          <w:shd w:val="clear" w:color="auto" w:fill="FFFFFF"/>
        </w:rPr>
        <w:t>，较年初预算数增加7.25万元，增长171.8%，主要原因是机构改革合并，人员增加，导致费用增加。</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325.14</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295.66</w:t>
      </w:r>
      <w:r>
        <w:rPr>
          <w:rFonts w:ascii="方正仿宋_GBK" w:eastAsia="方正仿宋_GBK" w:hAnsi="方正仿宋_GBK" w:cs="方正仿宋_GBK"/>
          <w:sz w:val="32"/>
          <w:szCs w:val="32"/>
          <w:shd w:val="clear" w:color="auto" w:fill="FFFFFF"/>
        </w:rPr>
        <w:t>万元，与2023年度相比，增加207.19万元，增长234.2%，主要原因是机构改革合并，人员增加，导致费用增加。人员经费用途主要包括基本工资、绩效工资、津贴补贴、社会保障费等。公用经费</w:t>
      </w:r>
      <w:r>
        <w:rPr>
          <w:rFonts w:ascii="方正仿宋_GBK" w:eastAsia="方正仿宋_GBK" w:hAnsi="方正仿宋_GBK" w:cs="方正仿宋_GBK"/>
          <w:sz w:val="32"/>
          <w:szCs w:val="32"/>
        </w:rPr>
        <w:t>29.48</w:t>
      </w:r>
      <w:r>
        <w:rPr>
          <w:rFonts w:ascii="方正仿宋_GBK" w:eastAsia="方正仿宋_GBK" w:hAnsi="方正仿宋_GBK" w:cs="方正仿宋_GBK"/>
          <w:sz w:val="32"/>
          <w:szCs w:val="32"/>
          <w:shd w:val="clear" w:color="auto" w:fill="FFFFFF"/>
        </w:rPr>
        <w:t>万元，与2023年度相比，增加21.43万元，增长266.2%，主要原因是机构改革合并，导致费用增加。公用经费用途主要包括办公费、差旅费、印刷费、委托业务费、邮电费等。</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7B1F53" w:rsidRDefault="00431CA2">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7B1F53" w:rsidRDefault="00431CA2">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7B1F53" w:rsidRDefault="00293EC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4.00</w:t>
      </w:r>
      <w:r>
        <w:rPr>
          <w:rFonts w:ascii="方正仿宋_GBK" w:eastAsia="方正仿宋_GBK" w:hAnsi="方正仿宋_GBK" w:cs="方正仿宋_GBK"/>
          <w:sz w:val="32"/>
          <w:szCs w:val="32"/>
          <w:shd w:val="clear" w:color="auto" w:fill="FFFFFF"/>
        </w:rPr>
        <w:t>万元，较年初预算数无增减，主要原因是我单位厉行节约，按照只减不增的要求从严控制。较上年支出数增加4.00万元，增长100.0%，主要原因是机构改革合并导致费用增加。</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7B1F53" w:rsidRDefault="00293ECA">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万元，主要是用于因公出国（境）费用。费用支出较年初预算数无增减，主要原因是我单位本年度未发生因公出国（境）费用。较上年支出数无增减，主要原因是上年和本年均未发生因公出国（境）费用。</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万元，主要用于公务车购置费用。费用支出较年初预算数无增减，主要原因是我单位本年度未发生公务车购置费用。较上年支出数无增减，主要原因是上年和本年均未发生公务车购置费用。</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3.00</w:t>
      </w:r>
      <w:r>
        <w:rPr>
          <w:rFonts w:ascii="方正仿宋_GBK" w:eastAsia="方正仿宋_GBK" w:hAnsi="方正仿宋_GBK" w:cs="方正仿宋_GBK"/>
          <w:sz w:val="32"/>
          <w:szCs w:val="32"/>
          <w:shd w:val="clear" w:color="auto" w:fill="FFFFFF"/>
        </w:rPr>
        <w:t>万元，主要用于市内因公出行等工作所需车辆的燃料费、维修费、过桥过路费、保险费等。费用支出较年初预算数无增减，主要原因是我单位厉行节</w:t>
      </w:r>
      <w:r>
        <w:rPr>
          <w:rFonts w:ascii="方正仿宋_GBK" w:eastAsia="方正仿宋_GBK" w:hAnsi="方正仿宋_GBK" w:cs="方正仿宋_GBK"/>
          <w:sz w:val="32"/>
          <w:szCs w:val="32"/>
          <w:shd w:val="clear" w:color="auto" w:fill="FFFFFF"/>
        </w:rPr>
        <w:lastRenderedPageBreak/>
        <w:t>约，按照只减不增的要求从严控制。较上年支出数增加3.00万元，增长100.0%，主要原因是机构改革合并导致费用增加。</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万元，主要用于接待考察学习调研工作，接受相关部门检查指导工作所发生的公务接待支出。费用支出较年初预算数无增减，主要原因是我单位厉行节约，按照只减不增的要求从严控制。较上年支出数增加1.00万元，增长100.0%，主要原因是机构改革合并导致费用增加。</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19</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167</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59.88</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3.00</w:t>
      </w:r>
      <w:r>
        <w:rPr>
          <w:rFonts w:ascii="方正仿宋_GBK" w:eastAsia="方正仿宋_GBK" w:hAnsi="方正仿宋_GBK" w:cs="方正仿宋_GBK"/>
          <w:sz w:val="32"/>
          <w:szCs w:val="32"/>
          <w:shd w:val="clear" w:color="auto" w:fill="FFFFFF"/>
        </w:rPr>
        <w:t>万元。</w:t>
      </w:r>
    </w:p>
    <w:p w:rsidR="007B1F53" w:rsidRDefault="00293EC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（一）财政拨款会议费和培训费情况说明</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万元，与2023年度相比，无增减，主要原因是我单位厉行节约，以线上会议为主。本年度培训费支出</w:t>
      </w:r>
      <w:r>
        <w:rPr>
          <w:rFonts w:ascii="方正仿宋_GBK" w:eastAsia="方正仿宋_GBK" w:hAnsi="方正仿宋_GBK" w:cs="方正仿宋_GBK"/>
          <w:sz w:val="32"/>
          <w:szCs w:val="32"/>
        </w:rPr>
        <w:t>0.75</w:t>
      </w:r>
      <w:r>
        <w:rPr>
          <w:rFonts w:ascii="方正仿宋_GBK" w:eastAsia="方正仿宋_GBK" w:hAnsi="方正仿宋_GBK" w:cs="方正仿宋_GBK"/>
          <w:sz w:val="32"/>
          <w:szCs w:val="32"/>
          <w:shd w:val="clear" w:color="auto" w:fill="FFFFFF"/>
        </w:rPr>
        <w:t>万元，与2023年度相比，增加0.54万元，增长257.1%，主要原因是机构改革合并，导致培训费用增加。</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7B1F53" w:rsidRDefault="00431CA2">
      <w:pPr>
        <w:pStyle w:val="1"/>
        <w:autoSpaceDE w:val="0"/>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2024年度本</w:t>
      </w:r>
      <w:r>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（三）国有资产占用情况说明</w:t>
      </w:r>
    </w:p>
    <w:p w:rsidR="007B1F53" w:rsidRDefault="00293ECA">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7B1F53" w:rsidRDefault="00293ECA">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7B1F53" w:rsidRDefault="00431CA2">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w:t>
      </w:r>
      <w:r w:rsidRPr="000862B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0862B1">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单位</w:t>
      </w:r>
      <w:r w:rsidRPr="000862B1">
        <w:rPr>
          <w:rFonts w:ascii="方正仿宋_GBK" w:eastAsia="方正仿宋_GBK" w:hAnsi="方正仿宋_GBK" w:cs="方正仿宋_GBK"/>
          <w:sz w:val="32"/>
          <w:szCs w:val="32"/>
          <w:shd w:val="clear" w:color="auto" w:fill="FFFFFF"/>
        </w:rPr>
        <w:t>未发生政府采购事项，无相关经费支出。</w:t>
      </w:r>
    </w:p>
    <w:p w:rsidR="007B1F53" w:rsidRDefault="00293ECA">
      <w:pPr>
        <w:pStyle w:val="Char"/>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7B1F53" w:rsidRDefault="00293ECA">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7B1F53" w:rsidRDefault="00293ECA">
      <w:pPr>
        <w:pStyle w:val="Char"/>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根据预算绩效管理要求，我单位对2个项目开展了绩效自评，涉及财政拨款项目支出资金25.99万元。对库管费项目开展了绩效评价，评价得分90分，评价等次为优，</w:t>
      </w:r>
      <w:r>
        <w:rPr>
          <w:rFonts w:ascii="方正仿宋_GBK" w:eastAsia="方正仿宋_GBK" w:hAnsi="方正仿宋_GBK" w:cs="方正仿宋_GBK" w:hint="eastAsia"/>
          <w:color w:val="000000" w:themeColor="text1"/>
          <w:sz w:val="32"/>
          <w:szCs w:val="32"/>
          <w:shd w:val="clear" w:color="auto" w:fill="FFFFFF"/>
        </w:rPr>
        <w:t>从评价情况来看，我单位项目专项工作均已完成当年计划，保管库存工程档案64742卷，完成了年度绩效目标，切实加强和改进了新形势下我室城建档案工作。</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w:t>
      </w:r>
    </w:p>
    <w:p w:rsidR="007B1F53" w:rsidRDefault="00293ECA">
      <w:pPr>
        <w:pStyle w:val="Char"/>
        <w:autoSpaceDE w:val="0"/>
        <w:spacing w:before="0" w:beforeAutospacing="0" w:after="0" w:afterAutospacing="0"/>
      </w:pPr>
      <w:r>
        <w:rPr>
          <w:noProof/>
        </w:rPr>
        <w:lastRenderedPageBreak/>
        <w:drawing>
          <wp:inline distT="0" distB="0" distL="114300" distR="114300">
            <wp:extent cx="5275580" cy="3621405"/>
            <wp:effectExtent l="0" t="0" r="1270" b="171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5580" cy="3621405"/>
                    </a:xfrm>
                    <a:prstGeom prst="rect">
                      <a:avLst/>
                    </a:prstGeom>
                    <a:noFill/>
                    <a:ln>
                      <a:noFill/>
                    </a:ln>
                  </pic:spPr>
                </pic:pic>
              </a:graphicData>
            </a:graphic>
          </wp:inline>
        </w:drawing>
      </w:r>
    </w:p>
    <w:p w:rsidR="007B1F53" w:rsidRDefault="007B1F53">
      <w:pPr>
        <w:pStyle w:val="Char"/>
        <w:autoSpaceDE w:val="0"/>
        <w:spacing w:before="0" w:beforeAutospacing="0" w:after="0" w:afterAutospacing="0"/>
      </w:pPr>
    </w:p>
    <w:p w:rsidR="007B1F53" w:rsidRDefault="007B1F53">
      <w:pPr>
        <w:pStyle w:val="Char"/>
        <w:autoSpaceDE w:val="0"/>
        <w:spacing w:before="0" w:beforeAutospacing="0" w:after="0" w:afterAutospacing="0"/>
      </w:pPr>
    </w:p>
    <w:p w:rsidR="007B1F53" w:rsidRDefault="007B1F53">
      <w:pPr>
        <w:pStyle w:val="Char"/>
        <w:autoSpaceDE w:val="0"/>
        <w:spacing w:before="0" w:beforeAutospacing="0" w:after="0" w:afterAutospacing="0"/>
      </w:pPr>
    </w:p>
    <w:p w:rsidR="007B1F53" w:rsidRDefault="00293ECA">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7B1F53" w:rsidRDefault="00293ECA">
      <w:pPr>
        <w:pStyle w:val="1"/>
        <w:autoSpaceDE w:val="0"/>
        <w:ind w:firstLine="640"/>
        <w:rPr>
          <w:rFonts w:ascii="楷体" w:eastAsia="楷体" w:hAnsi="楷体" w:cs="楷体"/>
          <w:b/>
          <w:bCs/>
          <w:sz w:val="32"/>
          <w:szCs w:val="32"/>
          <w:shd w:val="clear" w:color="auto" w:fill="FFFFFF"/>
          <w:lang w:bidi="ar"/>
        </w:rPr>
      </w:pPr>
      <w:r>
        <w:rPr>
          <w:rFonts w:ascii="方正仿宋_GBK" w:eastAsia="方正仿宋_GBK" w:hAnsi="方正仿宋_GBK" w:cs="方正仿宋_GBK" w:hint="eastAsia"/>
          <w:sz w:val="32"/>
          <w:szCs w:val="32"/>
          <w:shd w:val="clear" w:color="auto" w:fill="FFFFFF"/>
        </w:rPr>
        <w:t>我单位未组织开展绩效评价。</w:t>
      </w:r>
    </w:p>
    <w:p w:rsidR="007B1F53" w:rsidRDefault="00293ECA">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7B1F53" w:rsidRDefault="00293ECA">
      <w:pPr>
        <w:pStyle w:val="Char"/>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rsidR="007B1F53" w:rsidRDefault="00293ECA">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w:t>
      </w:r>
      <w:r>
        <w:rPr>
          <w:rFonts w:ascii="方正仿宋_GBK" w:eastAsia="方正仿宋_GBK" w:hAnsi="方正仿宋_GBK" w:cs="方正仿宋_GBK" w:hint="eastAsia"/>
          <w:sz w:val="32"/>
          <w:szCs w:val="32"/>
          <w:shd w:val="clear" w:color="auto" w:fill="FFFFFF"/>
        </w:rPr>
        <w:lastRenderedPageBreak/>
        <w:t>府收支分类经济科目中的“工资福利支出”和“对个人和家庭的补助”；公用经费指政府收支分类经济科目中除“工资福利支出”和“对个人和家庭的补助”外的其他支出。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B1F53" w:rsidRDefault="00293ECA">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7B1F53" w:rsidRDefault="00293ECA">
      <w:pPr>
        <w:pStyle w:val="Char"/>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本单位决算公开信息反馈和联系方式：023-74513007。</w:t>
      </w: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pPr>
    </w:p>
    <w:p w:rsidR="007B1F53" w:rsidRDefault="007B1F53" w:rsidP="00431CA2">
      <w:pPr>
        <w:pStyle w:val="1"/>
        <w:autoSpaceDE w:val="0"/>
        <w:spacing w:line="596" w:lineRule="exact"/>
        <w:ind w:firstLineChars="0" w:firstLine="0"/>
        <w:jc w:val="both"/>
        <w:rPr>
          <w:rStyle w:val="21"/>
          <w:rFonts w:ascii="方正仿宋_GBK" w:eastAsia="方正仿宋_GBK" w:hAnsi="方正仿宋_GBK" w:cs="方正仿宋_GBK"/>
          <w:sz w:val="32"/>
          <w:szCs w:val="32"/>
          <w:shd w:val="clear" w:color="auto" w:fill="FFFF00"/>
        </w:rPr>
        <w:sectPr w:rsidR="007B1F53">
          <w:footerReference w:type="default" r:id="rId8"/>
          <w:pgSz w:w="11915" w:h="16840"/>
          <w:pgMar w:top="1440" w:right="1800" w:bottom="1440" w:left="1800" w:header="851" w:footer="992" w:gutter="0"/>
          <w:pgNumType w:fmt="numberInDash"/>
          <w:cols w:space="720"/>
          <w:docGrid w:type="lines" w:linePitch="312"/>
        </w:sectPr>
      </w:pPr>
      <w:bookmarkStart w:id="0" w:name="_GoBack"/>
      <w:bookmarkEnd w:id="0"/>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7B1F5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7B1F5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7B1F5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rPr>
                <w:rFonts w:ascii="Arial" w:hAnsi="Arial" w:cs="Arial" w:hint="default"/>
                <w:color w:val="000000"/>
                <w:sz w:val="22"/>
                <w:szCs w:val="22"/>
              </w:rPr>
            </w:pPr>
            <w:r>
              <w:rPr>
                <w:rFonts w:cs="宋体"/>
                <w:sz w:val="20"/>
                <w:szCs w:val="20"/>
              </w:rPr>
              <w:t>单位：</w:t>
            </w:r>
            <w:r>
              <w:rPr>
                <w:sz w:val="20"/>
              </w:rPr>
              <w:t>垫江县城乡建设档案室</w:t>
            </w:r>
          </w:p>
        </w:tc>
        <w:tc>
          <w:tcPr>
            <w:tcW w:w="1372"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337.13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66.31</w:t>
            </w: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263.03</w:t>
            </w: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337.13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351.13</w:t>
            </w: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B1F5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351.13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B1F53" w:rsidRDefault="00293EC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351.13</w:t>
            </w:r>
            <w:r>
              <w:rPr>
                <w:rFonts w:ascii="Times New Roman" w:hAnsi="Times New Roman"/>
                <w:color w:val="000000"/>
                <w:sz w:val="20"/>
              </w:rPr>
              <w:t xml:space="preserve"> </w:t>
            </w:r>
          </w:p>
        </w:tc>
      </w:tr>
    </w:tbl>
    <w:p w:rsidR="007B1F53" w:rsidRDefault="007B1F53">
      <w:pPr>
        <w:rPr>
          <w:rFonts w:cs="宋体" w:hint="default"/>
          <w:sz w:val="21"/>
          <w:szCs w:val="21"/>
        </w:rPr>
      </w:pPr>
    </w:p>
    <w:p w:rsidR="007B1F53" w:rsidRDefault="00293ECA">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7B1F5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7B1F53">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sz w:val="20"/>
                <w:szCs w:val="20"/>
              </w:rPr>
            </w:pPr>
            <w:r>
              <w:rPr>
                <w:rFonts w:cs="宋体"/>
                <w:sz w:val="20"/>
                <w:szCs w:val="20"/>
              </w:rPr>
              <w:t>单位：</w:t>
            </w:r>
            <w:r>
              <w:rPr>
                <w:sz w:val="20"/>
              </w:rPr>
              <w:t>垫江县城乡建设档案室</w:t>
            </w:r>
          </w:p>
        </w:tc>
        <w:tc>
          <w:tcPr>
            <w:tcW w:w="46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7B1F53">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其他收入</w:t>
            </w:r>
          </w:p>
        </w:tc>
      </w:tr>
      <w:tr w:rsidR="007B1F53">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337.13</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337.13</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36.48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36.48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2120199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其他城乡社区管理事务支出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249.03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249.03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B1F53" w:rsidRDefault="00293ECA">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7B1F53" w:rsidRDefault="00293ECA">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7B1F5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7B1F53">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7B1F53" w:rsidRDefault="00293ECA">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垫江县城乡建设档案室 </w:t>
            </w:r>
          </w:p>
        </w:tc>
        <w:tc>
          <w:tcPr>
            <w:tcW w:w="57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7B1F53">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对附属单位补助支出</w:t>
            </w:r>
          </w:p>
        </w:tc>
      </w:tr>
      <w:tr w:rsidR="007B1F53">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B1F53" w:rsidRDefault="007B1F5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351.13</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325.14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25.99</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36.48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36.48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263.03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237.03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263.03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237.03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2120199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其他城乡社区管理事务支出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263.03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237.03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B1F53" w:rsidRDefault="00293ECA">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B1F53" w:rsidRDefault="00293ECA">
      <w:pPr>
        <w:rPr>
          <w:rFonts w:cs="宋体" w:hint="default"/>
          <w:sz w:val="21"/>
          <w:szCs w:val="21"/>
        </w:rPr>
      </w:pPr>
      <w:r>
        <w:rPr>
          <w:rFonts w:cs="宋体"/>
          <w:sz w:val="21"/>
          <w:szCs w:val="21"/>
        </w:rPr>
        <w:br w:type="page"/>
      </w:r>
    </w:p>
    <w:p w:rsidR="007B1F53" w:rsidRDefault="007B1F53">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7B1F5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7B1F5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垫江县城乡建设档案室</w:t>
            </w:r>
          </w:p>
        </w:tc>
        <w:tc>
          <w:tcPr>
            <w:tcW w:w="57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7B1F5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7B1F5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7B1F5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337.13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66.31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66.31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263.03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263.03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337.13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200" w:lineRule="exact"/>
              <w:rPr>
                <w:rFonts w:ascii="Times New Roman" w:hAnsi="Times New Roman" w:hint="default"/>
                <w:color w:val="000000"/>
                <w:sz w:val="18"/>
                <w:szCs w:val="18"/>
              </w:rPr>
            </w:pP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200" w:lineRule="exact"/>
              <w:jc w:val="right"/>
              <w:rPr>
                <w:rFonts w:ascii="Times New Roman" w:hAnsi="Times New Roman" w:hint="default"/>
                <w:color w:val="000000"/>
                <w:sz w:val="18"/>
                <w:szCs w:val="18"/>
              </w:rPr>
            </w:pPr>
          </w:p>
        </w:tc>
      </w:tr>
      <w:tr w:rsidR="007B1F5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351.13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7B1F53" w:rsidRDefault="00293ECA">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7B1F5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7B1F5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垫江县城乡建设档案室</w:t>
            </w:r>
          </w:p>
        </w:tc>
        <w:tc>
          <w:tcPr>
            <w:tcW w:w="1076"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7B1F5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本年支出</w:t>
            </w:r>
          </w:p>
        </w:tc>
      </w:tr>
      <w:tr w:rsidR="007B1F53">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项目支出</w:t>
            </w:r>
          </w:p>
        </w:tc>
      </w:tr>
      <w:tr w:rsidR="007B1F5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351.13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325.14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25.99</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66.31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36.48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263.03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237.03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25.99</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263.03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237.03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25.99</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237.03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25.99</w:t>
            </w:r>
            <w:r>
              <w:rPr>
                <w:rFonts w:ascii="Times New Roman" w:hAnsi="Times New Roman"/>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B1F5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B1F53" w:rsidRDefault="00293ECA">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B1F53" w:rsidRDefault="007B1F53" w:rsidP="00431CA2">
      <w:pPr>
        <w:rPr>
          <w:rFonts w:cs="宋体" w:hint="default"/>
          <w:sz w:val="21"/>
          <w:szCs w:val="21"/>
        </w:rPr>
      </w:pP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7B1F5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7B1F5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垫江县城乡建设档案室</w:t>
            </w:r>
          </w:p>
        </w:tc>
        <w:tc>
          <w:tcPr>
            <w:tcW w:w="463"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7B1F5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B1F53" w:rsidRDefault="007B1F5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7B1F53">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7B1F53">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spacing w:line="192" w:lineRule="exact"/>
              <w:jc w:val="center"/>
              <w:rPr>
                <w:rFonts w:cs="宋体" w:hint="default"/>
                <w:b/>
                <w:color w:val="000000"/>
                <w:sz w:val="18"/>
                <w:szCs w:val="18"/>
              </w:rPr>
            </w:pP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284.46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jc w:val="right"/>
              <w:rPr>
                <w:rFonts w:ascii="Times New Roman" w:hAnsi="Times New Roman" w:hint="default"/>
                <w:color w:val="000000"/>
                <w:sz w:val="18"/>
                <w:szCs w:val="18"/>
              </w:rPr>
            </w:pPr>
          </w:p>
        </w:tc>
      </w:tr>
      <w:tr w:rsidR="007B1F5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jc w:val="right"/>
              <w:rPr>
                <w:rFonts w:ascii="Times New Roman" w:hAnsi="Times New Roman" w:hint="default"/>
                <w:color w:val="000000"/>
                <w:sz w:val="18"/>
                <w:szCs w:val="18"/>
              </w:rPr>
            </w:pPr>
          </w:p>
        </w:tc>
      </w:tr>
      <w:tr w:rsidR="007B1F5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7B1F5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spacing w:line="192" w:lineRule="exact"/>
              <w:jc w:val="right"/>
              <w:rPr>
                <w:rFonts w:ascii="Times New Roman" w:hAnsi="Times New Roman" w:hint="default"/>
                <w:color w:val="000000"/>
                <w:sz w:val="18"/>
                <w:szCs w:val="18"/>
              </w:rPr>
            </w:pPr>
          </w:p>
        </w:tc>
      </w:tr>
      <w:tr w:rsidR="007B1F5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293EC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295.66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29.48</w:t>
            </w:r>
            <w:r>
              <w:rPr>
                <w:rFonts w:ascii="Times New Roman" w:hAnsi="Times New Roman"/>
                <w:color w:val="000000"/>
                <w:sz w:val="18"/>
              </w:rPr>
              <w:t xml:space="preserve"> </w:t>
            </w:r>
          </w:p>
        </w:tc>
      </w:tr>
    </w:tbl>
    <w:p w:rsidR="007B1F53" w:rsidRDefault="00293ECA">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7B1F5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7B1F5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垫江县城乡建设档案室</w:t>
            </w:r>
          </w:p>
        </w:tc>
        <w:tc>
          <w:tcPr>
            <w:tcW w:w="55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7B1F5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年末结转和结余</w:t>
            </w:r>
          </w:p>
        </w:tc>
      </w:tr>
      <w:tr w:rsidR="007B1F53">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B1F5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B1F53" w:rsidRDefault="00293ECA">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7B1F53" w:rsidRDefault="00293ECA">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7B1F5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7B1F5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垫江县城乡建设档案室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7B1F5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B1F53" w:rsidRDefault="007B1F5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B1F5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B1F53" w:rsidRDefault="00293ECA">
            <w:pPr>
              <w:jc w:val="center"/>
              <w:textAlignment w:val="bottom"/>
              <w:rPr>
                <w:rFonts w:cs="宋体" w:hint="default"/>
                <w:b/>
                <w:color w:val="000000"/>
                <w:sz w:val="20"/>
                <w:szCs w:val="20"/>
              </w:rPr>
            </w:pPr>
            <w:r>
              <w:rPr>
                <w:rFonts w:cs="宋体"/>
                <w:b/>
                <w:color w:val="000000"/>
                <w:sz w:val="20"/>
                <w:szCs w:val="20"/>
              </w:rPr>
              <w:t>本年支出</w:t>
            </w:r>
          </w:p>
        </w:tc>
      </w:tr>
      <w:tr w:rsidR="007B1F53">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项目支出</w:t>
            </w:r>
          </w:p>
        </w:tc>
      </w:tr>
      <w:tr w:rsidR="007B1F53">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B1F53" w:rsidRDefault="007B1F53">
            <w:pPr>
              <w:jc w:val="center"/>
              <w:rPr>
                <w:rFonts w:cs="宋体" w:hint="default"/>
                <w:b/>
                <w:color w:val="000000"/>
                <w:sz w:val="20"/>
                <w:szCs w:val="20"/>
              </w:rPr>
            </w:pPr>
          </w:p>
        </w:tc>
      </w:tr>
      <w:tr w:rsidR="007B1F5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F53" w:rsidRDefault="00293EC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B1F53">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7B1F5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B1F53" w:rsidRDefault="00293EC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7B1F53" w:rsidRDefault="00293ECA">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7B1F53" w:rsidRDefault="00293ECA">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7B1F53">
        <w:trPr>
          <w:trHeight w:val="343"/>
        </w:trPr>
        <w:tc>
          <w:tcPr>
            <w:tcW w:w="5000" w:type="pct"/>
            <w:gridSpan w:val="5"/>
            <w:shd w:val="clear" w:color="auto" w:fill="auto"/>
            <w:noWrap/>
            <w:tcMar>
              <w:top w:w="15" w:type="dxa"/>
              <w:left w:w="15" w:type="dxa"/>
              <w:right w:w="15" w:type="dxa"/>
            </w:tcMar>
            <w:vAlign w:val="bottom"/>
          </w:tcPr>
          <w:p w:rsidR="007B1F53" w:rsidRDefault="00293EC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7B1F53">
        <w:trPr>
          <w:trHeight w:val="244"/>
        </w:trPr>
        <w:tc>
          <w:tcPr>
            <w:tcW w:w="1124" w:type="pct"/>
            <w:shd w:val="clear" w:color="auto" w:fill="auto"/>
            <w:noWrap/>
            <w:tcMar>
              <w:top w:w="15" w:type="dxa"/>
              <w:left w:w="15" w:type="dxa"/>
              <w:right w:w="15" w:type="dxa"/>
            </w:tcMar>
            <w:vAlign w:val="bottom"/>
          </w:tcPr>
          <w:p w:rsidR="007B1F53" w:rsidRDefault="007B1F5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7B1F53" w:rsidRDefault="007B1F5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7B1F53" w:rsidRDefault="007B1F5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7B1F53" w:rsidRDefault="007B1F5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7B1F5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B1F53" w:rsidRDefault="00293ECA">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垫江县城乡建设档案室</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B1F53" w:rsidRDefault="007B1F5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B1F53" w:rsidRDefault="007B1F5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B1F53" w:rsidRDefault="00293EC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7B1F5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7B1F5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B1F5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7B1F5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7B1F53">
            <w:pPr>
              <w:spacing w:line="280" w:lineRule="exact"/>
              <w:jc w:val="right"/>
              <w:rPr>
                <w:rFonts w:cs="宋体" w:hint="default"/>
                <w:color w:val="000000"/>
                <w:kern w:val="2"/>
                <w:sz w:val="16"/>
                <w:szCs w:val="16"/>
              </w:rPr>
            </w:pPr>
          </w:p>
        </w:tc>
      </w:tr>
      <w:tr w:rsidR="007B1F5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0.75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7B1F5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7B1F53">
            <w:pPr>
              <w:spacing w:line="280" w:lineRule="exact"/>
              <w:jc w:val="right"/>
              <w:rPr>
                <w:rFonts w:cs="宋体" w:hint="default"/>
                <w:color w:val="000000"/>
                <w:kern w:val="2"/>
                <w:sz w:val="16"/>
                <w:szCs w:val="16"/>
              </w:rPr>
            </w:pPr>
          </w:p>
        </w:tc>
      </w:tr>
      <w:tr w:rsidR="007B1F5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293EC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293EC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B1F53" w:rsidRDefault="007B1F5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B1F53" w:rsidRDefault="007B1F53">
            <w:pPr>
              <w:spacing w:line="280" w:lineRule="exact"/>
              <w:jc w:val="right"/>
              <w:rPr>
                <w:rFonts w:cs="宋体" w:hint="default"/>
                <w:color w:val="000000"/>
                <w:sz w:val="16"/>
                <w:szCs w:val="16"/>
              </w:rPr>
            </w:pPr>
          </w:p>
        </w:tc>
      </w:tr>
    </w:tbl>
    <w:p w:rsidR="007B1F53" w:rsidRDefault="00293EC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7B1F53">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D1" w:rsidRDefault="00B90DD1">
      <w:pPr>
        <w:rPr>
          <w:rFonts w:hint="default"/>
        </w:rPr>
      </w:pPr>
      <w:r>
        <w:separator/>
      </w:r>
    </w:p>
  </w:endnote>
  <w:endnote w:type="continuationSeparator" w:id="0">
    <w:p w:rsidR="00B90DD1" w:rsidRDefault="00B90DD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ECA" w:rsidRDefault="00293ECA">
    <w:pPr>
      <w:pStyle w:val="a6"/>
      <w:rPr>
        <w:rFonts w:hint="default"/>
      </w:rPr>
    </w:pPr>
    <w:r>
      <w:rPr>
        <w:rFonts w:hint="default"/>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93ECA" w:rsidRDefault="00293ECA">
                          <w:pPr>
                            <w:pStyle w:val="a6"/>
                            <w:rPr>
                              <w:rFonts w:hint="default"/>
                            </w:rPr>
                          </w:pPr>
                          <w:r>
                            <w:fldChar w:fldCharType="begin"/>
                          </w:r>
                          <w:r>
                            <w:instrText xml:space="preserve"> PAGE  \* MERGEFORMAT </w:instrText>
                          </w:r>
                          <w:r>
                            <w:fldChar w:fldCharType="separate"/>
                          </w:r>
                          <w:r w:rsidR="00431CA2">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293ECA" w:rsidRDefault="00293ECA">
                    <w:pPr>
                      <w:pStyle w:val="a6"/>
                      <w:rPr>
                        <w:rFonts w:hint="default"/>
                      </w:rPr>
                    </w:pPr>
                    <w:r>
                      <w:fldChar w:fldCharType="begin"/>
                    </w:r>
                    <w:r>
                      <w:instrText xml:space="preserve"> PAGE  \* MERGEFORMAT </w:instrText>
                    </w:r>
                    <w:r>
                      <w:fldChar w:fldCharType="separate"/>
                    </w:r>
                    <w:r w:rsidR="00431CA2">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ECA" w:rsidRDefault="00293ECA">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93ECA" w:rsidRDefault="00293ECA">
                          <w:pPr>
                            <w:pStyle w:val="a6"/>
                            <w:rPr>
                              <w:rFonts w:hint="default"/>
                            </w:rPr>
                          </w:pPr>
                          <w:r>
                            <w:t xml:space="preserve"> </w:t>
                          </w:r>
                          <w:r>
                            <w:fldChar w:fldCharType="begin"/>
                          </w:r>
                          <w:r>
                            <w:instrText>PAGE   \* MERGEFORMAT</w:instrText>
                          </w:r>
                          <w:r>
                            <w:fldChar w:fldCharType="separate"/>
                          </w:r>
                          <w:r w:rsidR="00431CA2" w:rsidRPr="00431CA2">
                            <w:rPr>
                              <w:rFonts w:hint="default"/>
                              <w:noProof/>
                              <w:lang w:val="zh-CN"/>
                            </w:rPr>
                            <w:t>-</w:t>
                          </w:r>
                          <w:r w:rsidR="00431CA2">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293ECA" w:rsidRDefault="00293ECA">
                    <w:pPr>
                      <w:pStyle w:val="a6"/>
                      <w:rPr>
                        <w:rFonts w:hint="default"/>
                      </w:rPr>
                    </w:pPr>
                    <w:r>
                      <w:t xml:space="preserve"> </w:t>
                    </w:r>
                    <w:r>
                      <w:fldChar w:fldCharType="begin"/>
                    </w:r>
                    <w:r>
                      <w:instrText>PAGE   \* MERGEFORMAT</w:instrText>
                    </w:r>
                    <w:r>
                      <w:fldChar w:fldCharType="separate"/>
                    </w:r>
                    <w:r w:rsidR="00431CA2" w:rsidRPr="00431CA2">
                      <w:rPr>
                        <w:rFonts w:hint="default"/>
                        <w:noProof/>
                        <w:lang w:val="zh-CN"/>
                      </w:rPr>
                      <w:t>-</w:t>
                    </w:r>
                    <w:r w:rsidR="00431CA2">
                      <w:rPr>
                        <w:rFonts w:hint="default"/>
                        <w:noProof/>
                      </w:rPr>
                      <w:t xml:space="preserve"> 12 -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93ECA" w:rsidRDefault="00293ECA">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293ECA" w:rsidRDefault="00293ECA">
                    <w:pPr>
                      <w:pStyle w:val="a6"/>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D1" w:rsidRDefault="00B90DD1">
      <w:pPr>
        <w:rPr>
          <w:rFonts w:hint="default"/>
        </w:rPr>
      </w:pPr>
      <w:r>
        <w:separator/>
      </w:r>
    </w:p>
  </w:footnote>
  <w:footnote w:type="continuationSeparator" w:id="0">
    <w:p w:rsidR="00B90DD1" w:rsidRDefault="00B90DD1">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ECA" w:rsidRDefault="00293ECA">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93ECA"/>
    <w:rsid w:val="002B254B"/>
    <w:rsid w:val="0034050A"/>
    <w:rsid w:val="00431CA2"/>
    <w:rsid w:val="0044504F"/>
    <w:rsid w:val="00466C9B"/>
    <w:rsid w:val="00486CFC"/>
    <w:rsid w:val="00491DDD"/>
    <w:rsid w:val="00550ABE"/>
    <w:rsid w:val="00623A85"/>
    <w:rsid w:val="00770383"/>
    <w:rsid w:val="007819D4"/>
    <w:rsid w:val="007B1F53"/>
    <w:rsid w:val="007B419D"/>
    <w:rsid w:val="007B7C4B"/>
    <w:rsid w:val="007D3D39"/>
    <w:rsid w:val="00984C6A"/>
    <w:rsid w:val="00994AF7"/>
    <w:rsid w:val="009B67B8"/>
    <w:rsid w:val="009C14C9"/>
    <w:rsid w:val="009D2B67"/>
    <w:rsid w:val="009E1452"/>
    <w:rsid w:val="00A566F9"/>
    <w:rsid w:val="00AF2751"/>
    <w:rsid w:val="00B03CCD"/>
    <w:rsid w:val="00B90DD1"/>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136F64"/>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B8509F"/>
    <w:rsid w:val="0B8F179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470BFC"/>
    <w:rsid w:val="1B026CF1"/>
    <w:rsid w:val="1B6F15B6"/>
    <w:rsid w:val="1BAA2EDC"/>
    <w:rsid w:val="1BD716A1"/>
    <w:rsid w:val="1CA55E64"/>
    <w:rsid w:val="1D014A01"/>
    <w:rsid w:val="1D022362"/>
    <w:rsid w:val="1D1B04B0"/>
    <w:rsid w:val="1DA52501"/>
    <w:rsid w:val="1DAA02F6"/>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477BB6"/>
    <w:rsid w:val="29310A5F"/>
    <w:rsid w:val="29C37A35"/>
    <w:rsid w:val="2A057997"/>
    <w:rsid w:val="2A076083"/>
    <w:rsid w:val="2A73162E"/>
    <w:rsid w:val="2B167953"/>
    <w:rsid w:val="2B200583"/>
    <w:rsid w:val="2B246621"/>
    <w:rsid w:val="2B2729C0"/>
    <w:rsid w:val="2B8209DE"/>
    <w:rsid w:val="2B821C91"/>
    <w:rsid w:val="2BF81A22"/>
    <w:rsid w:val="2C636760"/>
    <w:rsid w:val="2C6762A3"/>
    <w:rsid w:val="2D307415"/>
    <w:rsid w:val="2FCA4B37"/>
    <w:rsid w:val="2FE029D7"/>
    <w:rsid w:val="2FF06E00"/>
    <w:rsid w:val="30586FEC"/>
    <w:rsid w:val="30BE67FD"/>
    <w:rsid w:val="315F0B22"/>
    <w:rsid w:val="31A15828"/>
    <w:rsid w:val="31AA0140"/>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F0E5B"/>
    <w:rsid w:val="383C3F15"/>
    <w:rsid w:val="38BE4696"/>
    <w:rsid w:val="3939115E"/>
    <w:rsid w:val="39B82A39"/>
    <w:rsid w:val="39C42CA8"/>
    <w:rsid w:val="39DC4FD6"/>
    <w:rsid w:val="39F03D7A"/>
    <w:rsid w:val="39F33306"/>
    <w:rsid w:val="3A2C1C67"/>
    <w:rsid w:val="3A6A77C9"/>
    <w:rsid w:val="3ADD7F09"/>
    <w:rsid w:val="3B035F20"/>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78449F"/>
    <w:rsid w:val="488F422B"/>
    <w:rsid w:val="48E36915"/>
    <w:rsid w:val="48EB6572"/>
    <w:rsid w:val="495C4A24"/>
    <w:rsid w:val="497135DF"/>
    <w:rsid w:val="4A263DF2"/>
    <w:rsid w:val="4A2F278B"/>
    <w:rsid w:val="4A6F6675"/>
    <w:rsid w:val="4B135857"/>
    <w:rsid w:val="4B7951CB"/>
    <w:rsid w:val="4B7C315C"/>
    <w:rsid w:val="4C2469BA"/>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7C2573"/>
    <w:rsid w:val="578867FC"/>
    <w:rsid w:val="5842572D"/>
    <w:rsid w:val="597A1AD7"/>
    <w:rsid w:val="5A3B59D6"/>
    <w:rsid w:val="5AD134D8"/>
    <w:rsid w:val="5BF41F67"/>
    <w:rsid w:val="5C263CE4"/>
    <w:rsid w:val="5C5D2777"/>
    <w:rsid w:val="5CF66BF3"/>
    <w:rsid w:val="5D290C69"/>
    <w:rsid w:val="5DA80C2C"/>
    <w:rsid w:val="5F2D4A41"/>
    <w:rsid w:val="60C74F6C"/>
    <w:rsid w:val="61015958"/>
    <w:rsid w:val="61025A59"/>
    <w:rsid w:val="613D5BBC"/>
    <w:rsid w:val="61536C39"/>
    <w:rsid w:val="627F5900"/>
    <w:rsid w:val="62944DD7"/>
    <w:rsid w:val="6319381F"/>
    <w:rsid w:val="63C25DC5"/>
    <w:rsid w:val="63C62057"/>
    <w:rsid w:val="63EA5384"/>
    <w:rsid w:val="64571EF5"/>
    <w:rsid w:val="64FB113D"/>
    <w:rsid w:val="656152C6"/>
    <w:rsid w:val="6587477F"/>
    <w:rsid w:val="658C3A08"/>
    <w:rsid w:val="65C031CA"/>
    <w:rsid w:val="65C946F1"/>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847A0"/>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17118"/>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2948D"/>
  <w15:docId w15:val="{3C71FB5A-5642-46D1-9658-4DCFB956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ind w:firstLine="567"/>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2088</Words>
  <Characters>11908</Characters>
  <Application>Microsoft Office Word</Application>
  <DocSecurity>0</DocSecurity>
  <Lines>99</Lines>
  <Paragraphs>27</Paragraphs>
  <ScaleCrop>false</ScaleCrop>
  <Company>微软中国</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21</cp:revision>
  <dcterms:created xsi:type="dcterms:W3CDTF">2024-07-11T02:00:00Z</dcterms:created>
  <dcterms:modified xsi:type="dcterms:W3CDTF">2025-09-12T07:22:00Z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