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2D" w:rsidRDefault="00F5422D" w:rsidP="00F5422D">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垫江县建设工程施工安全管理站</w:t>
      </w:r>
    </w:p>
    <w:p w:rsidR="00AD6604" w:rsidRDefault="00F5422D" w:rsidP="00F5422D">
      <w:pPr>
        <w:pStyle w:val="a9"/>
        <w:spacing w:before="0" w:beforeAutospacing="0"/>
        <w:jc w:val="center"/>
        <w:rPr>
          <w:rFonts w:hint="default"/>
          <w:sz w:val="27"/>
          <w:szCs w:val="27"/>
          <w:shd w:val="clear" w:color="auto" w:fill="FFFF00"/>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AD6604" w:rsidRDefault="00F5422D">
      <w:pPr>
        <w:pStyle w:val="a9"/>
        <w:shd w:val="clear" w:color="auto" w:fill="FFFFFF"/>
        <w:ind w:firstLineChars="200" w:firstLine="643"/>
        <w:rPr>
          <w:rFonts w:ascii="黑体" w:eastAsia="黑体" w:hAnsi="黑体" w:cs="黑体" w:hint="default"/>
          <w:sz w:val="32"/>
          <w:szCs w:val="32"/>
        </w:rPr>
      </w:pPr>
      <w:r>
        <w:rPr>
          <w:rStyle w:val="aa"/>
          <w:rFonts w:ascii="黑体" w:eastAsia="黑体" w:hAnsi="黑体" w:cs="黑体"/>
          <w:sz w:val="32"/>
          <w:szCs w:val="32"/>
          <w:shd w:val="clear" w:color="auto" w:fill="FFFFFF"/>
        </w:rPr>
        <w:t>一、单位基本情况</w:t>
      </w:r>
    </w:p>
    <w:p w:rsidR="00AD6604" w:rsidRDefault="00F5422D">
      <w:pPr>
        <w:pStyle w:val="a9"/>
        <w:shd w:val="clear" w:color="auto" w:fill="FFFFFF"/>
        <w:ind w:firstLine="420"/>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（一）职能职责</w:t>
      </w:r>
    </w:p>
    <w:p w:rsidR="00AD6604" w:rsidRDefault="00F5422D">
      <w:pPr>
        <w:spacing w:line="600" w:lineRule="exact"/>
        <w:ind w:firstLine="630"/>
        <w:rPr>
          <w:rFonts w:ascii="方正仿宋_GBK" w:eastAsia="方正仿宋_GBK" w:hAnsi="仿宋_GB2312" w:cs="仿宋_GB2312" w:hint="default"/>
          <w:sz w:val="32"/>
        </w:rPr>
      </w:pPr>
      <w:r>
        <w:rPr>
          <w:rFonts w:ascii="方正仿宋_GBK" w:eastAsia="方正仿宋_GBK" w:hAnsi="仿宋_GB2312" w:cs="仿宋_GB2312"/>
          <w:sz w:val="32"/>
        </w:rPr>
        <w:t>1.负责对全县建筑安全生产形势进行分析，总结制定相应的管理办法。</w:t>
      </w:r>
    </w:p>
    <w:p w:rsidR="00AD6604" w:rsidRDefault="00F5422D">
      <w:pPr>
        <w:spacing w:line="600" w:lineRule="exact"/>
        <w:ind w:firstLine="630"/>
        <w:rPr>
          <w:rFonts w:ascii="方正仿宋_GBK" w:eastAsia="方正仿宋_GBK" w:hAnsi="仿宋_GB2312" w:cs="仿宋_GB2312" w:hint="default"/>
          <w:sz w:val="32"/>
        </w:rPr>
      </w:pPr>
      <w:r>
        <w:rPr>
          <w:rFonts w:ascii="方正仿宋_GBK" w:eastAsia="方正仿宋_GBK" w:hAnsi="仿宋_GB2312" w:cs="仿宋_GB2312"/>
          <w:sz w:val="32"/>
        </w:rPr>
        <w:t>2.负责全县已办理施工许可证的建筑工程项目实施施工安全监督管理。</w:t>
      </w:r>
    </w:p>
    <w:p w:rsidR="00AD6604" w:rsidRDefault="00F5422D">
      <w:pPr>
        <w:spacing w:line="600" w:lineRule="exact"/>
        <w:ind w:firstLine="630"/>
        <w:rPr>
          <w:rFonts w:ascii="方正仿宋_GBK" w:eastAsia="方正仿宋_GBK" w:hAnsi="仿宋_GB2312" w:cs="仿宋_GB2312" w:hint="default"/>
          <w:sz w:val="32"/>
        </w:rPr>
      </w:pPr>
      <w:r>
        <w:rPr>
          <w:rFonts w:ascii="方正仿宋_GBK" w:eastAsia="方正仿宋_GBK" w:hAnsi="仿宋_GB2312" w:cs="仿宋_GB2312"/>
          <w:sz w:val="32"/>
        </w:rPr>
        <w:t>3.负责全县建筑施工企业的安全管理和执法工作以及对全县建筑企业安全生产许可证的初审和动态管理。</w:t>
      </w:r>
    </w:p>
    <w:p w:rsidR="00AD6604" w:rsidRDefault="00F5422D">
      <w:pPr>
        <w:spacing w:line="600" w:lineRule="exact"/>
        <w:ind w:firstLine="630"/>
        <w:rPr>
          <w:rFonts w:ascii="方正仿宋_GBK" w:eastAsia="方正仿宋_GBK" w:hAnsi="仿宋_GB2312" w:cs="仿宋_GB2312" w:hint="default"/>
          <w:sz w:val="32"/>
        </w:rPr>
      </w:pPr>
      <w:r>
        <w:rPr>
          <w:rFonts w:ascii="方正仿宋_GBK" w:eastAsia="方正仿宋_GBK" w:hAnsi="仿宋_GB2312" w:cs="仿宋_GB2312"/>
          <w:sz w:val="32"/>
        </w:rPr>
        <w:t>4.负责建设工程安全阶段性评价和竣工验收工作及全县安全文明示范工地、先进集体、先进个人的评选工作。</w:t>
      </w:r>
    </w:p>
    <w:p w:rsidR="00AD6604" w:rsidRDefault="00F5422D">
      <w:pPr>
        <w:spacing w:line="600" w:lineRule="exact"/>
        <w:ind w:firstLine="630"/>
        <w:rPr>
          <w:rFonts w:ascii="方正仿宋_GBK" w:eastAsia="方正仿宋_GBK" w:hAnsi="仿宋_GB2312" w:cs="仿宋_GB2312" w:hint="default"/>
          <w:sz w:val="32"/>
        </w:rPr>
      </w:pPr>
      <w:r>
        <w:rPr>
          <w:rFonts w:ascii="方正仿宋_GBK" w:eastAsia="方正仿宋_GBK" w:hAnsi="仿宋_GB2312" w:cs="仿宋_GB2312"/>
          <w:sz w:val="32"/>
        </w:rPr>
        <w:t>5.负责对全县建筑安全生产事故及人员伤亡情况的统计、上报及调查处理，依法查处建设工程施工安全生产违法、违规行为。</w:t>
      </w:r>
    </w:p>
    <w:p w:rsidR="00AD6604" w:rsidRDefault="00F5422D">
      <w:pPr>
        <w:spacing w:line="600" w:lineRule="exact"/>
        <w:ind w:firstLine="630"/>
        <w:rPr>
          <w:rFonts w:ascii="方正仿宋_GBK" w:eastAsia="方正仿宋_GBK" w:hAnsi="仿宋_GB2312" w:cs="仿宋_GB2312" w:hint="default"/>
          <w:sz w:val="32"/>
        </w:rPr>
      </w:pPr>
      <w:r>
        <w:rPr>
          <w:rFonts w:ascii="方正仿宋_GBK" w:eastAsia="方正仿宋_GBK" w:hAnsi="仿宋_GB2312" w:cs="仿宋_GB2312"/>
          <w:sz w:val="32"/>
        </w:rPr>
        <w:t>6.负责对全县建筑工地安全文明施工标准化评价、施工扬尘治理及投诉处理工作。</w:t>
      </w:r>
    </w:p>
    <w:p w:rsidR="00AD6604" w:rsidRDefault="00F5422D">
      <w:pPr>
        <w:spacing w:line="600" w:lineRule="exact"/>
        <w:ind w:firstLine="630"/>
        <w:rPr>
          <w:rFonts w:ascii="方正仿宋_GBK" w:eastAsia="方正仿宋_GBK" w:hAnsi="仿宋_GB2312" w:cs="仿宋_GB2312" w:hint="default"/>
          <w:sz w:val="32"/>
        </w:rPr>
      </w:pPr>
      <w:r>
        <w:rPr>
          <w:rFonts w:ascii="方正仿宋_GBK" w:eastAsia="方正仿宋_GBK" w:hAnsi="仿宋_GB2312" w:cs="仿宋_GB2312"/>
          <w:sz w:val="32"/>
        </w:rPr>
        <w:t>7.负责对安全防护用品及起重机械设备备案及技术咨询工作。</w:t>
      </w:r>
    </w:p>
    <w:p w:rsidR="00AD6604" w:rsidRDefault="00F5422D">
      <w:pPr>
        <w:spacing w:line="600" w:lineRule="exact"/>
        <w:ind w:firstLine="630"/>
        <w:rPr>
          <w:rFonts w:ascii="方正仿宋_GBK" w:eastAsia="方正仿宋_GBK" w:hAnsi="仿宋_GB2312" w:cs="仿宋_GB2312" w:hint="default"/>
          <w:sz w:val="32"/>
        </w:rPr>
      </w:pPr>
      <w:r>
        <w:rPr>
          <w:rFonts w:ascii="方正仿宋_GBK" w:eastAsia="方正仿宋_GBK" w:hAnsi="仿宋_GB2312" w:cs="仿宋_GB2312"/>
          <w:sz w:val="32"/>
        </w:rPr>
        <w:t>8.负责制定建筑安全生产教育培训制度，对全县安全监督员再教育培训工作，开展全行业“三类”人员教育培训工</w:t>
      </w:r>
      <w:r>
        <w:rPr>
          <w:rFonts w:ascii="方正仿宋_GBK" w:eastAsia="方正仿宋_GBK" w:hAnsi="仿宋_GB2312" w:cs="仿宋_GB2312"/>
          <w:sz w:val="32"/>
        </w:rPr>
        <w:lastRenderedPageBreak/>
        <w:t>作，对建筑从业人员是否持证上岗进行检查，对未持证上岗人员进行查处。</w:t>
      </w:r>
    </w:p>
    <w:p w:rsidR="00AD6604" w:rsidRDefault="00F5422D">
      <w:pPr>
        <w:spacing w:line="600" w:lineRule="exact"/>
        <w:ind w:firstLine="630"/>
        <w:rPr>
          <w:rFonts w:ascii="方正仿宋_GBK" w:eastAsia="方正仿宋_GBK" w:hAnsi="仿宋_GB2312" w:cs="仿宋_GB2312" w:hint="default"/>
          <w:sz w:val="32"/>
        </w:rPr>
      </w:pPr>
      <w:r>
        <w:rPr>
          <w:rFonts w:ascii="方正仿宋_GBK" w:eastAsia="方正仿宋_GBK" w:hAnsi="仿宋_GB2312" w:cs="仿宋_GB2312"/>
          <w:sz w:val="32"/>
        </w:rPr>
        <w:t>9.负责指导全县建筑职工人身意外伤害保险工作。</w:t>
      </w:r>
    </w:p>
    <w:p w:rsidR="00AD6604" w:rsidRDefault="00F5422D">
      <w:pPr>
        <w:spacing w:line="600" w:lineRule="exact"/>
        <w:ind w:firstLine="630"/>
        <w:rPr>
          <w:rFonts w:ascii="方正仿宋_GBK" w:eastAsia="方正仿宋_GBK" w:hAnsi="仿宋_GB2312" w:cs="仿宋_GB2312" w:hint="default"/>
          <w:sz w:val="32"/>
        </w:rPr>
      </w:pPr>
      <w:r>
        <w:rPr>
          <w:rFonts w:ascii="方正仿宋_GBK" w:eastAsia="方正仿宋_GBK" w:hAnsi="仿宋_GB2312" w:cs="仿宋_GB2312"/>
          <w:sz w:val="32"/>
        </w:rPr>
        <w:t>10.指导乡镇建设工程施工安全监督管理工作。</w:t>
      </w:r>
    </w:p>
    <w:p w:rsidR="00AD6604" w:rsidRDefault="00F5422D">
      <w:pPr>
        <w:pStyle w:val="a9"/>
        <w:shd w:val="clear" w:color="auto" w:fill="FFFFFF"/>
        <w:ind w:firstLine="420"/>
        <w:rPr>
          <w:rFonts w:ascii="楷体" w:eastAsia="楷体" w:hAnsi="楷体" w:cs="楷体" w:hint="default"/>
          <w:sz w:val="32"/>
          <w:szCs w:val="32"/>
        </w:rPr>
      </w:pPr>
      <w:r>
        <w:rPr>
          <w:rStyle w:val="aa"/>
          <w:rFonts w:ascii="楷体" w:eastAsia="楷体" w:hAnsi="楷体" w:cs="楷体"/>
          <w:sz w:val="32"/>
          <w:szCs w:val="32"/>
          <w:shd w:val="clear" w:color="auto" w:fill="FFFFFF"/>
        </w:rPr>
        <w:t>（二）机构设置</w:t>
      </w:r>
    </w:p>
    <w:p w:rsidR="00AD6604" w:rsidRDefault="00F5422D">
      <w:pPr>
        <w:pStyle w:val="a9"/>
        <w:shd w:val="clear" w:color="auto" w:fill="FFFFFF"/>
        <w:rPr>
          <w:rFonts w:ascii="方正仿宋_GBK" w:eastAsia="方正仿宋_GBK" w:hAnsi="方正仿宋_GBK" w:cs="方正仿宋_GBK" w:hint="default"/>
          <w:sz w:val="32"/>
          <w:szCs w:val="32"/>
        </w:rPr>
      </w:pPr>
      <w:r>
        <w:rPr>
          <w:rFonts w:ascii="方正仿宋_GBK" w:eastAsia="方正仿宋_GBK" w:hAnsi="仿宋_GB2312" w:cs="仿宋_GB2312"/>
          <w:sz w:val="32"/>
        </w:rPr>
        <w:t xml:space="preserve">      垫江县建设工程施工安全管理站内设机构为3个：办公室、监督科、企业管理科。</w:t>
      </w:r>
    </w:p>
    <w:p w:rsidR="00AD6604" w:rsidRDefault="00F5422D">
      <w:pPr>
        <w:pStyle w:val="a9"/>
        <w:shd w:val="clear" w:color="auto" w:fill="FFFFFF"/>
        <w:ind w:firstLineChars="200" w:firstLine="643"/>
        <w:rPr>
          <w:rFonts w:ascii="方正仿宋_GBK" w:eastAsia="方正仿宋_GBK" w:hAnsi="方正仿宋_GBK" w:cs="方正仿宋_GBK" w:hint="default"/>
          <w:sz w:val="32"/>
          <w:szCs w:val="32"/>
        </w:rPr>
      </w:pPr>
      <w:r>
        <w:rPr>
          <w:rStyle w:val="aa"/>
          <w:rFonts w:ascii="黑体" w:eastAsia="黑体" w:hAnsi="黑体" w:cs="黑体"/>
          <w:sz w:val="32"/>
          <w:szCs w:val="32"/>
          <w:shd w:val="clear" w:color="auto" w:fill="FFFFFF"/>
        </w:rPr>
        <w:t>二、单位决算收支情况说明</w:t>
      </w:r>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a"/>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2024年度收入总计330.92万元，支出总计</w:t>
      </w:r>
      <w:r>
        <w:rPr>
          <w:rFonts w:ascii="方正仿宋_GBK" w:eastAsia="方正仿宋_GBK" w:hAnsi="方正仿宋_GBK" w:cs="方正仿宋_GBK"/>
          <w:sz w:val="32"/>
          <w:szCs w:val="32"/>
        </w:rPr>
        <w:t>330.92</w:t>
      </w:r>
      <w:r>
        <w:rPr>
          <w:rFonts w:ascii="方正仿宋_GBK" w:eastAsia="方正仿宋_GBK" w:hAnsi="方正仿宋_GBK" w:cs="方正仿宋_GBK"/>
          <w:sz w:val="32"/>
          <w:szCs w:val="32"/>
          <w:shd w:val="clear" w:color="auto" w:fill="FFFFFF"/>
        </w:rPr>
        <w:t>万元。收、支与2023年度相比，减少53.15万元，下降13.84%，主要原因是</w:t>
      </w:r>
      <w:r>
        <w:rPr>
          <w:rFonts w:ascii="方正仿宋_GBK" w:eastAsia="方正仿宋_GBK" w:hAnsi="方正仿宋_GBK" w:cs="方正仿宋_GBK"/>
          <w:color w:val="000000" w:themeColor="text1"/>
          <w:sz w:val="32"/>
          <w:szCs w:val="32"/>
          <w:shd w:val="clear" w:color="auto" w:fill="FFFFFF"/>
        </w:rPr>
        <w:t>工作人员减少，导致人员经费减少30.02万元，日常公用经费减少13.13万元，购买建设工程安全技术服务项目经费减少10万元。</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2024年度收入合计330.92万元，与2023年度相比，减少53.15万元，下降13.84%，主要原因是</w:t>
      </w:r>
      <w:r>
        <w:rPr>
          <w:rFonts w:ascii="方正仿宋_GBK" w:eastAsia="方正仿宋_GBK" w:hAnsi="方正仿宋_GBK" w:cs="方正仿宋_GBK"/>
          <w:color w:val="000000" w:themeColor="text1"/>
          <w:sz w:val="32"/>
          <w:szCs w:val="32"/>
          <w:shd w:val="clear" w:color="auto" w:fill="FFFFFF"/>
        </w:rPr>
        <w:t>工作人员减少，导致人员经费减少30.02万元，日常公用经费减少13.13万元，购买建设工程安全技术服务项目经费减少10万元。</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330.92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w:t>
      </w:r>
      <w:r>
        <w:rPr>
          <w:rFonts w:ascii="方正仿宋_GBK" w:eastAsia="方正仿宋_GBK" w:hAnsi="方正仿宋_GBK" w:cs="方正仿宋_GBK"/>
          <w:sz w:val="32"/>
          <w:szCs w:val="32"/>
          <w:shd w:val="clear" w:color="auto" w:fill="FFFFFF"/>
        </w:rPr>
        <w:lastRenderedPageBreak/>
        <w:t>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330.92</w:t>
      </w:r>
      <w:r>
        <w:rPr>
          <w:rFonts w:ascii="方正仿宋_GBK" w:eastAsia="方正仿宋_GBK" w:hAnsi="方正仿宋_GBK" w:cs="方正仿宋_GBK"/>
          <w:sz w:val="32"/>
          <w:szCs w:val="32"/>
          <w:shd w:val="clear" w:color="auto" w:fill="FFFFFF"/>
        </w:rPr>
        <w:t>万元，与2023年度相比，减少53.15万元，下降13.84%，主要原因是</w:t>
      </w:r>
      <w:r>
        <w:rPr>
          <w:rFonts w:ascii="方正仿宋_GBK" w:eastAsia="方正仿宋_GBK" w:hAnsi="方正仿宋_GBK" w:cs="方正仿宋_GBK"/>
          <w:color w:val="000000" w:themeColor="text1"/>
          <w:sz w:val="32"/>
          <w:szCs w:val="32"/>
          <w:shd w:val="clear" w:color="auto" w:fill="FFFFFF"/>
        </w:rPr>
        <w:t>工作人员减少，导致人员经费减少30.02万元，日常公用经费减少13.13万元，购买建设工程安全技术服务项目经费减少10万元。</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310.92</w:t>
      </w:r>
      <w:r>
        <w:rPr>
          <w:rFonts w:ascii="方正仿宋_GBK" w:eastAsia="方正仿宋_GBK" w:hAnsi="方正仿宋_GBK" w:cs="方正仿宋_GBK"/>
          <w:sz w:val="32"/>
          <w:szCs w:val="32"/>
          <w:shd w:val="clear" w:color="auto" w:fill="FFFFFF"/>
        </w:rPr>
        <w:t>万元，占93.96%；项目支出</w:t>
      </w:r>
      <w:r>
        <w:rPr>
          <w:rFonts w:ascii="方正仿宋_GBK" w:eastAsia="方正仿宋_GBK" w:hAnsi="方正仿宋_GBK" w:cs="方正仿宋_GBK"/>
          <w:sz w:val="32"/>
          <w:szCs w:val="32"/>
        </w:rPr>
        <w:t>20.00</w:t>
      </w:r>
      <w:r>
        <w:rPr>
          <w:rFonts w:ascii="方正仿宋_GBK" w:eastAsia="方正仿宋_GBK" w:hAnsi="方正仿宋_GBK" w:cs="方正仿宋_GBK"/>
          <w:sz w:val="32"/>
          <w:szCs w:val="32"/>
          <w:shd w:val="clear" w:color="auto" w:fill="FFFFFF"/>
        </w:rPr>
        <w:t>万元，占6.04%；经营支出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a"/>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方正仿宋_GBK" w:eastAsia="方正仿宋_GBK" w:hAnsi="方正仿宋_GBK" w:cs="方正仿宋_GBK"/>
          <w:color w:val="000000" w:themeColor="text1"/>
          <w:sz w:val="32"/>
          <w:szCs w:val="32"/>
          <w:shd w:val="clear" w:color="auto" w:fill="FFFFFF"/>
        </w:rPr>
        <w:t>本年度与上年度均无结转结余。</w:t>
      </w:r>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AD6604" w:rsidRDefault="00F5422D">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sz w:val="32"/>
          <w:szCs w:val="32"/>
          <w:shd w:val="clear" w:color="auto" w:fill="FFFFFF"/>
        </w:rPr>
        <w:t>2024年度财政拨款收、支总计330.92万元。与2022年相比，财政拨款收、支总计各减少53.15万元，下降13.84%。主要原因是</w:t>
      </w:r>
      <w:r>
        <w:rPr>
          <w:rFonts w:ascii="方正仿宋_GBK" w:eastAsia="方正仿宋_GBK" w:hAnsi="方正仿宋_GBK" w:cs="方正仿宋_GBK"/>
          <w:color w:val="000000" w:themeColor="text1"/>
          <w:sz w:val="32"/>
          <w:szCs w:val="32"/>
          <w:shd w:val="clear" w:color="auto" w:fill="FFFFFF"/>
        </w:rPr>
        <w:t>工作人员减少，导致人员经费减少30.02万元，日常公用经费减少13.13万元，购买建设工程安全技术服务项目经费减少10万元。</w:t>
      </w:r>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330.92</w:t>
      </w:r>
      <w:r>
        <w:rPr>
          <w:rFonts w:ascii="方正仿宋_GBK" w:eastAsia="方正仿宋_GBK" w:hAnsi="方正仿宋_GBK" w:cs="方正仿宋_GBK"/>
          <w:sz w:val="32"/>
          <w:szCs w:val="32"/>
          <w:shd w:val="clear" w:color="auto" w:fill="FFFFFF"/>
        </w:rPr>
        <w:t>万元，与2023年度相比，减少53.15万元，下降13.84%。主要原因是</w:t>
      </w:r>
      <w:r>
        <w:rPr>
          <w:rFonts w:ascii="方正仿宋_GBK" w:eastAsia="方正仿宋_GBK" w:hAnsi="方正仿宋_GBK" w:cs="方正仿宋_GBK"/>
          <w:color w:val="000000" w:themeColor="text1"/>
          <w:sz w:val="32"/>
          <w:szCs w:val="32"/>
          <w:shd w:val="clear" w:color="auto" w:fill="FFFFFF"/>
        </w:rPr>
        <w:t>工作人员减少，导致人员经费减少30.02万元，日常公用经费减少13.13万元，购买建设工程安全技术服务</w:t>
      </w:r>
      <w:r>
        <w:rPr>
          <w:rFonts w:ascii="方正仿宋_GBK" w:eastAsia="方正仿宋_GBK" w:hAnsi="方正仿宋_GBK" w:cs="方正仿宋_GBK"/>
          <w:color w:val="000000" w:themeColor="text1"/>
          <w:sz w:val="32"/>
          <w:szCs w:val="32"/>
          <w:shd w:val="clear" w:color="auto" w:fill="FFFFFF"/>
        </w:rPr>
        <w:lastRenderedPageBreak/>
        <w:t>项目经费减少10万元。</w:t>
      </w:r>
      <w:r>
        <w:rPr>
          <w:rFonts w:ascii="方正仿宋_GBK" w:eastAsia="方正仿宋_GBK" w:hAnsi="方正仿宋_GBK" w:cs="方正仿宋_GBK"/>
          <w:sz w:val="32"/>
          <w:szCs w:val="32"/>
          <w:shd w:val="clear" w:color="auto" w:fill="FFFFFF"/>
        </w:rPr>
        <w:t>较年初预算数增加48.31万元，增长17.09%。主要原因是</w:t>
      </w:r>
      <w:r>
        <w:rPr>
          <w:rFonts w:ascii="方正仿宋_GBK" w:eastAsia="方正仿宋_GBK" w:hAnsi="方正仿宋_GBK" w:cs="方正仿宋_GBK"/>
          <w:color w:val="000000" w:themeColor="text1"/>
          <w:sz w:val="32"/>
          <w:szCs w:val="32"/>
          <w:shd w:val="clear" w:color="auto" w:fill="FFFFFF"/>
        </w:rPr>
        <w:t>职工工资晋级晋档导致住房公积金、社保缴费基数调整，相应费用增加。</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000000" w:themeColor="text1"/>
          <w:sz w:val="32"/>
          <w:szCs w:val="32"/>
        </w:rPr>
      </w:pPr>
      <w:r>
        <w:rPr>
          <w:rStyle w:val="aa"/>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330.92</w:t>
      </w:r>
      <w:r>
        <w:rPr>
          <w:rFonts w:ascii="方正仿宋_GBK" w:eastAsia="方正仿宋_GBK" w:hAnsi="方正仿宋_GBK" w:cs="方正仿宋_GBK"/>
          <w:sz w:val="32"/>
          <w:szCs w:val="32"/>
          <w:shd w:val="clear" w:color="auto" w:fill="FFFFFF"/>
        </w:rPr>
        <w:t>万元，与2023年度相比，减少53.15万元，下降13.84%。主要原因是</w:t>
      </w:r>
      <w:r>
        <w:rPr>
          <w:rFonts w:ascii="方正仿宋_GBK" w:eastAsia="方正仿宋_GBK" w:hAnsi="方正仿宋_GBK" w:cs="方正仿宋_GBK"/>
          <w:color w:val="000000" w:themeColor="text1"/>
          <w:sz w:val="32"/>
          <w:szCs w:val="32"/>
          <w:shd w:val="clear" w:color="auto" w:fill="FFFFFF"/>
        </w:rPr>
        <w:t>工作人员减少，导致人员经费减少30.02万元，日常公用经费减少13.13万元，购买建设工程安全技术服务项目经费减少10万元。</w:t>
      </w:r>
      <w:r>
        <w:rPr>
          <w:rFonts w:ascii="方正仿宋_GBK" w:eastAsia="方正仿宋_GBK" w:hAnsi="方正仿宋_GBK" w:cs="方正仿宋_GBK"/>
          <w:sz w:val="32"/>
          <w:szCs w:val="32"/>
          <w:shd w:val="clear" w:color="auto" w:fill="FFFFFF"/>
        </w:rPr>
        <w:t>较年初预算数增加48.31万元，增长17.09%。主要原因是</w:t>
      </w:r>
      <w:r>
        <w:rPr>
          <w:rFonts w:ascii="方正仿宋_GBK" w:eastAsia="方正仿宋_GBK" w:hAnsi="方正仿宋_GBK" w:cs="方正仿宋_GBK"/>
          <w:color w:val="000000" w:themeColor="text1"/>
          <w:sz w:val="32"/>
          <w:szCs w:val="32"/>
          <w:shd w:val="clear" w:color="auto" w:fill="FFFFFF"/>
        </w:rPr>
        <w:t>职工工资晋级晋档导致住房公积金、社保缴费基数调整，相应费用增加。</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方正仿宋_GBK" w:eastAsia="方正仿宋_GBK" w:hAnsi="方正仿宋_GBK" w:cs="方正仿宋_GBK"/>
          <w:color w:val="000000" w:themeColor="text1"/>
          <w:sz w:val="32"/>
          <w:szCs w:val="32"/>
          <w:shd w:val="clear" w:color="auto" w:fill="FFFFFF"/>
        </w:rPr>
        <w:t>本年度与上年度均无结转结余。</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AD6604" w:rsidRDefault="00F5422D">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（1）教育支出</w:t>
      </w:r>
      <w:r>
        <w:rPr>
          <w:rFonts w:ascii="方正仿宋_GBK" w:eastAsia="方正仿宋_GBK" w:hAnsi="方正仿宋_GBK" w:cs="方正仿宋_GBK"/>
          <w:sz w:val="32"/>
          <w:szCs w:val="32"/>
        </w:rPr>
        <w:t>0.76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0.23</w:t>
      </w:r>
      <w:r>
        <w:rPr>
          <w:rFonts w:ascii="方正仿宋_GBK" w:eastAsia="方正仿宋_GBK" w:hAnsi="方正仿宋_GBK" w:cs="方正仿宋_GBK"/>
          <w:sz w:val="32"/>
          <w:szCs w:val="32"/>
          <w:shd w:val="clear" w:color="auto" w:fill="FFFFFF"/>
        </w:rPr>
        <w:t>%，较年初预算数无增减，主要原因是按财政预算合理计划支出</w:t>
      </w:r>
      <w:r>
        <w:rPr>
          <w:rFonts w:ascii="方正仿宋_GBK" w:eastAsia="方正仿宋_GBK" w:hAnsi="方正仿宋_GBK" w:cs="方正仿宋_GBK"/>
          <w:color w:val="000000" w:themeColor="text1"/>
          <w:sz w:val="32"/>
          <w:szCs w:val="32"/>
          <w:shd w:val="clear" w:color="auto" w:fill="FFFFFF"/>
        </w:rPr>
        <w:t>。</w:t>
      </w:r>
    </w:p>
    <w:p w:rsidR="00AD6604" w:rsidRDefault="00F5422D">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sz w:val="32"/>
          <w:szCs w:val="32"/>
          <w:shd w:val="clear" w:color="auto" w:fill="FFFFFF"/>
        </w:rPr>
        <w:t>（2）社会保障与就业支出</w:t>
      </w:r>
      <w:r>
        <w:rPr>
          <w:rFonts w:ascii="方正仿宋_GBK" w:eastAsia="方正仿宋_GBK" w:hAnsi="方正仿宋_GBK" w:cs="方正仿宋_GBK"/>
          <w:sz w:val="32"/>
          <w:szCs w:val="32"/>
        </w:rPr>
        <w:t>68.08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20.57</w:t>
      </w:r>
      <w:r>
        <w:rPr>
          <w:rFonts w:ascii="方正仿宋_GBK" w:eastAsia="方正仿宋_GBK" w:hAnsi="方正仿宋_GBK" w:cs="方正仿宋_GBK"/>
          <w:sz w:val="32"/>
          <w:szCs w:val="32"/>
          <w:shd w:val="clear" w:color="auto" w:fill="FFFFFF"/>
        </w:rPr>
        <w:t>%，较年初预算数增加40.93万元，增长150.76%，主要原因是</w:t>
      </w:r>
      <w:r>
        <w:rPr>
          <w:rFonts w:ascii="方正仿宋_GBK" w:eastAsia="方正仿宋_GBK" w:hAnsi="方正仿宋_GBK" w:cs="方正仿宋_GBK"/>
          <w:color w:val="000000" w:themeColor="text1"/>
          <w:sz w:val="32"/>
          <w:szCs w:val="32"/>
          <w:shd w:val="clear" w:color="auto" w:fill="FFFFFF"/>
        </w:rPr>
        <w:t>职工工资晋级晋档导致社保缴费基数调整，相应费用增加。</w:t>
      </w:r>
    </w:p>
    <w:p w:rsidR="00AD6604" w:rsidRDefault="00F5422D">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（3）卫生健康支出</w:t>
      </w:r>
      <w:r>
        <w:rPr>
          <w:rFonts w:ascii="方正仿宋_GBK" w:eastAsia="方正仿宋_GBK" w:hAnsi="方正仿宋_GBK" w:cs="方正仿宋_GBK"/>
          <w:sz w:val="32"/>
          <w:szCs w:val="32"/>
        </w:rPr>
        <w:t>10.12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3.06</w:t>
      </w:r>
      <w:r>
        <w:rPr>
          <w:rFonts w:ascii="方正仿宋_GBK" w:eastAsia="方正仿宋_GBK" w:hAnsi="方正仿宋_GBK" w:cs="方正仿宋_GBK"/>
          <w:sz w:val="32"/>
          <w:szCs w:val="32"/>
          <w:shd w:val="clear" w:color="auto" w:fill="FFFFFF"/>
        </w:rPr>
        <w:t>%，较年初预算数无增减，主要原因是按财政预算合理计划支出</w:t>
      </w:r>
      <w:r>
        <w:rPr>
          <w:rFonts w:ascii="方正仿宋_GBK" w:eastAsia="方正仿宋_GBK" w:hAnsi="方正仿宋_GBK" w:cs="方正仿宋_GBK"/>
          <w:color w:val="000000" w:themeColor="text1"/>
          <w:sz w:val="32"/>
          <w:szCs w:val="32"/>
          <w:shd w:val="clear" w:color="auto" w:fill="FFFFFF"/>
        </w:rPr>
        <w:t>。</w:t>
      </w:r>
    </w:p>
    <w:p w:rsidR="00AD6604" w:rsidRDefault="00F5422D">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sz w:val="32"/>
          <w:szCs w:val="32"/>
          <w:shd w:val="clear" w:color="auto" w:fill="FFFFFF"/>
        </w:rPr>
        <w:lastRenderedPageBreak/>
        <w:t>（4）城乡社区支出</w:t>
      </w:r>
      <w:r>
        <w:rPr>
          <w:rFonts w:ascii="方正仿宋_GBK" w:eastAsia="方正仿宋_GBK" w:hAnsi="方正仿宋_GBK" w:cs="方正仿宋_GBK"/>
          <w:sz w:val="32"/>
          <w:szCs w:val="32"/>
        </w:rPr>
        <w:t>239.82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72.47</w:t>
      </w:r>
      <w:r>
        <w:rPr>
          <w:rFonts w:ascii="方正仿宋_GBK" w:eastAsia="方正仿宋_GBK" w:hAnsi="方正仿宋_GBK" w:cs="方正仿宋_GBK"/>
          <w:sz w:val="32"/>
          <w:szCs w:val="32"/>
          <w:shd w:val="clear" w:color="auto" w:fill="FFFFFF"/>
        </w:rPr>
        <w:t>%，较年初预算数增加7.39万元，增长3.18%，主要原因是</w:t>
      </w:r>
      <w:r>
        <w:rPr>
          <w:rFonts w:ascii="方正仿宋_GBK" w:eastAsia="方正仿宋_GBK" w:hAnsi="方正仿宋_GBK" w:cs="方正仿宋_GBK"/>
          <w:color w:val="000000" w:themeColor="text1"/>
          <w:sz w:val="32"/>
          <w:szCs w:val="32"/>
          <w:shd w:val="clear" w:color="auto" w:fill="FFFFFF"/>
        </w:rPr>
        <w:t>年中追加工资、绩效和人员经费等，用于保障在职人员工资福利及社会保险缴费，退休人员补助等，保障单位正常运转的各项商品服务支出。</w:t>
      </w:r>
    </w:p>
    <w:p w:rsidR="00AD6604" w:rsidRDefault="00F5422D">
      <w:pPr>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rPr>
        <w:t>住房保障支出12.15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3.67</w:t>
      </w:r>
      <w:r>
        <w:rPr>
          <w:rFonts w:ascii="方正仿宋_GBK" w:eastAsia="方正仿宋_GBK" w:hAnsi="方正仿宋_GBK" w:cs="方正仿宋_GBK"/>
          <w:sz w:val="32"/>
          <w:szCs w:val="32"/>
          <w:shd w:val="clear" w:color="auto" w:fill="FFFFFF"/>
        </w:rPr>
        <w:t>%，较年初预算数无增减，主要原因是按财政预算合理计划支出</w:t>
      </w:r>
      <w:r>
        <w:rPr>
          <w:rFonts w:ascii="方正仿宋_GBK" w:eastAsia="方正仿宋_GBK" w:hAnsi="方正仿宋_GBK" w:cs="方正仿宋_GBK"/>
          <w:color w:val="000000" w:themeColor="text1"/>
          <w:sz w:val="32"/>
          <w:szCs w:val="32"/>
          <w:shd w:val="clear" w:color="auto" w:fill="FFFFFF"/>
        </w:rPr>
        <w:t>。</w:t>
      </w:r>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AD6604" w:rsidRDefault="00F5422D">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2024年度一般公共财政拨款基本支出</w:t>
      </w:r>
      <w:r>
        <w:rPr>
          <w:rFonts w:ascii="方正仿宋_GBK" w:eastAsia="方正仿宋_GBK" w:hAnsi="方正仿宋_GBK" w:cs="方正仿宋_GBK"/>
          <w:sz w:val="32"/>
          <w:szCs w:val="32"/>
        </w:rPr>
        <w:t>310.92</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281.12</w:t>
      </w:r>
      <w:r>
        <w:rPr>
          <w:rFonts w:ascii="方正仿宋_GBK" w:eastAsia="方正仿宋_GBK" w:hAnsi="方正仿宋_GBK" w:cs="方正仿宋_GBK"/>
          <w:sz w:val="32"/>
          <w:szCs w:val="32"/>
          <w:shd w:val="clear" w:color="auto" w:fill="FFFFFF"/>
        </w:rPr>
        <w:t>万元，与2023年度相比，减少30.03万元，下降9.65%，主要原因是</w:t>
      </w:r>
      <w:r>
        <w:rPr>
          <w:rFonts w:ascii="方正仿宋_GBK" w:eastAsia="方正仿宋_GBK" w:hAnsi="方正仿宋_GBK" w:cs="方正仿宋_GBK"/>
          <w:color w:val="000000" w:themeColor="text1"/>
          <w:sz w:val="32"/>
          <w:szCs w:val="32"/>
          <w:shd w:val="clear" w:color="auto" w:fill="FFFFFF"/>
        </w:rPr>
        <w:t>工作人员减少。</w:t>
      </w:r>
      <w:r>
        <w:rPr>
          <w:rFonts w:ascii="方正仿宋_GBK" w:eastAsia="方正仿宋_GBK" w:hAnsi="方正仿宋_GBK" w:cs="方正仿宋_GBK"/>
          <w:sz w:val="32"/>
          <w:szCs w:val="32"/>
          <w:shd w:val="clear" w:color="auto" w:fill="FFFFFF"/>
        </w:rPr>
        <w:t>人员经费用途主要包括基</w:t>
      </w:r>
      <w:r>
        <w:rPr>
          <w:rFonts w:ascii="Times New Roman" w:eastAsia="方正仿宋_GBK" w:hAnsi="Times New Roman"/>
          <w:sz w:val="32"/>
          <w:szCs w:val="32"/>
          <w:shd w:val="clear" w:color="auto" w:fill="FFFFFF"/>
        </w:rPr>
        <w:t>本工资、津贴补贴、绩效工资、社会保障缴费、住房公积金、医疗费补助等费用</w:t>
      </w:r>
      <w:r>
        <w:rPr>
          <w:rFonts w:ascii="方正仿宋_GBK" w:eastAsia="方正仿宋_GBK" w:hAnsi="方正仿宋_GBK" w:cs="方正仿宋_GBK"/>
          <w:color w:val="000000" w:themeColor="text1"/>
          <w:sz w:val="32"/>
          <w:szCs w:val="32"/>
          <w:shd w:val="clear" w:color="auto" w:fill="FFFFFF"/>
        </w:rPr>
        <w:t>。</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29.80</w:t>
      </w:r>
      <w:r>
        <w:rPr>
          <w:rFonts w:ascii="方正仿宋_GBK" w:eastAsia="方正仿宋_GBK" w:hAnsi="方正仿宋_GBK" w:cs="方正仿宋_GBK"/>
          <w:sz w:val="32"/>
          <w:szCs w:val="32"/>
          <w:shd w:val="clear" w:color="auto" w:fill="FFFFFF"/>
        </w:rPr>
        <w:t>万元，与2023年度相比，减少13.13万元，下降30.58%，主要原因是</w:t>
      </w:r>
      <w:r>
        <w:rPr>
          <w:rFonts w:ascii="方正仿宋_GBK" w:eastAsia="方正仿宋_GBK" w:hAnsi="方正仿宋_GBK" w:cs="方正仿宋_GBK"/>
          <w:color w:val="000000" w:themeColor="text1"/>
          <w:sz w:val="32"/>
          <w:szCs w:val="32"/>
          <w:shd w:val="clear" w:color="auto" w:fill="FFFFFF"/>
        </w:rPr>
        <w:t>要求过紧日子，厉行节约，控制支出。公用经费用途主要包括办公费、邮电费、差旅费、会议费、公务接待费、工会经费、福利费、公务接待费、工会经费、福利费、公务用车运行维护费、其他商品和服务支出等。</w:t>
      </w:r>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AD6604" w:rsidRDefault="00F5422D">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万元，与2023年度相比，无增减，主要原因是本单位本年度无政府性基金预算财政拨款收入。本年支出0.00万元，与2023年度相比，</w:t>
      </w:r>
      <w:r>
        <w:rPr>
          <w:rFonts w:ascii="方正仿宋_GBK" w:eastAsia="方正仿宋_GBK" w:hAnsi="方正仿宋_GBK" w:cs="方正仿宋_GBK"/>
          <w:sz w:val="32"/>
          <w:szCs w:val="32"/>
          <w:shd w:val="clear" w:color="auto" w:fill="FFFFFF"/>
        </w:rPr>
        <w:lastRenderedPageBreak/>
        <w:t>无增减，主要原因是本单位本年度无政府性基金预算财政拨款收支。</w:t>
      </w:r>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AD6604" w:rsidRDefault="00F5422D">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D519A1">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单位</w:t>
      </w:r>
      <w:r w:rsidRPr="00D519A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D519A1">
        <w:rPr>
          <w:rFonts w:ascii="方正仿宋_GBK" w:eastAsia="方正仿宋_GBK" w:hAnsi="方正仿宋_GBK" w:cs="方正仿宋_GBK"/>
          <w:sz w:val="32"/>
          <w:szCs w:val="32"/>
          <w:shd w:val="clear" w:color="auto" w:fill="FFFFFF"/>
        </w:rPr>
        <w:t>年度无国有资本经营预算财政拨款支出。</w:t>
      </w:r>
    </w:p>
    <w:p w:rsidR="00AD6604" w:rsidRDefault="00F5422D">
      <w:pPr>
        <w:pStyle w:val="a9"/>
        <w:shd w:val="clear" w:color="auto" w:fill="FFFFFF"/>
        <w:ind w:firstLineChars="200" w:firstLine="643"/>
        <w:rPr>
          <w:rFonts w:ascii="方正仿宋_GBK" w:eastAsia="方正仿宋_GBK" w:hAnsi="方正仿宋_GBK" w:cs="方正仿宋_GBK" w:hint="default"/>
          <w:sz w:val="32"/>
          <w:szCs w:val="32"/>
        </w:rPr>
      </w:pPr>
      <w:r>
        <w:rPr>
          <w:rStyle w:val="aa"/>
          <w:rFonts w:ascii="黑体" w:eastAsia="黑体" w:hAnsi="黑体" w:cs="黑体"/>
          <w:sz w:val="32"/>
          <w:szCs w:val="32"/>
          <w:shd w:val="clear" w:color="auto" w:fill="FFFFFF"/>
        </w:rPr>
        <w:t>三、财政拨款“三公”经费情况说明</w:t>
      </w:r>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（一）“三公”经费支出总体情况说明</w:t>
      </w:r>
    </w:p>
    <w:p w:rsidR="00AD6604" w:rsidRDefault="00F5422D">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color w:val="000000" w:themeColor="text1"/>
          <w:sz w:val="32"/>
          <w:szCs w:val="32"/>
          <w:shd w:val="clear" w:color="auto" w:fill="FFFFFF"/>
        </w:rPr>
        <w:t>2024年度“三公”经费支出共计</w:t>
      </w:r>
      <w:r>
        <w:rPr>
          <w:rFonts w:ascii="方正仿宋_GBK" w:eastAsia="方正仿宋_GBK" w:hAnsi="方正仿宋_GBK" w:cs="方正仿宋_GBK"/>
          <w:color w:val="000000" w:themeColor="text1"/>
          <w:sz w:val="32"/>
          <w:szCs w:val="32"/>
        </w:rPr>
        <w:t>7.80</w:t>
      </w:r>
      <w:r>
        <w:rPr>
          <w:rFonts w:ascii="方正仿宋_GBK" w:eastAsia="方正仿宋_GBK" w:hAnsi="方正仿宋_GBK" w:cs="方正仿宋_GBK"/>
          <w:color w:val="000000" w:themeColor="text1"/>
          <w:sz w:val="32"/>
          <w:szCs w:val="32"/>
          <w:shd w:val="clear" w:color="auto" w:fill="FFFFFF"/>
        </w:rPr>
        <w:t>万元，较年初预算数无增减，主要原因是单位厉行节约严控支出。较上年支出数减少6.10万元，下降43.88%，主要原因是</w:t>
      </w:r>
      <w:r>
        <w:rPr>
          <w:rFonts w:ascii="方正仿宋_GBK" w:eastAsia="方正仿宋_GBK" w:hAnsi="方正仿宋_GBK" w:cs="方正仿宋_GBK"/>
          <w:sz w:val="32"/>
          <w:szCs w:val="32"/>
          <w:shd w:val="clear" w:color="auto" w:fill="FFFFFF"/>
        </w:rPr>
        <w:t>按财政预算合理计划支出，压缩开支。</w:t>
      </w:r>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AD6604" w:rsidRDefault="00F5422D">
      <w:pPr>
        <w:adjustRightInd w:val="0"/>
        <w:snapToGrid w:val="0"/>
        <w:spacing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万元，主要是本单位本年度未发生因公出国（境）支出</w:t>
      </w:r>
      <w:r>
        <w:rPr>
          <w:rFonts w:ascii="方正仿宋_GBK" w:eastAsia="方正仿宋_GBK" w:hAnsi="方正仿宋_GBK" w:cs="方正仿宋_GBK"/>
          <w:color w:val="000000" w:themeColor="text1"/>
          <w:sz w:val="32"/>
          <w:szCs w:val="32"/>
          <w:shd w:val="clear" w:color="auto" w:fill="FFFFFF"/>
        </w:rPr>
        <w:t>。费用支出较年初预算数无增减，主要原因是年初预算数未安排因公出国（境）费用，也未发生因公出国（境）费用。</w:t>
      </w:r>
      <w:r>
        <w:rPr>
          <w:rFonts w:ascii="方正仿宋_GBK" w:eastAsia="方正仿宋_GBK" w:hAnsi="方正仿宋_GBK" w:cs="方正仿宋_GBK"/>
          <w:sz w:val="32"/>
          <w:szCs w:val="32"/>
          <w:shd w:val="clear" w:color="auto" w:fill="FFFFFF"/>
        </w:rPr>
        <w:t>较上年度支出数无增减，主要原因是上年度和本年度均未发生因公出国（境）费用。</w:t>
      </w:r>
    </w:p>
    <w:p w:rsidR="00AD6604" w:rsidRDefault="00F5422D">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万元，主要是本单位2024年度未发生公务车购置费支出。费用支出较年初预算数无增减，主要原因是年初预算数未安排且本年度未发生公务车购置费用。</w:t>
      </w:r>
      <w:r>
        <w:rPr>
          <w:rFonts w:ascii="方正仿宋_GBK" w:eastAsia="方正仿宋_GBK" w:hAnsi="方正仿宋_GBK" w:cs="方正仿宋_GBK"/>
          <w:sz w:val="32"/>
          <w:szCs w:val="32"/>
          <w:shd w:val="clear" w:color="auto" w:fill="FFFFFF"/>
        </w:rPr>
        <w:lastRenderedPageBreak/>
        <w:t>较上年度支出数无增减，主要原因是上年度和本年度均未发生公务车购置费用。</w:t>
      </w:r>
    </w:p>
    <w:p w:rsidR="00AD6604" w:rsidRDefault="00F5422D">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sz w:val="32"/>
          <w:szCs w:val="32"/>
          <w:shd w:val="clear" w:color="auto" w:fill="FFFFFF"/>
        </w:rPr>
        <w:t> 公务车运行维护费</w:t>
      </w:r>
      <w:r>
        <w:rPr>
          <w:rFonts w:ascii="方正仿宋_GBK" w:eastAsia="方正仿宋_GBK" w:hAnsi="方正仿宋_GBK" w:cs="方正仿宋_GBK"/>
          <w:sz w:val="32"/>
          <w:szCs w:val="32"/>
        </w:rPr>
        <w:t>6.00</w:t>
      </w:r>
      <w:r>
        <w:rPr>
          <w:rFonts w:ascii="方正仿宋_GBK" w:eastAsia="方正仿宋_GBK" w:hAnsi="方正仿宋_GBK" w:cs="方正仿宋_GBK"/>
          <w:sz w:val="32"/>
          <w:szCs w:val="32"/>
          <w:shd w:val="clear" w:color="auto" w:fill="FFFFFF"/>
        </w:rPr>
        <w:t>万元，主要用于公务用车燃料费、维修费、过路过桥费</w:t>
      </w:r>
      <w:r>
        <w:rPr>
          <w:rFonts w:ascii="方正仿宋_GBK" w:eastAsia="方正仿宋_GBK" w:hAnsi="方正仿宋_GBK" w:cs="方正仿宋_GBK"/>
          <w:color w:val="000000" w:themeColor="text1"/>
          <w:sz w:val="32"/>
          <w:szCs w:val="32"/>
          <w:shd w:val="clear" w:color="auto" w:fill="FFFFFF"/>
        </w:rPr>
        <w:t>、保险费等支出。费用支出较年初预算数无增减，主要原因是我单位厉行节约严控支出。较上年度支出数减少6.00万元，下降50.00%，主要原因是</w:t>
      </w:r>
      <w:r>
        <w:rPr>
          <w:rFonts w:ascii="方正仿宋_GBK" w:eastAsia="方正仿宋_GBK" w:hAnsi="方正仿宋_GBK" w:cs="方正仿宋_GBK"/>
          <w:sz w:val="32"/>
          <w:szCs w:val="32"/>
          <w:shd w:val="clear" w:color="auto" w:fill="FFFFFF"/>
        </w:rPr>
        <w:t>按财政预算合理计划支出，压缩开支。</w:t>
      </w:r>
    </w:p>
    <w:p w:rsidR="00AD6604" w:rsidRDefault="00F5422D">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color w:val="000000" w:themeColor="text1"/>
          <w:sz w:val="32"/>
          <w:szCs w:val="32"/>
          <w:shd w:val="clear" w:color="auto" w:fill="FFFFFF"/>
        </w:rPr>
        <w:t> 公务接待费</w:t>
      </w:r>
      <w:r>
        <w:rPr>
          <w:rFonts w:ascii="方正仿宋_GBK" w:eastAsia="方正仿宋_GBK" w:hAnsi="方正仿宋_GBK" w:cs="方正仿宋_GBK"/>
          <w:color w:val="000000" w:themeColor="text1"/>
          <w:sz w:val="32"/>
          <w:szCs w:val="32"/>
        </w:rPr>
        <w:t>1.80</w:t>
      </w:r>
      <w:r>
        <w:rPr>
          <w:rFonts w:ascii="方正仿宋_GBK" w:eastAsia="方正仿宋_GBK" w:hAnsi="方正仿宋_GBK" w:cs="方正仿宋_GBK"/>
          <w:color w:val="000000" w:themeColor="text1"/>
          <w:sz w:val="32"/>
          <w:szCs w:val="32"/>
          <w:shd w:val="clear" w:color="auto" w:fill="FFFFFF"/>
        </w:rPr>
        <w:t>万元，主要用于接待招商引资，重点项目建设推进等工作。费用支出较年初预算数无增减，主要原因是我单位厉行节约严控支出。较上年度支出数减少0.10万元，下降5.26%，主要原因是要求过紧日子，厉行节约严控支出。</w:t>
      </w:r>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AD6604" w:rsidRDefault="00F5422D">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3</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77</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231</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77.92</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2.00</w:t>
      </w:r>
      <w:r>
        <w:rPr>
          <w:rFonts w:ascii="方正仿宋_GBK" w:eastAsia="方正仿宋_GBK" w:hAnsi="方正仿宋_GBK" w:cs="方正仿宋_GBK"/>
          <w:sz w:val="32"/>
          <w:szCs w:val="32"/>
          <w:shd w:val="clear" w:color="auto" w:fill="FFFFFF"/>
        </w:rPr>
        <w:t>万元。</w:t>
      </w:r>
    </w:p>
    <w:p w:rsidR="00AD6604" w:rsidRDefault="00F5422D">
      <w:pPr>
        <w:pStyle w:val="a9"/>
        <w:shd w:val="clear" w:color="auto" w:fill="FFFFFF"/>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四、其他需要说明的事项</w:t>
      </w:r>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（一）财政拨款会议费和培训费情况说明</w:t>
      </w:r>
    </w:p>
    <w:p w:rsidR="00AD6604" w:rsidRDefault="00F5422D">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本年度会议费支出</w:t>
      </w:r>
      <w:r>
        <w:rPr>
          <w:rFonts w:ascii="方正仿宋_GBK" w:eastAsia="方正仿宋_GBK" w:hAnsi="方正仿宋_GBK" w:cs="方正仿宋_GBK"/>
          <w:sz w:val="32"/>
          <w:szCs w:val="32"/>
        </w:rPr>
        <w:t>0.60</w:t>
      </w:r>
      <w:r>
        <w:rPr>
          <w:rFonts w:ascii="方正仿宋_GBK" w:eastAsia="方正仿宋_GBK" w:hAnsi="方正仿宋_GBK" w:cs="方正仿宋_GBK"/>
          <w:sz w:val="32"/>
          <w:szCs w:val="32"/>
          <w:shd w:val="clear" w:color="auto" w:fill="FFFFFF"/>
        </w:rPr>
        <w:t>万元，与2023年度相比，无增减，主要原因是我单位厉行节约，以线上会议为主。本年度</w:t>
      </w:r>
      <w:r>
        <w:rPr>
          <w:rFonts w:ascii="方正仿宋_GBK" w:eastAsia="方正仿宋_GBK" w:hAnsi="方正仿宋_GBK" w:cs="方正仿宋_GBK"/>
          <w:sz w:val="32"/>
          <w:szCs w:val="32"/>
          <w:shd w:val="clear" w:color="auto" w:fill="FFFFFF"/>
        </w:rPr>
        <w:lastRenderedPageBreak/>
        <w:t>培训费支出</w:t>
      </w:r>
      <w:r>
        <w:rPr>
          <w:rFonts w:ascii="方正仿宋_GBK" w:eastAsia="方正仿宋_GBK" w:hAnsi="方正仿宋_GBK" w:cs="方正仿宋_GBK"/>
          <w:sz w:val="32"/>
          <w:szCs w:val="32"/>
        </w:rPr>
        <w:t>0.76</w:t>
      </w:r>
      <w:r>
        <w:rPr>
          <w:rFonts w:ascii="方正仿宋_GBK" w:eastAsia="方正仿宋_GBK" w:hAnsi="方正仿宋_GBK" w:cs="方正仿宋_GBK"/>
          <w:sz w:val="32"/>
          <w:szCs w:val="32"/>
          <w:shd w:val="clear" w:color="auto" w:fill="FFFFFF"/>
        </w:rPr>
        <w:t>万元，与2023年度相比，减少0.09万元，下降10.59%，主要原因是我单位厉行节约，以线上培训为主。</w:t>
      </w:r>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AD6604" w:rsidRDefault="00DE2D6A">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5C03B0">
        <w:rPr>
          <w:rFonts w:ascii="方正仿宋_GBK" w:eastAsia="方正仿宋_GBK" w:hAnsi="方正仿宋_GBK" w:cs="方正仿宋_GBK"/>
          <w:sz w:val="32"/>
          <w:szCs w:val="32"/>
          <w:shd w:val="clear" w:color="auto" w:fill="FFFFFF"/>
        </w:rPr>
        <w:t>机关运行经费较上年支出数无增减，</w:t>
      </w:r>
      <w:r w:rsidRPr="00FF16AB">
        <w:rPr>
          <w:rFonts w:ascii="方正仿宋_GBK" w:eastAsia="方正仿宋_GBK"/>
          <w:bCs/>
          <w:sz w:val="32"/>
          <w:szCs w:val="32"/>
        </w:rPr>
        <w:t>主要原因是按照部门决算列报口径，我单位不在机关运行经费统计范围之内。</w:t>
      </w:r>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AD6604" w:rsidRDefault="00F5422D">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  截至2024年12月31日，本单位共有车辆</w:t>
      </w:r>
      <w:r>
        <w:rPr>
          <w:rFonts w:ascii="方正仿宋_GBK" w:eastAsia="方正仿宋_GBK" w:hAnsi="方正仿宋_GBK" w:cs="方正仿宋_GBK"/>
          <w:sz w:val="32"/>
          <w:szCs w:val="32"/>
        </w:rPr>
        <w:t>3</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3</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AD6604" w:rsidRDefault="00F5422D">
      <w:pPr>
        <w:pStyle w:val="a9"/>
        <w:snapToGrid w:val="0"/>
        <w:spacing w:before="0" w:beforeAutospacing="0" w:after="0" w:afterAutospacing="0" w:line="600" w:lineRule="exact"/>
        <w:jc w:val="both"/>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sz w:val="32"/>
          <w:szCs w:val="32"/>
          <w:shd w:val="clear" w:color="auto" w:fill="FFFFFF"/>
        </w:rPr>
        <w:t xml:space="preserve">     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color w:val="000000" w:themeColor="text1"/>
          <w:sz w:val="32"/>
          <w:szCs w:val="32"/>
          <w:shd w:val="clear" w:color="auto" w:fill="FFFFFF"/>
        </w:rPr>
        <w:t>2024年度我单位未发生政府采购事项，无相关经费支出。</w:t>
      </w:r>
    </w:p>
    <w:p w:rsidR="00AD6604" w:rsidRDefault="00DE2D6A">
      <w:pPr>
        <w:pStyle w:val="a9"/>
        <w:shd w:val="clear" w:color="auto" w:fill="FFFFFF"/>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五、2024年度预算绩效管理情况说明</w:t>
      </w:r>
      <w:bookmarkStart w:id="0" w:name="_GoBack"/>
      <w:bookmarkEnd w:id="0"/>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AD6604" w:rsidRDefault="00F5422D">
      <w:pPr>
        <w:pStyle w:val="Char"/>
        <w:autoSpaceDE w:val="0"/>
        <w:spacing w:before="0" w:beforeAutospacing="0" w:line="600" w:lineRule="exact"/>
        <w:rPr>
          <w:rFonts w:ascii="方正仿宋_GBK" w:eastAsia="方正仿宋_GBK" w:hAnsi="方正仿宋_GBK" w:cs="方正仿宋_GBK"/>
          <w:color w:val="000000" w:themeColor="text1"/>
          <w:sz w:val="32"/>
          <w:szCs w:val="32"/>
          <w:shd w:val="clear" w:color="auto" w:fill="FFFFFF"/>
        </w:rPr>
      </w:pPr>
      <w:r>
        <w:rPr>
          <w:rFonts w:ascii="方正仿宋_GBK" w:eastAsia="方正仿宋_GBK" w:hAnsi="方正仿宋_GBK" w:cs="方正仿宋_GBK" w:hint="eastAsia"/>
          <w:color w:val="000000" w:themeColor="text1"/>
          <w:sz w:val="32"/>
          <w:szCs w:val="32"/>
          <w:shd w:val="clear" w:color="auto" w:fill="FFFFFF"/>
        </w:rPr>
        <w:lastRenderedPageBreak/>
        <w:t xml:space="preserve">    根据预算绩效管理要求，我单位对1个二级项目开展了绩效自评，涉及财政拨款项目支出资金20万元。</w:t>
      </w:r>
    </w:p>
    <w:p w:rsidR="00AD6604" w:rsidRDefault="00F5422D">
      <w:pPr>
        <w:pStyle w:val="Char"/>
        <w:autoSpaceDE w:val="0"/>
        <w:spacing w:before="0" w:beforeAutospacing="0" w:line="600" w:lineRule="exact"/>
        <w:rPr>
          <w:rFonts w:ascii="方正仿宋_GBK" w:eastAsia="方正仿宋_GBK" w:hAnsi="方正仿宋_GBK" w:cs="方正仿宋_GBK"/>
          <w:color w:val="000000" w:themeColor="text1"/>
          <w:sz w:val="32"/>
          <w:szCs w:val="32"/>
          <w:shd w:val="clear" w:color="auto" w:fill="FFFFFF"/>
        </w:rPr>
      </w:pPr>
      <w:r>
        <w:rPr>
          <w:rFonts w:ascii="方正仿宋_GBK" w:eastAsia="方正仿宋_GBK" w:hAnsi="方正仿宋_GBK" w:cs="方正仿宋_GBK" w:hint="eastAsia"/>
          <w:color w:val="000000" w:themeColor="text1"/>
          <w:sz w:val="32"/>
          <w:szCs w:val="32"/>
          <w:shd w:val="clear" w:color="auto" w:fill="FFFFFF"/>
        </w:rPr>
        <w:t>绩效自评表格：</w:t>
      </w:r>
    </w:p>
    <w:p w:rsidR="00AD6604" w:rsidRDefault="00F5422D">
      <w:pPr>
        <w:rPr>
          <w:rFonts w:ascii="楷体" w:eastAsia="楷体" w:hAnsi="楷体" w:cs="楷体" w:hint="default"/>
          <w:b/>
          <w:bCs/>
          <w:sz w:val="32"/>
          <w:szCs w:val="32"/>
          <w:shd w:val="clear" w:color="auto" w:fill="FFFFFF"/>
        </w:rPr>
      </w:pPr>
      <w:r>
        <w:rPr>
          <w:noProof/>
        </w:rPr>
        <w:drawing>
          <wp:inline distT="0" distB="0" distL="114300" distR="114300">
            <wp:extent cx="5272405" cy="3797935"/>
            <wp:effectExtent l="0" t="0" r="4445" b="1206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7"/>
                    <a:stretch>
                      <a:fillRect/>
                    </a:stretch>
                  </pic:blipFill>
                  <pic:spPr>
                    <a:xfrm>
                      <a:off x="0" y="0"/>
                      <a:ext cx="5272405" cy="3797935"/>
                    </a:xfrm>
                    <a:prstGeom prst="rect">
                      <a:avLst/>
                    </a:prstGeom>
                    <a:noFill/>
                    <a:ln w="9525">
                      <a:noFill/>
                    </a:ln>
                  </pic:spPr>
                </pic:pic>
              </a:graphicData>
            </a:graphic>
          </wp:inline>
        </w:drawing>
      </w:r>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AD6604" w:rsidRDefault="00F5422D">
      <w:pPr>
        <w:pStyle w:val="2"/>
        <w:autoSpaceDE w:val="0"/>
        <w:ind w:firstLineChars="300" w:firstLine="96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 xml:space="preserve"> 我单位未组织开展绩效评价。</w:t>
      </w:r>
    </w:p>
    <w:p w:rsidR="00AD6604" w:rsidRDefault="00F5422D">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rsidR="00AD6604" w:rsidRDefault="00F5422D">
      <w:pPr>
        <w:pStyle w:val="1"/>
        <w:autoSpaceDE w:val="0"/>
        <w:ind w:firstLineChars="400" w:firstLine="128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AD6604" w:rsidRDefault="00F5422D">
      <w:pPr>
        <w:pStyle w:val="a9"/>
        <w:shd w:val="clear" w:color="auto" w:fill="FFFFFF"/>
        <w:ind w:firstLineChars="200" w:firstLine="643"/>
        <w:rPr>
          <w:rFonts w:ascii="方正仿宋_GBK" w:eastAsia="方正仿宋_GBK" w:hAnsi="方正仿宋_GBK" w:cs="方正仿宋_GBK" w:hint="default"/>
          <w:sz w:val="32"/>
          <w:szCs w:val="32"/>
        </w:rPr>
      </w:pPr>
      <w:r>
        <w:rPr>
          <w:rStyle w:val="aa"/>
          <w:rFonts w:ascii="黑体" w:eastAsia="黑体" w:hAnsi="黑体" w:cs="黑体"/>
          <w:sz w:val="32"/>
          <w:szCs w:val="32"/>
          <w:shd w:val="clear" w:color="auto" w:fill="FFFFFF"/>
        </w:rPr>
        <w:t>  六、专业名词解释</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hAnsi="方正仿宋_GBK" w:cs="方正仿宋_GBK"/>
          <w:b/>
          <w:bCs/>
          <w:sz w:val="32"/>
          <w:szCs w:val="32"/>
          <w:shd w:val="clear" w:color="auto" w:fill="FFFFFF"/>
        </w:rPr>
        <w:lastRenderedPageBreak/>
        <w:t> </w:t>
      </w: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lastRenderedPageBreak/>
        <w:t> </w:t>
      </w:r>
      <w:r>
        <w:rPr>
          <w:rStyle w:val="aa"/>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 </w:t>
      </w:r>
      <w:r>
        <w:rPr>
          <w:rStyle w:val="aa"/>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lastRenderedPageBreak/>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AD6604" w:rsidRDefault="00F5422D">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AD6604" w:rsidRDefault="00F5422D">
      <w:pPr>
        <w:pStyle w:val="a9"/>
        <w:shd w:val="clear" w:color="auto" w:fill="FFFFFF"/>
        <w:ind w:firstLineChars="200" w:firstLine="643"/>
        <w:rPr>
          <w:rStyle w:val="aa"/>
          <w:rFonts w:ascii="方正仿宋_GBK" w:eastAsia="方正仿宋_GBK" w:hAnsi="方正仿宋_GBK" w:cs="方正仿宋_GBK" w:hint="default"/>
          <w:sz w:val="32"/>
          <w:szCs w:val="32"/>
          <w:shd w:val="clear" w:color="auto" w:fill="FFFFFF"/>
        </w:rPr>
      </w:pPr>
      <w:r>
        <w:rPr>
          <w:rStyle w:val="aa"/>
          <w:rFonts w:ascii="黑体" w:eastAsia="黑体" w:hAnsi="黑体" w:cs="黑体"/>
          <w:sz w:val="32"/>
          <w:szCs w:val="32"/>
          <w:shd w:val="clear" w:color="auto" w:fill="FFFFFF"/>
        </w:rPr>
        <w:t>七、决算公开联系方式及信息反馈渠道</w:t>
      </w:r>
    </w:p>
    <w:p w:rsidR="00AD6604" w:rsidRDefault="00F5422D">
      <w:pPr>
        <w:pStyle w:val="a9"/>
        <w:snapToGrid w:val="0"/>
        <w:spacing w:before="0" w:beforeAutospacing="0" w:after="0" w:afterAutospacing="0" w:line="600" w:lineRule="exact"/>
        <w:ind w:leftChars="133" w:left="319" w:firstLineChars="100" w:firstLine="32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本单位决算公开信息反馈和联系方式：胡老师</w:t>
      </w:r>
      <w:r>
        <w:rPr>
          <w:rFonts w:ascii="方正仿宋_GBK" w:eastAsia="方正仿宋_GBK" w:hAnsi="方正仿宋_GBK" w:cs="方正仿宋_GBK"/>
          <w:color w:val="000000" w:themeColor="text1"/>
          <w:sz w:val="32"/>
          <w:szCs w:val="32"/>
          <w:shd w:val="clear" w:color="auto" w:fill="FFFFFF"/>
        </w:rPr>
        <w:t>023-</w:t>
      </w:r>
      <w:r>
        <w:rPr>
          <w:rFonts w:ascii="方正仿宋_GBK" w:eastAsia="方正仿宋_GBK" w:hAnsi="方正仿宋_GBK" w:cs="方正仿宋_GBK"/>
          <w:color w:val="000000" w:themeColor="text1"/>
          <w:sz w:val="32"/>
        </w:rPr>
        <w:t xml:space="preserve">74513038 </w:t>
      </w:r>
    </w:p>
    <w:p w:rsidR="00AD6604" w:rsidRDefault="00AD6604">
      <w:pPr>
        <w:pStyle w:val="1"/>
        <w:autoSpaceDE w:val="0"/>
        <w:ind w:firstLineChars="0" w:firstLine="0"/>
        <w:rPr>
          <w:rStyle w:val="aa"/>
          <w:rFonts w:ascii="方正仿宋_GBK" w:eastAsia="方正仿宋_GBK" w:hAnsi="方正仿宋_GBK" w:cs="方正仿宋_GBK"/>
          <w:sz w:val="32"/>
          <w:szCs w:val="32"/>
          <w:shd w:val="clear" w:color="auto" w:fill="FFFF00"/>
        </w:rPr>
        <w:sectPr w:rsidR="00AD6604">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14791" w:type="dxa"/>
        <w:tblLayout w:type="fixed"/>
        <w:tblCellMar>
          <w:left w:w="0" w:type="dxa"/>
          <w:right w:w="0" w:type="dxa"/>
        </w:tblCellMar>
        <w:tblLook w:val="04A0" w:firstRow="1" w:lastRow="0" w:firstColumn="1" w:lastColumn="0" w:noHBand="0" w:noVBand="1"/>
      </w:tblPr>
      <w:tblGrid>
        <w:gridCol w:w="4309"/>
        <w:gridCol w:w="3571"/>
        <w:gridCol w:w="4059"/>
        <w:gridCol w:w="2852"/>
      </w:tblGrid>
      <w:tr w:rsidR="00AD6604">
        <w:trPr>
          <w:trHeight w:val="232"/>
        </w:trPr>
        <w:tc>
          <w:tcPr>
            <w:tcW w:w="14791" w:type="dxa"/>
            <w:gridSpan w:val="4"/>
            <w:tcBorders>
              <w:top w:val="nil"/>
              <w:left w:val="nil"/>
              <w:bottom w:val="nil"/>
              <w:right w:val="nil"/>
            </w:tcBorders>
            <w:shd w:val="clear" w:color="auto" w:fill="auto"/>
            <w:tcMar>
              <w:top w:w="15" w:type="dxa"/>
              <w:left w:w="15" w:type="dxa"/>
              <w:right w:w="15" w:type="dxa"/>
            </w:tcMar>
            <w:vAlign w:val="bottom"/>
          </w:tcPr>
          <w:p w:rsidR="00AD6604" w:rsidRDefault="00F5422D">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AD6604">
        <w:trPr>
          <w:trHeight w:val="232"/>
        </w:trPr>
        <w:tc>
          <w:tcPr>
            <w:tcW w:w="4309"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ascii="Arial" w:hAnsi="Arial" w:cs="Arial" w:hint="default"/>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jc w:val="right"/>
              <w:rPr>
                <w:rFonts w:ascii="Arial" w:hAnsi="Arial" w:cs="Arial" w:hint="default"/>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ascii="Arial" w:hAnsi="Arial" w:cs="Arial" w:hint="default"/>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rsidR="00AD6604" w:rsidRDefault="00F5422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AD6604">
        <w:trPr>
          <w:trHeight w:val="232"/>
        </w:trPr>
        <w:tc>
          <w:tcPr>
            <w:tcW w:w="7880" w:type="dxa"/>
            <w:gridSpan w:val="2"/>
            <w:tcBorders>
              <w:top w:val="nil"/>
              <w:left w:val="nil"/>
              <w:bottom w:val="nil"/>
              <w:right w:val="nil"/>
            </w:tcBorders>
            <w:shd w:val="clear" w:color="auto" w:fill="auto"/>
            <w:tcMar>
              <w:top w:w="15" w:type="dxa"/>
              <w:left w:w="15" w:type="dxa"/>
              <w:right w:w="15" w:type="dxa"/>
            </w:tcMar>
            <w:vAlign w:val="bottom"/>
          </w:tcPr>
          <w:p w:rsidR="00AD6604" w:rsidRDefault="00F5422D">
            <w:pPr>
              <w:spacing w:line="200" w:lineRule="exact"/>
              <w:rPr>
                <w:rFonts w:ascii="Arial" w:hAnsi="Arial" w:cs="Arial" w:hint="default"/>
                <w:color w:val="000000"/>
                <w:sz w:val="22"/>
                <w:szCs w:val="22"/>
              </w:rPr>
            </w:pPr>
            <w:r>
              <w:rPr>
                <w:rFonts w:cs="宋体"/>
                <w:sz w:val="20"/>
                <w:szCs w:val="20"/>
              </w:rPr>
              <w:t>单位：</w:t>
            </w:r>
            <w:r>
              <w:rPr>
                <w:sz w:val="20"/>
              </w:rPr>
              <w:t>垫江县建设工程施工安全管理站</w:t>
            </w:r>
          </w:p>
        </w:tc>
        <w:tc>
          <w:tcPr>
            <w:tcW w:w="4059"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ascii="Arial" w:hAnsi="Arial" w:cs="Arial" w:hint="default"/>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rsidR="00AD6604" w:rsidRDefault="00F5422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6604">
        <w:trPr>
          <w:trHeight w:val="243"/>
        </w:trPr>
        <w:tc>
          <w:tcPr>
            <w:tcW w:w="7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911"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330.92</w:t>
            </w: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0.76</w:t>
            </w: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71" w:type="dxa"/>
            <w:tcBorders>
              <w:top w:val="nil"/>
              <w:left w:val="nil"/>
              <w:bottom w:val="nil"/>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68.08</w:t>
            </w: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10.12</w:t>
            </w: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239.82</w:t>
            </w: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90"/>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12.15</w:t>
            </w: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jc w:val="center"/>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40" w:lineRule="exact"/>
              <w:rPr>
                <w:rFonts w:cs="宋体" w:hint="default"/>
                <w:b/>
                <w:bCs/>
                <w:color w:val="000000"/>
                <w:sz w:val="20"/>
                <w:szCs w:val="20"/>
              </w:rPr>
            </w:pP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wordWrap w:val="0"/>
              <w:spacing w:line="200" w:lineRule="exact"/>
              <w:jc w:val="right"/>
              <w:textAlignment w:val="center"/>
              <w:rPr>
                <w:rFonts w:ascii="Times New Roman" w:hAnsi="Times New Roman" w:hint="default"/>
                <w:color w:val="000000"/>
                <w:sz w:val="20"/>
                <w:szCs w:val="20"/>
              </w:rPr>
            </w:pP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330.92</w:t>
            </w: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330.92</w:t>
            </w: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4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52"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6604">
        <w:trPr>
          <w:trHeight w:val="253"/>
        </w:trPr>
        <w:tc>
          <w:tcPr>
            <w:tcW w:w="430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330.92</w:t>
            </w:r>
            <w:r>
              <w:rPr>
                <w:rFonts w:ascii="Times New Roman" w:hAnsi="Times New Roman"/>
                <w:color w:val="000000"/>
                <w:sz w:val="20"/>
              </w:rPr>
              <w:t xml:space="preserve"> </w:t>
            </w:r>
          </w:p>
        </w:tc>
        <w:tc>
          <w:tcPr>
            <w:tcW w:w="4059"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AD6604" w:rsidRDefault="00F5422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330.92</w:t>
            </w:r>
            <w:r>
              <w:rPr>
                <w:rFonts w:ascii="Times New Roman" w:hAnsi="Times New Roman"/>
                <w:color w:val="000000"/>
                <w:sz w:val="20"/>
              </w:rPr>
              <w:t xml:space="preserve"> </w:t>
            </w:r>
          </w:p>
        </w:tc>
      </w:tr>
    </w:tbl>
    <w:p w:rsidR="00AD6604" w:rsidRDefault="00AD6604">
      <w:pPr>
        <w:rPr>
          <w:rFonts w:cs="宋体" w:hint="default"/>
          <w:sz w:val="21"/>
          <w:szCs w:val="21"/>
        </w:rPr>
      </w:pPr>
    </w:p>
    <w:p w:rsidR="00AD6604" w:rsidRDefault="00F5422D">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5559" w:type="dxa"/>
        <w:tblLayout w:type="fixed"/>
        <w:tblCellMar>
          <w:left w:w="0" w:type="dxa"/>
          <w:right w:w="0" w:type="dxa"/>
        </w:tblCellMar>
        <w:tblLook w:val="04A0" w:firstRow="1" w:lastRow="0" w:firstColumn="1" w:lastColumn="0" w:noHBand="0" w:noVBand="1"/>
      </w:tblPr>
      <w:tblGrid>
        <w:gridCol w:w="1637"/>
        <w:gridCol w:w="3089"/>
        <w:gridCol w:w="1316"/>
        <w:gridCol w:w="1376"/>
        <w:gridCol w:w="1257"/>
        <w:gridCol w:w="1257"/>
        <w:gridCol w:w="1329"/>
        <w:gridCol w:w="1267"/>
        <w:gridCol w:w="1401"/>
        <w:gridCol w:w="1630"/>
      </w:tblGrid>
      <w:tr w:rsidR="00AD6604">
        <w:trPr>
          <w:trHeight w:val="641"/>
        </w:trPr>
        <w:tc>
          <w:tcPr>
            <w:tcW w:w="15559" w:type="dxa"/>
            <w:gridSpan w:val="10"/>
            <w:tcBorders>
              <w:top w:val="nil"/>
              <w:left w:val="nil"/>
              <w:bottom w:val="nil"/>
              <w:right w:val="nil"/>
            </w:tcBorders>
            <w:shd w:val="clear" w:color="auto" w:fill="auto"/>
            <w:tcMar>
              <w:top w:w="15" w:type="dxa"/>
              <w:left w:w="15" w:type="dxa"/>
              <w:right w:w="15" w:type="dxa"/>
            </w:tcMar>
            <w:vAlign w:val="bottom"/>
          </w:tcPr>
          <w:p w:rsidR="00AD6604" w:rsidRDefault="00F5422D">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AD6604">
        <w:trPr>
          <w:trHeight w:val="328"/>
        </w:trPr>
        <w:tc>
          <w:tcPr>
            <w:tcW w:w="6042" w:type="dxa"/>
            <w:gridSpan w:val="3"/>
            <w:vMerge w:val="restart"/>
            <w:tcBorders>
              <w:top w:val="nil"/>
              <w:left w:val="nil"/>
              <w:right w:val="nil"/>
            </w:tcBorders>
            <w:shd w:val="clear" w:color="auto" w:fill="auto"/>
            <w:tcMar>
              <w:top w:w="15" w:type="dxa"/>
              <w:left w:w="15" w:type="dxa"/>
              <w:right w:w="15" w:type="dxa"/>
            </w:tcMar>
            <w:vAlign w:val="bottom"/>
          </w:tcPr>
          <w:p w:rsidR="00AD6604" w:rsidRDefault="00F5422D">
            <w:pPr>
              <w:rPr>
                <w:rFonts w:cs="宋体" w:hint="default"/>
                <w:color w:val="000000"/>
                <w:sz w:val="20"/>
                <w:szCs w:val="20"/>
              </w:rPr>
            </w:pPr>
            <w:r>
              <w:rPr>
                <w:rFonts w:cs="宋体"/>
                <w:sz w:val="20"/>
                <w:szCs w:val="20"/>
              </w:rPr>
              <w:t>单位：</w:t>
            </w:r>
            <w:r>
              <w:rPr>
                <w:sz w:val="20"/>
              </w:rPr>
              <w:t>垫江县建设工程施工安全管理站</w:t>
            </w:r>
          </w:p>
        </w:tc>
        <w:tc>
          <w:tcPr>
            <w:tcW w:w="1376"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rsidR="00AD6604" w:rsidRDefault="00F5422D">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AD6604">
        <w:trPr>
          <w:trHeight w:val="328"/>
        </w:trPr>
        <w:tc>
          <w:tcPr>
            <w:tcW w:w="6042" w:type="dxa"/>
            <w:gridSpan w:val="3"/>
            <w:vMerge/>
            <w:tcBorders>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rsidR="00AD6604" w:rsidRDefault="00F5422D">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6604">
        <w:trPr>
          <w:trHeight w:val="431"/>
        </w:trPr>
        <w:tc>
          <w:tcPr>
            <w:tcW w:w="4726" w:type="dxa"/>
            <w:gridSpan w:val="2"/>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bottom"/>
          </w:tcPr>
          <w:p w:rsidR="00AD6604" w:rsidRDefault="00F5422D">
            <w:pPr>
              <w:jc w:val="center"/>
              <w:textAlignment w:val="bottom"/>
              <w:rPr>
                <w:rFonts w:cs="宋体" w:hint="default"/>
                <w:b/>
                <w:color w:val="000000"/>
                <w:sz w:val="20"/>
                <w:szCs w:val="20"/>
              </w:rPr>
            </w:pPr>
            <w:r>
              <w:rPr>
                <w:rFonts w:cs="宋体"/>
                <w:b/>
                <w:color w:val="000000"/>
                <w:sz w:val="20"/>
                <w:szCs w:val="20"/>
              </w:rPr>
              <w:t>项目</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本年收入合计</w:t>
            </w:r>
          </w:p>
        </w:tc>
        <w:tc>
          <w:tcPr>
            <w:tcW w:w="137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财政拨款收入</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上级补助收入</w:t>
            </w:r>
          </w:p>
        </w:tc>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F5422D">
            <w:pPr>
              <w:jc w:val="center"/>
              <w:textAlignment w:val="bottom"/>
              <w:rPr>
                <w:rFonts w:cs="宋体" w:hint="default"/>
                <w:b/>
                <w:color w:val="000000"/>
                <w:sz w:val="20"/>
                <w:szCs w:val="20"/>
              </w:rPr>
            </w:pPr>
            <w:r>
              <w:rPr>
                <w:rFonts w:cs="宋体"/>
                <w:b/>
                <w:color w:val="000000"/>
                <w:sz w:val="20"/>
                <w:szCs w:val="20"/>
              </w:rPr>
              <w:t>事业收入</w:t>
            </w:r>
          </w:p>
        </w:tc>
        <w:tc>
          <w:tcPr>
            <w:tcW w:w="12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经营收入</w:t>
            </w:r>
          </w:p>
        </w:tc>
        <w:tc>
          <w:tcPr>
            <w:tcW w:w="14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附属单位上缴收入</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其他收入</w:t>
            </w:r>
          </w:p>
        </w:tc>
      </w:tr>
      <w:tr w:rsidR="00AD6604">
        <w:trPr>
          <w:trHeight w:val="334"/>
        </w:trPr>
        <w:tc>
          <w:tcPr>
            <w:tcW w:w="163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sz="4" w:space="0" w:color="000000"/>
              <w:right w:val="nil"/>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小计</w:t>
            </w:r>
          </w:p>
        </w:tc>
        <w:tc>
          <w:tcPr>
            <w:tcW w:w="132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其中：教育收费</w:t>
            </w:r>
          </w:p>
        </w:tc>
        <w:tc>
          <w:tcPr>
            <w:tcW w:w="12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334"/>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089" w:type="dxa"/>
            <w:vMerge/>
            <w:tcBorders>
              <w:top w:val="nil"/>
              <w:left w:val="nil"/>
              <w:bottom w:val="single" w:sz="4" w:space="0" w:color="000000"/>
              <w:right w:val="nil"/>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3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2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334"/>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089" w:type="dxa"/>
            <w:vMerge/>
            <w:tcBorders>
              <w:top w:val="nil"/>
              <w:left w:val="nil"/>
              <w:bottom w:val="single" w:sz="4" w:space="0" w:color="000000"/>
              <w:right w:val="nil"/>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3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2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334"/>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089" w:type="dxa"/>
            <w:vMerge/>
            <w:tcBorders>
              <w:top w:val="nil"/>
              <w:left w:val="nil"/>
              <w:bottom w:val="single" w:sz="4" w:space="0" w:color="000000"/>
              <w:right w:val="nil"/>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3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2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338"/>
        </w:trPr>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合计</w:t>
            </w:r>
          </w:p>
        </w:tc>
        <w:tc>
          <w:tcPr>
            <w:tcW w:w="131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330.92</w:t>
            </w:r>
            <w:r>
              <w:rPr>
                <w:rFonts w:ascii="Times New Roman" w:hAnsi="Times New Roman"/>
                <w:b/>
                <w:color w:val="000000"/>
                <w:sz w:val="20"/>
              </w:rPr>
              <w:t xml:space="preserve"> </w:t>
            </w:r>
          </w:p>
        </w:tc>
        <w:tc>
          <w:tcPr>
            <w:tcW w:w="13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330.92</w:t>
            </w:r>
            <w:r>
              <w:rPr>
                <w:rFonts w:ascii="Times New Roman" w:hAnsi="Times New Roman"/>
                <w:b/>
                <w:color w:val="000000"/>
                <w:sz w:val="20"/>
              </w:rPr>
              <w:t xml:space="preserve"> </w:t>
            </w:r>
          </w:p>
        </w:tc>
        <w:tc>
          <w:tcPr>
            <w:tcW w:w="12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205</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教育支出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0.76</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0.76</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20508</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进修及培训</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0.76</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0.76</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2050803</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培训支出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0.76</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0.76</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208</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社会保障和就业支出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68.08</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68.08</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20805</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行政事业单位养老支出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68.08</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68.08</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2080505</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机关事业单位基本养老保险缴费支出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39.75</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39.75</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2080506</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机关事业单位职业年金缴费支出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25.53</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25.53</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2080599</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其他行政事业单位养老支出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210</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卫生健康支出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21011</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行政事业单位医疗</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2101102</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事业单位医疗</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10.12</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10.12</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212</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城乡社区支出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239.82</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239.82</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21201</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城乡社区管理事务</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239.82</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239.82</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2120199</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其他城乡社区管理事务支出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239.82</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239.82</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221</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住房保障支出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12.15</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12.15</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22102</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住房改革支出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12.15</w:t>
            </w:r>
            <w:r>
              <w:rPr>
                <w:rFonts w:ascii="Times New Roman" w:hAnsi="Times New Roman"/>
                <w:b/>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12.15</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2210201</w:t>
            </w:r>
          </w:p>
        </w:tc>
        <w:tc>
          <w:tcPr>
            <w:tcW w:w="30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住房公积金</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12.15</w:t>
            </w:r>
            <w:r>
              <w:rPr>
                <w:rFonts w:ascii="Times New Roman" w:hAnsi="Times New Roman"/>
                <w:color w:val="000000"/>
                <w:sz w:val="20"/>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12.15</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D6604" w:rsidRDefault="00F5422D">
      <w:pPr>
        <w:ind w:left="600" w:hangingChars="300" w:hanging="600"/>
        <w:rPr>
          <w:rFonts w:cs="宋体" w:hint="default"/>
          <w:sz w:val="20"/>
          <w:szCs w:val="20"/>
        </w:rPr>
      </w:pPr>
      <w:r>
        <w:rPr>
          <w:rFonts w:cs="宋体"/>
          <w:sz w:val="20"/>
          <w:szCs w:val="20"/>
        </w:rPr>
        <w:lastRenderedPageBreak/>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AD6604" w:rsidRDefault="00F5422D">
      <w:pPr>
        <w:rPr>
          <w:rFonts w:cs="宋体" w:hint="default"/>
          <w:sz w:val="20"/>
          <w:szCs w:val="20"/>
        </w:rPr>
      </w:pPr>
      <w:r>
        <w:rPr>
          <w:rFonts w:cs="宋体"/>
          <w:sz w:val="20"/>
          <w:szCs w:val="20"/>
        </w:rPr>
        <w:br w:type="page"/>
      </w:r>
    </w:p>
    <w:tbl>
      <w:tblPr>
        <w:tblW w:w="15378" w:type="dxa"/>
        <w:tblLayout w:type="fixed"/>
        <w:tblCellMar>
          <w:left w:w="0" w:type="dxa"/>
          <w:right w:w="0" w:type="dxa"/>
        </w:tblCellMar>
        <w:tblLook w:val="04A0" w:firstRow="1" w:lastRow="0" w:firstColumn="1" w:lastColumn="0" w:noHBand="0" w:noVBand="1"/>
      </w:tblPr>
      <w:tblGrid>
        <w:gridCol w:w="1637"/>
        <w:gridCol w:w="3543"/>
        <w:gridCol w:w="1652"/>
        <w:gridCol w:w="1701"/>
        <w:gridCol w:w="1634"/>
        <w:gridCol w:w="1566"/>
        <w:gridCol w:w="1701"/>
        <w:gridCol w:w="1944"/>
      </w:tblGrid>
      <w:tr w:rsidR="00AD6604">
        <w:trPr>
          <w:trHeight w:val="654"/>
        </w:trPr>
        <w:tc>
          <w:tcPr>
            <w:tcW w:w="15378" w:type="dxa"/>
            <w:gridSpan w:val="8"/>
            <w:tcBorders>
              <w:top w:val="nil"/>
              <w:left w:val="nil"/>
              <w:bottom w:val="nil"/>
              <w:right w:val="nil"/>
            </w:tcBorders>
            <w:shd w:val="clear" w:color="auto" w:fill="auto"/>
            <w:tcMar>
              <w:top w:w="15" w:type="dxa"/>
              <w:left w:w="15" w:type="dxa"/>
              <w:right w:w="15" w:type="dxa"/>
            </w:tcMar>
            <w:vAlign w:val="bottom"/>
          </w:tcPr>
          <w:p w:rsidR="00AD6604" w:rsidRDefault="00F5422D">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AD6604">
        <w:trPr>
          <w:trHeight w:val="342"/>
        </w:trPr>
        <w:tc>
          <w:tcPr>
            <w:tcW w:w="6832" w:type="dxa"/>
            <w:gridSpan w:val="3"/>
            <w:vMerge w:val="restart"/>
            <w:tcBorders>
              <w:top w:val="nil"/>
              <w:left w:val="nil"/>
              <w:right w:val="nil"/>
            </w:tcBorders>
            <w:shd w:val="clear" w:color="auto" w:fill="auto"/>
            <w:tcMar>
              <w:top w:w="15" w:type="dxa"/>
              <w:left w:w="15" w:type="dxa"/>
              <w:right w:w="15" w:type="dxa"/>
            </w:tcMar>
            <w:vAlign w:val="bottom"/>
          </w:tcPr>
          <w:p w:rsidR="00AD6604" w:rsidRDefault="00F5422D">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垫江县建设工程施工安全管理站 </w:t>
            </w:r>
          </w:p>
        </w:tc>
        <w:tc>
          <w:tcPr>
            <w:tcW w:w="1701"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rsidR="00AD6604" w:rsidRDefault="00F5422D">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AD6604">
        <w:trPr>
          <w:trHeight w:val="342"/>
        </w:trPr>
        <w:tc>
          <w:tcPr>
            <w:tcW w:w="6832" w:type="dxa"/>
            <w:gridSpan w:val="3"/>
            <w:vMerge/>
            <w:tcBorders>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rsidR="00AD6604" w:rsidRDefault="00F5422D">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6604">
        <w:trPr>
          <w:trHeight w:val="362"/>
        </w:trPr>
        <w:tc>
          <w:tcPr>
            <w:tcW w:w="51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F5422D">
            <w:pPr>
              <w:jc w:val="center"/>
              <w:textAlignment w:val="bottom"/>
              <w:rPr>
                <w:rFonts w:cs="宋体" w:hint="default"/>
                <w:b/>
                <w:color w:val="000000"/>
                <w:sz w:val="20"/>
                <w:szCs w:val="20"/>
              </w:rPr>
            </w:pPr>
            <w:r>
              <w:rPr>
                <w:rFonts w:cs="宋体"/>
                <w:b/>
                <w:color w:val="000000"/>
                <w:sz w:val="20"/>
                <w:szCs w:val="20"/>
              </w:rPr>
              <w:t>项目</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本年支出合计</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基本支出</w:t>
            </w:r>
          </w:p>
        </w:tc>
        <w:tc>
          <w:tcPr>
            <w:tcW w:w="163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项目支出</w:t>
            </w:r>
          </w:p>
        </w:tc>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上缴上级支出</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经营支出</w:t>
            </w: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对附属单位补助支出</w:t>
            </w:r>
          </w:p>
        </w:tc>
      </w:tr>
      <w:tr w:rsidR="00AD6604">
        <w:trPr>
          <w:trHeight w:val="338"/>
        </w:trPr>
        <w:tc>
          <w:tcPr>
            <w:tcW w:w="163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sz="4" w:space="0" w:color="000000"/>
              <w:right w:val="nil"/>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338"/>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543" w:type="dxa"/>
            <w:vMerge/>
            <w:tcBorders>
              <w:top w:val="nil"/>
              <w:left w:val="nil"/>
              <w:bottom w:val="single" w:sz="4" w:space="0" w:color="000000"/>
              <w:right w:val="nil"/>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338"/>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543" w:type="dxa"/>
            <w:vMerge/>
            <w:tcBorders>
              <w:top w:val="nil"/>
              <w:left w:val="nil"/>
              <w:bottom w:val="single" w:sz="4" w:space="0" w:color="000000"/>
              <w:right w:val="nil"/>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338"/>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543" w:type="dxa"/>
            <w:vMerge/>
            <w:tcBorders>
              <w:top w:val="nil"/>
              <w:left w:val="nil"/>
              <w:bottom w:val="single" w:sz="4" w:space="0" w:color="000000"/>
              <w:right w:val="nil"/>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362"/>
        </w:trPr>
        <w:tc>
          <w:tcPr>
            <w:tcW w:w="51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合计</w:t>
            </w:r>
          </w:p>
        </w:tc>
        <w:tc>
          <w:tcPr>
            <w:tcW w:w="165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330.92</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310.92</w:t>
            </w:r>
            <w:r>
              <w:rPr>
                <w:rFonts w:ascii="Times New Roman" w:hAnsi="Times New Roman"/>
                <w:b/>
                <w:color w:val="000000"/>
                <w:sz w:val="20"/>
              </w:rPr>
              <w:t xml:space="preserve"> </w:t>
            </w:r>
          </w:p>
        </w:tc>
        <w:tc>
          <w:tcPr>
            <w:tcW w:w="16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20.00</w:t>
            </w:r>
            <w:r>
              <w:rPr>
                <w:rFonts w:ascii="Times New Roman" w:hAnsi="Times New Roman"/>
                <w:b/>
                <w:color w:val="000000"/>
                <w:sz w:val="20"/>
              </w:rPr>
              <w:t xml:space="preserve"> </w:t>
            </w:r>
          </w:p>
        </w:tc>
        <w:tc>
          <w:tcPr>
            <w:tcW w:w="156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205</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教育支出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0.76</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0.76</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20508</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进修及培训</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0.76</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0.76</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2050803</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培训支出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0.76</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0.76</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208</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社会保障和就业支出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68.08</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68.08</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20805</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行政事业单位养老支出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68.08</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68.08</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2080505</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机关事业单位基本养老保险缴费支出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39.75</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39.75</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2080506</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机关事业单位职业年金缴费支出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25.53</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25.53</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2080599</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其他行政事业单位养老支出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210</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卫生健康支出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21011</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行政事业单位医疗</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2101102</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事业单位医疗</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10.12</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10.12</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212</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城乡社区支出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239.82</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219.82</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21201</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城乡社区管理事务</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239.82</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219.82</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2120199</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其他城乡社区管理事务支出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239.82</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219.82</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221</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住房保障支出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12.15</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12.15</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22102</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住房改革支出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12.15</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12.15</w:t>
            </w:r>
            <w:r>
              <w:rPr>
                <w:rFonts w:ascii="Times New Roman" w:hAnsi="Times New Roman"/>
                <w:b/>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2210201</w:t>
            </w:r>
          </w:p>
        </w:tc>
        <w:tc>
          <w:tcPr>
            <w:tcW w:w="3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住房公积金</w:t>
            </w:r>
          </w:p>
        </w:tc>
        <w:tc>
          <w:tcPr>
            <w:tcW w:w="16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12.15</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12.15</w:t>
            </w:r>
            <w:r>
              <w:rPr>
                <w:rFonts w:ascii="Times New Roman" w:hAnsi="Times New Roman"/>
                <w:color w:val="000000"/>
                <w:sz w:val="20"/>
              </w:rPr>
              <w:t xml:space="preserve"> </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D6604" w:rsidRDefault="00F5422D">
      <w:pPr>
        <w:rPr>
          <w:rFonts w:cs="宋体" w:hint="default"/>
          <w:sz w:val="20"/>
          <w:szCs w:val="20"/>
        </w:rPr>
      </w:pPr>
      <w:r>
        <w:rPr>
          <w:rFonts w:cs="宋体"/>
          <w:sz w:val="20"/>
          <w:szCs w:val="20"/>
        </w:rPr>
        <w:lastRenderedPageBreak/>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D6604" w:rsidRDefault="00F5422D">
      <w:pPr>
        <w:rPr>
          <w:rFonts w:cs="宋体" w:hint="default"/>
          <w:sz w:val="21"/>
          <w:szCs w:val="21"/>
        </w:rPr>
      </w:pPr>
      <w:r>
        <w:rPr>
          <w:rFonts w:cs="宋体"/>
          <w:sz w:val="21"/>
          <w:szCs w:val="21"/>
        </w:rPr>
        <w:br w:type="page"/>
      </w:r>
    </w:p>
    <w:p w:rsidR="00AD6604" w:rsidRDefault="00AD6604">
      <w:pPr>
        <w:rPr>
          <w:rFonts w:cs="宋体" w:hint="default"/>
          <w:sz w:val="21"/>
          <w:szCs w:val="21"/>
        </w:rPr>
      </w:pPr>
    </w:p>
    <w:tbl>
      <w:tblPr>
        <w:tblW w:w="14732" w:type="dxa"/>
        <w:tblLayout w:type="fixed"/>
        <w:tblCellMar>
          <w:left w:w="0" w:type="dxa"/>
          <w:right w:w="0" w:type="dxa"/>
        </w:tblCellMar>
        <w:tblLook w:val="04A0" w:firstRow="1" w:lastRow="0" w:firstColumn="1" w:lastColumn="0" w:noHBand="0" w:noVBand="1"/>
      </w:tblPr>
      <w:tblGrid>
        <w:gridCol w:w="2979"/>
        <w:gridCol w:w="1526"/>
        <w:gridCol w:w="3191"/>
        <w:gridCol w:w="1700"/>
        <w:gridCol w:w="1700"/>
        <w:gridCol w:w="1700"/>
        <w:gridCol w:w="1936"/>
      </w:tblGrid>
      <w:tr w:rsidR="00AD6604">
        <w:trPr>
          <w:trHeight w:val="90"/>
        </w:trPr>
        <w:tc>
          <w:tcPr>
            <w:tcW w:w="14732" w:type="dxa"/>
            <w:gridSpan w:val="7"/>
            <w:tcBorders>
              <w:top w:val="nil"/>
              <w:left w:val="nil"/>
              <w:bottom w:val="nil"/>
              <w:right w:val="nil"/>
            </w:tcBorders>
            <w:shd w:val="clear" w:color="auto" w:fill="auto"/>
            <w:tcMar>
              <w:top w:w="15" w:type="dxa"/>
              <w:left w:w="15" w:type="dxa"/>
              <w:right w:w="15" w:type="dxa"/>
            </w:tcMar>
            <w:vAlign w:val="bottom"/>
          </w:tcPr>
          <w:p w:rsidR="00AD6604" w:rsidRDefault="00F5422D">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AD6604">
        <w:trPr>
          <w:trHeight w:val="90"/>
        </w:trPr>
        <w:tc>
          <w:tcPr>
            <w:tcW w:w="7696" w:type="dxa"/>
            <w:gridSpan w:val="3"/>
            <w:vMerge w:val="restart"/>
            <w:tcBorders>
              <w:top w:val="nil"/>
              <w:left w:val="nil"/>
              <w:right w:val="nil"/>
            </w:tcBorders>
            <w:shd w:val="clear" w:color="auto" w:fill="auto"/>
            <w:tcMar>
              <w:top w:w="15" w:type="dxa"/>
              <w:left w:w="15" w:type="dxa"/>
              <w:right w:w="15" w:type="dxa"/>
            </w:tcMar>
            <w:vAlign w:val="bottom"/>
          </w:tcPr>
          <w:p w:rsidR="00AD6604" w:rsidRDefault="00F5422D">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垫江县建设工程施工安全管理站</w:t>
            </w:r>
          </w:p>
        </w:tc>
        <w:tc>
          <w:tcPr>
            <w:tcW w:w="1700"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rsidR="00AD6604" w:rsidRDefault="00F5422D">
            <w:pPr>
              <w:spacing w:line="24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AD6604">
        <w:trPr>
          <w:trHeight w:val="90"/>
        </w:trPr>
        <w:tc>
          <w:tcPr>
            <w:tcW w:w="7696" w:type="dxa"/>
            <w:gridSpan w:val="3"/>
            <w:vMerge/>
            <w:tcBorders>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rsidR="00AD6604" w:rsidRDefault="00F5422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6604">
        <w:trPr>
          <w:trHeight w:val="90"/>
        </w:trPr>
        <w:tc>
          <w:tcPr>
            <w:tcW w:w="45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1022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AD6604">
        <w:trPr>
          <w:trHeight w:val="90"/>
        </w:trPr>
        <w:tc>
          <w:tcPr>
            <w:tcW w:w="29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36"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AD6604">
        <w:trPr>
          <w:trHeight w:val="90"/>
        </w:trPr>
        <w:tc>
          <w:tcPr>
            <w:tcW w:w="29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center"/>
              <w:rPr>
                <w:rFonts w:cs="宋体" w:hint="default"/>
                <w:b/>
                <w:color w:val="000000"/>
                <w:sz w:val="18"/>
                <w:szCs w:val="18"/>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center"/>
              <w:rPr>
                <w:rFonts w:cs="宋体" w:hint="default"/>
                <w:b/>
                <w:color w:val="000000"/>
                <w:sz w:val="18"/>
                <w:szCs w:val="18"/>
              </w:rPr>
            </w:pPr>
          </w:p>
        </w:tc>
        <w:tc>
          <w:tcPr>
            <w:tcW w:w="3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330.92</w:t>
            </w: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0.76</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0.76</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68.08</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68.08</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10.12</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10.12</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239.82</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239.82</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12.15</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12.15</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cs="宋体" w:hint="default"/>
                <w:b/>
                <w:bCs/>
                <w:color w:val="000000"/>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330.92</w:t>
            </w: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330.92</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330.92</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ascii="Times New Roman" w:hAnsi="Times New Roman" w:hint="default"/>
                <w:color w:val="000000"/>
                <w:sz w:val="18"/>
                <w:szCs w:val="18"/>
              </w:rPr>
            </w:pP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center"/>
              <w:rPr>
                <w:rFonts w:cs="宋体" w:hint="default"/>
                <w:b/>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r>
      <w:tr w:rsidR="00AD6604">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330.92</w:t>
            </w:r>
            <w:r>
              <w:rPr>
                <w:rFonts w:ascii="Times New Roman" w:hAnsi="Times New Roman"/>
                <w:color w:val="000000"/>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330.92</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330.92</w:t>
            </w:r>
            <w:r>
              <w:rPr>
                <w:rFonts w:ascii="Times New Roman" w:hAnsi="Times New Roman"/>
                <w:color w:val="000000"/>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AD6604" w:rsidRDefault="00F5422D">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78" w:type="dxa"/>
        <w:tblLayout w:type="fixed"/>
        <w:tblCellMar>
          <w:left w:w="0" w:type="dxa"/>
          <w:right w:w="0" w:type="dxa"/>
        </w:tblCellMar>
        <w:tblLook w:val="04A0" w:firstRow="1" w:lastRow="0" w:firstColumn="1" w:lastColumn="0" w:noHBand="0" w:noVBand="1"/>
      </w:tblPr>
      <w:tblGrid>
        <w:gridCol w:w="1492"/>
        <w:gridCol w:w="3909"/>
        <w:gridCol w:w="3319"/>
        <w:gridCol w:w="3312"/>
        <w:gridCol w:w="3346"/>
      </w:tblGrid>
      <w:tr w:rsidR="00AD6604">
        <w:trPr>
          <w:trHeight w:val="510"/>
        </w:trPr>
        <w:tc>
          <w:tcPr>
            <w:tcW w:w="15378" w:type="dxa"/>
            <w:gridSpan w:val="5"/>
            <w:tcBorders>
              <w:top w:val="nil"/>
              <w:left w:val="nil"/>
              <w:bottom w:val="nil"/>
              <w:right w:val="nil"/>
            </w:tcBorders>
            <w:shd w:val="clear" w:color="auto" w:fill="auto"/>
            <w:tcMar>
              <w:top w:w="15" w:type="dxa"/>
              <w:left w:w="15" w:type="dxa"/>
              <w:right w:w="15" w:type="dxa"/>
            </w:tcMar>
            <w:vAlign w:val="bottom"/>
          </w:tcPr>
          <w:p w:rsidR="00AD6604" w:rsidRDefault="00F5422D">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AD6604">
        <w:trPr>
          <w:trHeight w:val="255"/>
        </w:trPr>
        <w:tc>
          <w:tcPr>
            <w:tcW w:w="8720" w:type="dxa"/>
            <w:gridSpan w:val="3"/>
            <w:vMerge w:val="restart"/>
            <w:tcBorders>
              <w:top w:val="nil"/>
              <w:left w:val="nil"/>
              <w:right w:val="nil"/>
            </w:tcBorders>
            <w:shd w:val="clear" w:color="auto" w:fill="auto"/>
            <w:tcMar>
              <w:top w:w="15" w:type="dxa"/>
              <w:left w:w="15" w:type="dxa"/>
              <w:right w:w="15" w:type="dxa"/>
            </w:tcMar>
            <w:vAlign w:val="bottom"/>
          </w:tcPr>
          <w:p w:rsidR="00AD6604" w:rsidRDefault="00F5422D">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垫江县建设工程施工安全管理站</w:t>
            </w:r>
          </w:p>
        </w:tc>
        <w:tc>
          <w:tcPr>
            <w:tcW w:w="3312"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rsidR="00AD6604" w:rsidRDefault="00F5422D">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AD6604">
        <w:trPr>
          <w:trHeight w:val="285"/>
        </w:trPr>
        <w:tc>
          <w:tcPr>
            <w:tcW w:w="8720" w:type="dxa"/>
            <w:gridSpan w:val="3"/>
            <w:vMerge/>
            <w:tcBorders>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rsidR="00AD6604" w:rsidRDefault="00F5422D">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6604">
        <w:trPr>
          <w:trHeight w:val="308"/>
        </w:trPr>
        <w:tc>
          <w:tcPr>
            <w:tcW w:w="54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项目</w:t>
            </w:r>
          </w:p>
        </w:tc>
        <w:tc>
          <w:tcPr>
            <w:tcW w:w="997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本年支出</w:t>
            </w:r>
          </w:p>
        </w:tc>
      </w:tr>
      <w:tr w:rsidR="00AD6604">
        <w:trPr>
          <w:trHeight w:val="326"/>
        </w:trPr>
        <w:tc>
          <w:tcPr>
            <w:tcW w:w="149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合计</w:t>
            </w:r>
          </w:p>
        </w:tc>
        <w:tc>
          <w:tcPr>
            <w:tcW w:w="331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基本支出</w:t>
            </w:r>
          </w:p>
        </w:tc>
        <w:tc>
          <w:tcPr>
            <w:tcW w:w="334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项目支出</w:t>
            </w:r>
          </w:p>
        </w:tc>
      </w:tr>
      <w:tr w:rsidR="00AD6604">
        <w:trPr>
          <w:trHeight w:val="326"/>
        </w:trPr>
        <w:tc>
          <w:tcPr>
            <w:tcW w:w="14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9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31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34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615"/>
        </w:trPr>
        <w:tc>
          <w:tcPr>
            <w:tcW w:w="14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9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31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31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34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308"/>
        </w:trPr>
        <w:tc>
          <w:tcPr>
            <w:tcW w:w="5401"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合计</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330.92</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310.92</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20.00</w:t>
            </w:r>
            <w:r>
              <w:rPr>
                <w:rFonts w:ascii="Times New Roman" w:hAnsi="Times New Roman"/>
                <w:b/>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205</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教育支出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0.76</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0.76</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20508</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进修及培训</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0.76</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0.76</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2050803</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培训支出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0.76</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0.76</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208</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社会保障和就业支出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68.08</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68.08</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20805</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行政事业单位养老支出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68.08</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68.08</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2080505</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机关事业单位基本养老保险缴费支出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39.75</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39.75</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2080506</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机关事业单位职业年金缴费支出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25.53</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25.53</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2080599</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其他行政事业单位养老支出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2.80</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2.80</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210</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卫生健康支出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10.12</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10.12</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21011</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行政事业单位医疗</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10.12</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10.12</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2101102</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事业单位医疗</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10.12</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10.12</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212</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城乡社区支出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239.82</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219.82</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20.00</w:t>
            </w:r>
            <w:r>
              <w:rPr>
                <w:rFonts w:ascii="Times New Roman" w:hAnsi="Times New Roman"/>
                <w:b/>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21201</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城乡社区管理事务</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239.82</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219.82</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20.00</w:t>
            </w:r>
            <w:r>
              <w:rPr>
                <w:rFonts w:ascii="Times New Roman" w:hAnsi="Times New Roman"/>
                <w:b/>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2120199</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其他城乡社区管理事务支出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239.82</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219.82</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20.00</w:t>
            </w:r>
            <w:r>
              <w:rPr>
                <w:rFonts w:ascii="Times New Roman" w:hAnsi="Times New Roman"/>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221</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住房保障支出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12.15</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12.15</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22102</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b/>
                <w:color w:val="000000"/>
                <w:sz w:val="20"/>
                <w:szCs w:val="20"/>
              </w:rPr>
              <w:t>住房改革支出</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12.15</w:t>
            </w:r>
            <w:r>
              <w:rPr>
                <w:rFonts w:ascii="Times New Roman" w:hAnsi="Times New Roman"/>
                <w:b/>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12.15</w:t>
            </w:r>
            <w:r>
              <w:rPr>
                <w:rFonts w:ascii="Times New Roman" w:hAnsi="Times New Roman"/>
                <w:b/>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6604">
        <w:trPr>
          <w:trHeight w:val="308"/>
        </w:trPr>
        <w:tc>
          <w:tcPr>
            <w:tcW w:w="14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2210201</w:t>
            </w:r>
          </w:p>
        </w:tc>
        <w:tc>
          <w:tcPr>
            <w:tcW w:w="39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textAlignment w:val="center"/>
              <w:rPr>
                <w:rFonts w:cs="宋体" w:hint="default"/>
                <w:color w:val="000000"/>
                <w:sz w:val="20"/>
                <w:szCs w:val="20"/>
              </w:rPr>
            </w:pPr>
            <w:r>
              <w:rPr>
                <w:rFonts w:cs="宋体"/>
                <w:color w:val="000000"/>
                <w:sz w:val="20"/>
                <w:szCs w:val="20"/>
              </w:rPr>
              <w:t>住房公积金</w:t>
            </w:r>
          </w:p>
        </w:tc>
        <w:tc>
          <w:tcPr>
            <w:tcW w:w="331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12.15</w:t>
            </w:r>
            <w:r>
              <w:rPr>
                <w:rFonts w:ascii="Times New Roman" w:hAnsi="Times New Roman"/>
                <w:color w:val="000000"/>
                <w:sz w:val="20"/>
              </w:rPr>
              <w:t xml:space="preserve"> </w:t>
            </w:r>
          </w:p>
        </w:tc>
        <w:tc>
          <w:tcPr>
            <w:tcW w:w="33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12.15</w:t>
            </w:r>
            <w:r>
              <w:rPr>
                <w:rFonts w:ascii="Times New Roman" w:hAnsi="Times New Roman"/>
                <w:color w:val="000000"/>
                <w:sz w:val="20"/>
              </w:rPr>
              <w:t xml:space="preserve"> </w:t>
            </w:r>
          </w:p>
        </w:tc>
        <w:tc>
          <w:tcPr>
            <w:tcW w:w="334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D6604" w:rsidRDefault="00F5422D">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D6604" w:rsidRDefault="00F5422D">
      <w:pPr>
        <w:ind w:firstLineChars="300" w:firstLine="630"/>
        <w:rPr>
          <w:rFonts w:cs="宋体" w:hint="default"/>
          <w:sz w:val="21"/>
          <w:szCs w:val="21"/>
        </w:rPr>
      </w:pPr>
      <w:r>
        <w:rPr>
          <w:rFonts w:cs="宋体"/>
          <w:sz w:val="21"/>
          <w:szCs w:val="21"/>
        </w:rPr>
        <w:br w:type="page"/>
      </w:r>
    </w:p>
    <w:tbl>
      <w:tblPr>
        <w:tblW w:w="15360" w:type="dxa"/>
        <w:tblLayout w:type="fixed"/>
        <w:tblCellMar>
          <w:left w:w="0" w:type="dxa"/>
          <w:right w:w="0" w:type="dxa"/>
        </w:tblCellMar>
        <w:tblLook w:val="04A0" w:firstRow="1" w:lastRow="0" w:firstColumn="1" w:lastColumn="0" w:noHBand="0" w:noVBand="1"/>
      </w:tblPr>
      <w:tblGrid>
        <w:gridCol w:w="605"/>
        <w:gridCol w:w="2740"/>
        <w:gridCol w:w="1376"/>
        <w:gridCol w:w="836"/>
        <w:gridCol w:w="1923"/>
        <w:gridCol w:w="1656"/>
        <w:gridCol w:w="808"/>
        <w:gridCol w:w="3527"/>
        <w:gridCol w:w="1889"/>
      </w:tblGrid>
      <w:tr w:rsidR="00AD6604">
        <w:trPr>
          <w:trHeight w:val="90"/>
        </w:trPr>
        <w:tc>
          <w:tcPr>
            <w:tcW w:w="15360" w:type="dxa"/>
            <w:gridSpan w:val="9"/>
            <w:tcBorders>
              <w:top w:val="nil"/>
              <w:left w:val="nil"/>
              <w:bottom w:val="nil"/>
              <w:right w:val="nil"/>
            </w:tcBorders>
            <w:shd w:val="clear" w:color="auto" w:fill="auto"/>
            <w:tcMar>
              <w:top w:w="15" w:type="dxa"/>
              <w:left w:w="15" w:type="dxa"/>
              <w:right w:w="15" w:type="dxa"/>
            </w:tcMar>
            <w:vAlign w:val="bottom"/>
          </w:tcPr>
          <w:p w:rsidR="00AD6604" w:rsidRDefault="00F5422D">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AD6604">
        <w:trPr>
          <w:trHeight w:val="90"/>
        </w:trPr>
        <w:tc>
          <w:tcPr>
            <w:tcW w:w="7480" w:type="dxa"/>
            <w:gridSpan w:val="5"/>
            <w:vMerge w:val="restart"/>
            <w:tcBorders>
              <w:top w:val="nil"/>
              <w:left w:val="nil"/>
              <w:right w:val="nil"/>
            </w:tcBorders>
            <w:shd w:val="clear" w:color="auto" w:fill="auto"/>
            <w:tcMar>
              <w:top w:w="15" w:type="dxa"/>
              <w:left w:w="15" w:type="dxa"/>
              <w:right w:w="15" w:type="dxa"/>
            </w:tcMar>
            <w:vAlign w:val="bottom"/>
          </w:tcPr>
          <w:p w:rsidR="00AD6604" w:rsidRDefault="00F5422D">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垫江县建设工程施工安全管理站</w:t>
            </w:r>
          </w:p>
        </w:tc>
        <w:tc>
          <w:tcPr>
            <w:tcW w:w="1656"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rsidR="00AD6604" w:rsidRDefault="00F5422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AD6604">
        <w:trPr>
          <w:trHeight w:val="90"/>
        </w:trPr>
        <w:tc>
          <w:tcPr>
            <w:tcW w:w="7480" w:type="dxa"/>
            <w:gridSpan w:val="5"/>
            <w:vMerge/>
            <w:tcBorders>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rsidR="00AD6604" w:rsidRDefault="00F5422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6604">
        <w:trPr>
          <w:trHeight w:val="90"/>
        </w:trPr>
        <w:tc>
          <w:tcPr>
            <w:tcW w:w="472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10639" w:type="dxa"/>
            <w:gridSpan w:val="6"/>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AD6604">
        <w:trPr>
          <w:trHeight w:val="312"/>
        </w:trPr>
        <w:tc>
          <w:tcPr>
            <w:tcW w:w="6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3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0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AD6604">
        <w:trPr>
          <w:trHeight w:val="312"/>
        </w:trPr>
        <w:tc>
          <w:tcPr>
            <w:tcW w:w="6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center"/>
              <w:rPr>
                <w:rFonts w:cs="宋体" w:hint="default"/>
                <w:b/>
                <w:color w:val="000000"/>
                <w:sz w:val="18"/>
                <w:szCs w:val="18"/>
              </w:rPr>
            </w:pPr>
          </w:p>
        </w:tc>
        <w:tc>
          <w:tcPr>
            <w:tcW w:w="27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center"/>
              <w:rPr>
                <w:rFonts w:cs="宋体" w:hint="default"/>
                <w:b/>
                <w:color w:val="000000"/>
                <w:sz w:val="18"/>
                <w:szCs w:val="18"/>
              </w:rPr>
            </w:pPr>
          </w:p>
        </w:tc>
        <w:tc>
          <w:tcPr>
            <w:tcW w:w="137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center"/>
              <w:rPr>
                <w:rFonts w:cs="宋体" w:hint="default"/>
                <w:b/>
                <w:color w:val="000000"/>
                <w:sz w:val="18"/>
                <w:szCs w:val="18"/>
              </w:rPr>
            </w:pPr>
          </w:p>
        </w:tc>
        <w:tc>
          <w:tcPr>
            <w:tcW w:w="83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center"/>
              <w:rPr>
                <w:rFonts w:cs="宋体" w:hint="default"/>
                <w:b/>
                <w:color w:val="000000"/>
                <w:sz w:val="18"/>
                <w:szCs w:val="18"/>
              </w:rPr>
            </w:pPr>
          </w:p>
        </w:tc>
        <w:tc>
          <w:tcPr>
            <w:tcW w:w="192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center"/>
              <w:rPr>
                <w:rFonts w:cs="宋体" w:hint="default"/>
                <w:b/>
                <w:color w:val="000000"/>
                <w:sz w:val="18"/>
                <w:szCs w:val="18"/>
              </w:rPr>
            </w:pPr>
          </w:p>
        </w:tc>
        <w:tc>
          <w:tcPr>
            <w:tcW w:w="165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center"/>
              <w:rPr>
                <w:rFonts w:cs="宋体" w:hint="default"/>
                <w:b/>
                <w:color w:val="000000"/>
                <w:sz w:val="18"/>
                <w:szCs w:val="18"/>
              </w:rPr>
            </w:pPr>
          </w:p>
        </w:tc>
        <w:tc>
          <w:tcPr>
            <w:tcW w:w="8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center"/>
              <w:rPr>
                <w:rFonts w:cs="宋体" w:hint="default"/>
                <w:b/>
                <w:color w:val="000000"/>
                <w:sz w:val="18"/>
                <w:szCs w:val="18"/>
              </w:rPr>
            </w:pPr>
          </w:p>
        </w:tc>
        <w:tc>
          <w:tcPr>
            <w:tcW w:w="352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center"/>
              <w:rPr>
                <w:rFonts w:cs="宋体" w:hint="default"/>
                <w:b/>
                <w:color w:val="000000"/>
                <w:sz w:val="18"/>
                <w:szCs w:val="18"/>
              </w:rPr>
            </w:pPr>
          </w:p>
        </w:tc>
        <w:tc>
          <w:tcPr>
            <w:tcW w:w="188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center"/>
              <w:rPr>
                <w:rFonts w:cs="宋体" w:hint="default"/>
                <w:b/>
                <w:color w:val="000000"/>
                <w:sz w:val="18"/>
                <w:szCs w:val="18"/>
              </w:rPr>
            </w:pP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301</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278.32</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302</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29.80</w:t>
            </w: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310</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30101</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基本工资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51.07</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30201</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办公费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3.60</w:t>
            </w: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31001</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房屋建筑物购建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30102</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津贴补贴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30202</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印刷费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31002</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办公设备购置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30103</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奖金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30203</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咨询费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31003</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专用设备购置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30106</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伙食补助费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30204</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手续费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31005</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基础设施建设</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30107</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绩效工资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125.98</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30205</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水费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31006</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大型修缮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30108</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39.75</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30206</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31007</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30109</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职业年金缴费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25.53</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30207</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邮电费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4.00</w:t>
            </w: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31008</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物资储备</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30110</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10.12</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30208</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取暖费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31009</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土地补偿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30111</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30209</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物业管理费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31010</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安置补助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30112</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其他社会保障缴费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30211</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差旅费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3.62</w:t>
            </w: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31011</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30113</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住房公积金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12.15</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30212</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因公出国（境）费用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31012</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拆迁补偿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30114</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医疗费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1.92</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30213</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维修（护）费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31013</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公务用车购置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30199</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其他工资福利支出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8.92</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30214</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租赁费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31019</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其他交通工具购置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303</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2.80</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30215</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会议费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0.60</w:t>
            </w: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31021</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文物和陈列品购置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30301</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离休费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30216</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培训费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0.76</w:t>
            </w: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31022</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无形资产购置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30302</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退休费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30217</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公务接待费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w:t>
            </w: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31099</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其他资本性支出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30303</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退职（役）费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30218</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专用材料费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312</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30304</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抚恤金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30224</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被装购置费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31201</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资本金注入</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30305</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生活补助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30225</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专用燃料费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31203</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30306</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救济费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30226</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劳务费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31204</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费用补贴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30307</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医疗费补助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30227</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委托业务费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31205</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利息补贴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30308</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助学金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30228</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工会经费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w:t>
            </w: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31206</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30309</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奖励金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30229</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福利费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w:t>
            </w: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31299</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其他对企业补助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30310</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个人农业生产补贴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30231</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6.00</w:t>
            </w: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399</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30311</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代缴社会保险费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30239</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其他交通费用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39907</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国家赔偿费用支出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30399</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30240</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税金及附加费用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39908</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30299</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7.00</w:t>
            </w: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39909</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经常性赠与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307</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b/>
                <w:bCs/>
                <w:color w:val="000000"/>
                <w:sz w:val="18"/>
                <w:szCs w:val="18"/>
              </w:rPr>
            </w:pPr>
            <w:r>
              <w:rPr>
                <w:rFonts w:cs="宋体"/>
                <w:b/>
                <w:bCs/>
                <w:color w:val="000000"/>
                <w:sz w:val="18"/>
                <w:szCs w:val="18"/>
              </w:rPr>
              <w:t>债务利息及费用支出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39910</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资本性赠与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30701</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国内债务付息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39999</w:t>
            </w: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30702</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国外债务付息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r>
      <w:tr w:rsidR="00AD6604">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30703</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国内债务发行费用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r>
      <w:tr w:rsidR="00AD6604">
        <w:trPr>
          <w:trHeight w:val="155"/>
        </w:trPr>
        <w:tc>
          <w:tcPr>
            <w:tcW w:w="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AD6604">
            <w:pPr>
              <w:spacing w:line="200" w:lineRule="exact"/>
              <w:rPr>
                <w:rFonts w:cs="宋体" w:hint="default"/>
                <w:color w:val="000000"/>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30704</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textAlignment w:val="center"/>
              <w:rPr>
                <w:rFonts w:cs="宋体" w:hint="default"/>
                <w:color w:val="000000"/>
                <w:sz w:val="18"/>
                <w:szCs w:val="18"/>
              </w:rPr>
            </w:pPr>
            <w:r>
              <w:rPr>
                <w:rFonts w:cs="宋体"/>
                <w:color w:val="000000"/>
                <w:sz w:val="18"/>
                <w:szCs w:val="18"/>
              </w:rPr>
              <w:t xml:space="preserve">  国外债务发行费用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rPr>
                <w:rFonts w:cs="宋体" w:hint="default"/>
                <w:color w:val="000000"/>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spacing w:line="200" w:lineRule="exact"/>
              <w:jc w:val="right"/>
              <w:rPr>
                <w:rFonts w:ascii="Times New Roman" w:hAnsi="Times New Roman" w:hint="default"/>
                <w:color w:val="000000"/>
                <w:sz w:val="18"/>
                <w:szCs w:val="18"/>
              </w:rPr>
            </w:pPr>
          </w:p>
        </w:tc>
      </w:tr>
      <w:tr w:rsidR="00AD6604">
        <w:trPr>
          <w:trHeight w:val="310"/>
        </w:trPr>
        <w:tc>
          <w:tcPr>
            <w:tcW w:w="3345"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137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F5422D">
            <w:pPr>
              <w:wordWrap w:val="0"/>
              <w:spacing w:line="200"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281.12</w:t>
            </w:r>
            <w:r>
              <w:rPr>
                <w:rFonts w:ascii="Times New Roman" w:hAnsi="Times New Roman"/>
                <w:color w:val="000000"/>
                <w:sz w:val="18"/>
              </w:rPr>
              <w:t xml:space="preserve"> </w:t>
            </w:r>
          </w:p>
        </w:tc>
        <w:tc>
          <w:tcPr>
            <w:tcW w:w="8750"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188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29.80</w:t>
            </w:r>
            <w:r>
              <w:rPr>
                <w:rFonts w:ascii="Times New Roman" w:hAnsi="Times New Roman"/>
                <w:color w:val="000000"/>
                <w:sz w:val="18"/>
              </w:rPr>
              <w:t xml:space="preserve"> </w:t>
            </w:r>
          </w:p>
        </w:tc>
      </w:tr>
    </w:tbl>
    <w:p w:rsidR="00AD6604" w:rsidRDefault="00F5422D">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78" w:type="dxa"/>
        <w:tblLayout w:type="fixed"/>
        <w:tblCellMar>
          <w:left w:w="0" w:type="dxa"/>
          <w:right w:w="0" w:type="dxa"/>
        </w:tblCellMar>
        <w:tblLook w:val="04A0" w:firstRow="1" w:lastRow="0" w:firstColumn="1" w:lastColumn="0" w:noHBand="0" w:noVBand="1"/>
      </w:tblPr>
      <w:tblGrid>
        <w:gridCol w:w="1642"/>
        <w:gridCol w:w="3297"/>
        <w:gridCol w:w="1707"/>
        <w:gridCol w:w="1707"/>
        <w:gridCol w:w="1707"/>
        <w:gridCol w:w="1707"/>
        <w:gridCol w:w="1772"/>
        <w:gridCol w:w="1839"/>
      </w:tblGrid>
      <w:tr w:rsidR="00AD6604">
        <w:trPr>
          <w:trHeight w:val="644"/>
        </w:trPr>
        <w:tc>
          <w:tcPr>
            <w:tcW w:w="15378" w:type="dxa"/>
            <w:gridSpan w:val="8"/>
            <w:tcBorders>
              <w:top w:val="nil"/>
              <w:left w:val="nil"/>
              <w:bottom w:val="nil"/>
              <w:right w:val="nil"/>
            </w:tcBorders>
            <w:shd w:val="clear" w:color="auto" w:fill="auto"/>
            <w:tcMar>
              <w:top w:w="15" w:type="dxa"/>
              <w:left w:w="15" w:type="dxa"/>
              <w:right w:w="15" w:type="dxa"/>
            </w:tcMar>
            <w:vAlign w:val="bottom"/>
          </w:tcPr>
          <w:p w:rsidR="00AD6604" w:rsidRDefault="00F5422D">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AD6604">
        <w:trPr>
          <w:trHeight w:val="329"/>
        </w:trPr>
        <w:tc>
          <w:tcPr>
            <w:tcW w:w="6646" w:type="dxa"/>
            <w:gridSpan w:val="3"/>
            <w:vMerge w:val="restart"/>
            <w:tcBorders>
              <w:top w:val="nil"/>
              <w:left w:val="nil"/>
              <w:right w:val="nil"/>
            </w:tcBorders>
            <w:shd w:val="clear" w:color="auto" w:fill="auto"/>
            <w:tcMar>
              <w:top w:w="15" w:type="dxa"/>
              <w:left w:w="15" w:type="dxa"/>
              <w:right w:w="15" w:type="dxa"/>
            </w:tcMar>
            <w:vAlign w:val="bottom"/>
          </w:tcPr>
          <w:p w:rsidR="00AD6604" w:rsidRDefault="00F5422D">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垫江县建设工程施工安全管理站</w:t>
            </w:r>
          </w:p>
        </w:tc>
        <w:tc>
          <w:tcPr>
            <w:tcW w:w="1707"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rsidR="00AD6604" w:rsidRDefault="00F5422D">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AD6604">
        <w:trPr>
          <w:trHeight w:val="329"/>
        </w:trPr>
        <w:tc>
          <w:tcPr>
            <w:tcW w:w="6646" w:type="dxa"/>
            <w:gridSpan w:val="3"/>
            <w:vMerge/>
            <w:tcBorders>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rsidR="00AD6604" w:rsidRDefault="00F5422D">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6604">
        <w:trPr>
          <w:trHeight w:val="339"/>
        </w:trPr>
        <w:tc>
          <w:tcPr>
            <w:tcW w:w="493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项目</w:t>
            </w:r>
          </w:p>
        </w:tc>
        <w:tc>
          <w:tcPr>
            <w:tcW w:w="170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年初结转和结余</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本年收入</w:t>
            </w:r>
          </w:p>
        </w:tc>
        <w:tc>
          <w:tcPr>
            <w:tcW w:w="5186"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年末结转和结余</w:t>
            </w:r>
          </w:p>
        </w:tc>
      </w:tr>
      <w:tr w:rsidR="00AD6604">
        <w:trPr>
          <w:trHeight w:val="335"/>
        </w:trPr>
        <w:tc>
          <w:tcPr>
            <w:tcW w:w="164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功能分类科目编码</w:t>
            </w:r>
          </w:p>
        </w:tc>
        <w:tc>
          <w:tcPr>
            <w:tcW w:w="329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7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合计</w:t>
            </w:r>
          </w:p>
        </w:tc>
        <w:tc>
          <w:tcPr>
            <w:tcW w:w="17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基本支出</w:t>
            </w:r>
          </w:p>
        </w:tc>
        <w:tc>
          <w:tcPr>
            <w:tcW w:w="177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335"/>
        </w:trPr>
        <w:tc>
          <w:tcPr>
            <w:tcW w:w="16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2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7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645"/>
        </w:trPr>
        <w:tc>
          <w:tcPr>
            <w:tcW w:w="164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2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77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339"/>
        </w:trPr>
        <w:tc>
          <w:tcPr>
            <w:tcW w:w="493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合计</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D6604">
        <w:trPr>
          <w:trHeight w:val="349"/>
        </w:trPr>
        <w:tc>
          <w:tcPr>
            <w:tcW w:w="164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both"/>
              <w:textAlignment w:val="center"/>
              <w:rPr>
                <w:rFonts w:cs="宋体" w:hint="default"/>
                <w:color w:val="000000"/>
                <w:sz w:val="20"/>
                <w:szCs w:val="20"/>
              </w:rPr>
            </w:pPr>
          </w:p>
        </w:tc>
        <w:tc>
          <w:tcPr>
            <w:tcW w:w="32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both"/>
              <w:textAlignment w:val="center"/>
              <w:rPr>
                <w:rFonts w:cs="宋体" w:hint="default"/>
                <w:color w:val="000000"/>
                <w:sz w:val="20"/>
                <w:szCs w:val="20"/>
              </w:rPr>
            </w:pP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7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D6604" w:rsidRDefault="00F5422D">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AD6604" w:rsidRDefault="00F5422D">
      <w:pPr>
        <w:rPr>
          <w:rFonts w:cs="宋体" w:hint="default"/>
          <w:sz w:val="21"/>
          <w:szCs w:val="21"/>
        </w:rPr>
      </w:pPr>
      <w:r>
        <w:rPr>
          <w:rFonts w:cs="宋体"/>
          <w:sz w:val="21"/>
          <w:szCs w:val="21"/>
        </w:rPr>
        <w:br w:type="page"/>
      </w:r>
    </w:p>
    <w:tbl>
      <w:tblPr>
        <w:tblW w:w="15378" w:type="dxa"/>
        <w:tblLayout w:type="fixed"/>
        <w:tblCellMar>
          <w:left w:w="0" w:type="dxa"/>
          <w:right w:w="0" w:type="dxa"/>
        </w:tblCellMar>
        <w:tblLook w:val="04A0" w:firstRow="1" w:lastRow="0" w:firstColumn="1" w:lastColumn="0" w:noHBand="0" w:noVBand="1"/>
      </w:tblPr>
      <w:tblGrid>
        <w:gridCol w:w="2008"/>
        <w:gridCol w:w="2928"/>
        <w:gridCol w:w="3276"/>
        <w:gridCol w:w="200"/>
        <w:gridCol w:w="3475"/>
        <w:gridCol w:w="77"/>
        <w:gridCol w:w="3414"/>
      </w:tblGrid>
      <w:tr w:rsidR="00AD6604">
        <w:trPr>
          <w:trHeight w:val="650"/>
        </w:trPr>
        <w:tc>
          <w:tcPr>
            <w:tcW w:w="15378" w:type="dxa"/>
            <w:gridSpan w:val="7"/>
            <w:tcBorders>
              <w:top w:val="nil"/>
              <w:left w:val="nil"/>
              <w:bottom w:val="nil"/>
              <w:right w:val="nil"/>
            </w:tcBorders>
            <w:shd w:val="clear" w:color="auto" w:fill="auto"/>
            <w:tcMar>
              <w:top w:w="15" w:type="dxa"/>
              <w:left w:w="15" w:type="dxa"/>
              <w:right w:w="15" w:type="dxa"/>
            </w:tcMar>
            <w:vAlign w:val="bottom"/>
          </w:tcPr>
          <w:p w:rsidR="00AD6604" w:rsidRDefault="00F5422D">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AD6604">
        <w:trPr>
          <w:trHeight w:val="332"/>
        </w:trPr>
        <w:tc>
          <w:tcPr>
            <w:tcW w:w="8212" w:type="dxa"/>
            <w:gridSpan w:val="3"/>
            <w:vMerge w:val="restart"/>
            <w:tcBorders>
              <w:top w:val="nil"/>
              <w:left w:val="nil"/>
              <w:right w:val="nil"/>
            </w:tcBorders>
            <w:shd w:val="clear" w:color="auto" w:fill="auto"/>
            <w:tcMar>
              <w:top w:w="15" w:type="dxa"/>
              <w:left w:w="15" w:type="dxa"/>
              <w:right w:w="15" w:type="dxa"/>
            </w:tcMar>
            <w:vAlign w:val="bottom"/>
          </w:tcPr>
          <w:p w:rsidR="00AD6604" w:rsidRDefault="00F5422D">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垫江县建设工程施工安全管理站</w:t>
            </w:r>
          </w:p>
        </w:tc>
        <w:tc>
          <w:tcPr>
            <w:tcW w:w="3752" w:type="dxa"/>
            <w:gridSpan w:val="3"/>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rsidR="00AD6604" w:rsidRDefault="00F5422D">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AD6604">
        <w:trPr>
          <w:trHeight w:val="332"/>
        </w:trPr>
        <w:tc>
          <w:tcPr>
            <w:tcW w:w="8212" w:type="dxa"/>
            <w:gridSpan w:val="3"/>
            <w:vMerge/>
            <w:tcBorders>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rsidR="00AD6604" w:rsidRDefault="00AD6604">
            <w:pPr>
              <w:rPr>
                <w:rFonts w:cs="宋体" w:hint="default"/>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rsidR="00AD6604" w:rsidRDefault="00F5422D">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6604">
        <w:trPr>
          <w:trHeight w:val="422"/>
        </w:trPr>
        <w:tc>
          <w:tcPr>
            <w:tcW w:w="49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F5422D">
            <w:pPr>
              <w:jc w:val="center"/>
              <w:textAlignment w:val="bottom"/>
              <w:rPr>
                <w:rFonts w:cs="宋体" w:hint="default"/>
                <w:b/>
                <w:color w:val="000000"/>
                <w:sz w:val="20"/>
                <w:szCs w:val="20"/>
              </w:rPr>
            </w:pPr>
            <w:r>
              <w:rPr>
                <w:rFonts w:cs="宋体"/>
                <w:b/>
                <w:color w:val="000000"/>
                <w:sz w:val="20"/>
                <w:szCs w:val="20"/>
              </w:rPr>
              <w:t>项目</w:t>
            </w:r>
          </w:p>
        </w:tc>
        <w:tc>
          <w:tcPr>
            <w:tcW w:w="1044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AD6604" w:rsidRDefault="00F5422D">
            <w:pPr>
              <w:jc w:val="center"/>
              <w:textAlignment w:val="bottom"/>
              <w:rPr>
                <w:rFonts w:cs="宋体" w:hint="default"/>
                <w:b/>
                <w:color w:val="000000"/>
                <w:sz w:val="20"/>
                <w:szCs w:val="20"/>
              </w:rPr>
            </w:pPr>
            <w:r>
              <w:rPr>
                <w:rFonts w:cs="宋体"/>
                <w:b/>
                <w:color w:val="000000"/>
                <w:sz w:val="20"/>
                <w:szCs w:val="20"/>
              </w:rPr>
              <w:t>本年支出</w:t>
            </w:r>
          </w:p>
        </w:tc>
      </w:tr>
      <w:tr w:rsidR="00AD6604">
        <w:trPr>
          <w:trHeight w:val="339"/>
        </w:trPr>
        <w:tc>
          <w:tcPr>
            <w:tcW w:w="200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科目名称</w:t>
            </w:r>
          </w:p>
        </w:tc>
        <w:tc>
          <w:tcPr>
            <w:tcW w:w="3476"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合计</w:t>
            </w:r>
          </w:p>
        </w:tc>
        <w:tc>
          <w:tcPr>
            <w:tcW w:w="347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项目支出</w:t>
            </w:r>
          </w:p>
        </w:tc>
      </w:tr>
      <w:tr w:rsidR="00AD6604">
        <w:trPr>
          <w:trHeight w:val="339"/>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339"/>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326"/>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center"/>
              <w:rPr>
                <w:rFonts w:cs="宋体" w:hint="default"/>
                <w:b/>
                <w:color w:val="000000"/>
                <w:sz w:val="20"/>
                <w:szCs w:val="20"/>
              </w:rPr>
            </w:pPr>
          </w:p>
        </w:tc>
      </w:tr>
      <w:tr w:rsidR="00AD6604">
        <w:trPr>
          <w:trHeight w:val="611"/>
        </w:trPr>
        <w:tc>
          <w:tcPr>
            <w:tcW w:w="49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jc w:val="center"/>
              <w:textAlignment w:val="center"/>
              <w:rPr>
                <w:rFonts w:cs="宋体" w:hint="default"/>
                <w:b/>
                <w:color w:val="000000"/>
                <w:sz w:val="20"/>
                <w:szCs w:val="20"/>
              </w:rPr>
            </w:pPr>
            <w:r>
              <w:rPr>
                <w:rFonts w:cs="宋体"/>
                <w:b/>
                <w:color w:val="000000"/>
                <w:sz w:val="20"/>
                <w:szCs w:val="20"/>
              </w:rPr>
              <w:t>合计</w:t>
            </w:r>
          </w:p>
        </w:tc>
        <w:tc>
          <w:tcPr>
            <w:tcW w:w="34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right"/>
              <w:rPr>
                <w:rFonts w:ascii="Times New Roman" w:hAnsi="Times New Roman" w:hint="default"/>
                <w:b/>
                <w:color w:val="000000"/>
                <w:sz w:val="20"/>
                <w:szCs w:val="20"/>
              </w:rPr>
            </w:pPr>
          </w:p>
        </w:tc>
        <w:tc>
          <w:tcPr>
            <w:tcW w:w="3491"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D6604">
        <w:trPr>
          <w:trHeight w:val="488"/>
        </w:trPr>
        <w:tc>
          <w:tcPr>
            <w:tcW w:w="20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textAlignment w:val="center"/>
              <w:rPr>
                <w:rFonts w:cs="宋体" w:hint="default"/>
                <w:color w:val="000000"/>
                <w:sz w:val="20"/>
                <w:szCs w:val="20"/>
              </w:rPr>
            </w:pPr>
          </w:p>
        </w:tc>
        <w:tc>
          <w:tcPr>
            <w:tcW w:w="292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textAlignment w:val="center"/>
              <w:rPr>
                <w:rFonts w:cs="宋体" w:hint="default"/>
                <w:color w:val="000000"/>
                <w:sz w:val="20"/>
                <w:szCs w:val="20"/>
              </w:rPr>
            </w:pPr>
          </w:p>
        </w:tc>
        <w:tc>
          <w:tcPr>
            <w:tcW w:w="34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AD6604">
            <w:pPr>
              <w:jc w:val="right"/>
              <w:rPr>
                <w:rFonts w:ascii="Times New Roman" w:hAnsi="Times New Roman" w:hint="default"/>
                <w:b/>
                <w:color w:val="000000"/>
                <w:sz w:val="20"/>
                <w:szCs w:val="20"/>
              </w:rPr>
            </w:pPr>
          </w:p>
        </w:tc>
        <w:tc>
          <w:tcPr>
            <w:tcW w:w="3491"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6604" w:rsidRDefault="00F5422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AD6604" w:rsidRDefault="00F5422D">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AD6604" w:rsidRDefault="00F5422D">
      <w:pPr>
        <w:rPr>
          <w:rFonts w:cs="宋体" w:hint="default"/>
          <w:sz w:val="21"/>
          <w:szCs w:val="21"/>
        </w:rPr>
      </w:pPr>
      <w:r>
        <w:rPr>
          <w:rFonts w:cs="宋体" w:hint="default"/>
          <w:sz w:val="21"/>
          <w:szCs w:val="21"/>
        </w:rPr>
        <w:br w:type="page"/>
      </w:r>
    </w:p>
    <w:tbl>
      <w:tblPr>
        <w:tblW w:w="14182" w:type="dxa"/>
        <w:tblLayout w:type="fixed"/>
        <w:tblCellMar>
          <w:left w:w="170" w:type="dxa"/>
          <w:right w:w="170" w:type="dxa"/>
        </w:tblCellMar>
        <w:tblLook w:val="04A0" w:firstRow="1" w:lastRow="0" w:firstColumn="1" w:lastColumn="0" w:noHBand="0" w:noVBand="1"/>
      </w:tblPr>
      <w:tblGrid>
        <w:gridCol w:w="3190"/>
        <w:gridCol w:w="2425"/>
        <w:gridCol w:w="2384"/>
        <w:gridCol w:w="3687"/>
        <w:gridCol w:w="2496"/>
      </w:tblGrid>
      <w:tr w:rsidR="00AD6604">
        <w:trPr>
          <w:trHeight w:val="343"/>
        </w:trPr>
        <w:tc>
          <w:tcPr>
            <w:tcW w:w="14182" w:type="dxa"/>
            <w:gridSpan w:val="5"/>
            <w:shd w:val="clear" w:color="auto" w:fill="auto"/>
            <w:tcMar>
              <w:top w:w="15" w:type="dxa"/>
              <w:left w:w="15" w:type="dxa"/>
              <w:right w:w="15" w:type="dxa"/>
            </w:tcMar>
            <w:vAlign w:val="bottom"/>
          </w:tcPr>
          <w:p w:rsidR="00AD6604" w:rsidRDefault="00F5422D">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AD6604">
        <w:trPr>
          <w:trHeight w:val="244"/>
        </w:trPr>
        <w:tc>
          <w:tcPr>
            <w:tcW w:w="3190" w:type="dxa"/>
            <w:shd w:val="clear" w:color="auto" w:fill="auto"/>
            <w:tcMar>
              <w:top w:w="15" w:type="dxa"/>
              <w:left w:w="15" w:type="dxa"/>
              <w:right w:w="15" w:type="dxa"/>
            </w:tcMar>
            <w:vAlign w:val="bottom"/>
          </w:tcPr>
          <w:p w:rsidR="00AD6604" w:rsidRDefault="00AD6604">
            <w:pPr>
              <w:spacing w:line="280" w:lineRule="exact"/>
              <w:rPr>
                <w:rFonts w:cs="宋体" w:hint="default"/>
                <w:color w:val="000000"/>
                <w:kern w:val="2"/>
                <w:sz w:val="20"/>
                <w:szCs w:val="20"/>
              </w:rPr>
            </w:pPr>
          </w:p>
        </w:tc>
        <w:tc>
          <w:tcPr>
            <w:tcW w:w="2425" w:type="dxa"/>
            <w:shd w:val="clear" w:color="auto" w:fill="auto"/>
            <w:tcMar>
              <w:top w:w="15" w:type="dxa"/>
              <w:left w:w="15" w:type="dxa"/>
              <w:right w:w="15" w:type="dxa"/>
            </w:tcMar>
            <w:vAlign w:val="bottom"/>
          </w:tcPr>
          <w:p w:rsidR="00AD6604" w:rsidRDefault="00AD6604">
            <w:pPr>
              <w:spacing w:line="280" w:lineRule="exact"/>
              <w:jc w:val="center"/>
              <w:rPr>
                <w:rFonts w:cs="宋体" w:hint="default"/>
                <w:color w:val="000000"/>
                <w:kern w:val="2"/>
                <w:sz w:val="20"/>
                <w:szCs w:val="20"/>
              </w:rPr>
            </w:pPr>
          </w:p>
        </w:tc>
        <w:tc>
          <w:tcPr>
            <w:tcW w:w="2384" w:type="dxa"/>
            <w:shd w:val="clear" w:color="auto" w:fill="auto"/>
            <w:tcMar>
              <w:top w:w="15" w:type="dxa"/>
              <w:left w:w="15" w:type="dxa"/>
              <w:right w:w="15" w:type="dxa"/>
            </w:tcMar>
            <w:vAlign w:val="bottom"/>
          </w:tcPr>
          <w:p w:rsidR="00AD6604" w:rsidRDefault="00AD6604">
            <w:pPr>
              <w:spacing w:line="280" w:lineRule="exact"/>
              <w:jc w:val="right"/>
              <w:rPr>
                <w:rFonts w:cs="宋体" w:hint="default"/>
                <w:color w:val="000000"/>
                <w:kern w:val="2"/>
                <w:sz w:val="20"/>
                <w:szCs w:val="20"/>
              </w:rPr>
            </w:pPr>
          </w:p>
        </w:tc>
        <w:tc>
          <w:tcPr>
            <w:tcW w:w="3687" w:type="dxa"/>
            <w:shd w:val="clear" w:color="auto" w:fill="auto"/>
            <w:tcMar>
              <w:top w:w="15" w:type="dxa"/>
              <w:left w:w="15" w:type="dxa"/>
              <w:right w:w="15" w:type="dxa"/>
            </w:tcMar>
            <w:vAlign w:val="bottom"/>
          </w:tcPr>
          <w:p w:rsidR="00AD6604" w:rsidRDefault="00AD6604">
            <w:pPr>
              <w:spacing w:line="280" w:lineRule="exact"/>
              <w:rPr>
                <w:rFonts w:cs="宋体" w:hint="default"/>
                <w:color w:val="000000"/>
                <w:kern w:val="2"/>
                <w:sz w:val="20"/>
                <w:szCs w:val="20"/>
              </w:rPr>
            </w:pPr>
          </w:p>
        </w:tc>
        <w:tc>
          <w:tcPr>
            <w:tcW w:w="2496" w:type="dxa"/>
            <w:shd w:val="clear" w:color="auto" w:fill="auto"/>
            <w:tcMar>
              <w:top w:w="15" w:type="dxa"/>
              <w:left w:w="15" w:type="dxa"/>
              <w:right w:w="15" w:type="dxa"/>
            </w:tcMar>
            <w:vAlign w:val="bottom"/>
          </w:tcPr>
          <w:p w:rsidR="00AD6604" w:rsidRDefault="00F5422D">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AD6604">
        <w:trPr>
          <w:trHeight w:val="244"/>
        </w:trPr>
        <w:tc>
          <w:tcPr>
            <w:tcW w:w="5615" w:type="dxa"/>
            <w:gridSpan w:val="2"/>
            <w:tcBorders>
              <w:top w:val="nil"/>
              <w:left w:val="nil"/>
              <w:bottom w:val="single" w:sz="4" w:space="0" w:color="auto"/>
              <w:right w:val="nil"/>
            </w:tcBorders>
            <w:shd w:val="clear" w:color="auto" w:fill="auto"/>
            <w:tcMar>
              <w:top w:w="15" w:type="dxa"/>
              <w:left w:w="15" w:type="dxa"/>
              <w:right w:w="15" w:type="dxa"/>
            </w:tcMar>
            <w:vAlign w:val="bottom"/>
          </w:tcPr>
          <w:p w:rsidR="00AD6604" w:rsidRDefault="00F5422D">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垫江县建设工程施工安全管理站</w:t>
            </w:r>
          </w:p>
        </w:tc>
        <w:tc>
          <w:tcPr>
            <w:tcW w:w="2384" w:type="dxa"/>
            <w:tcBorders>
              <w:top w:val="nil"/>
              <w:left w:val="nil"/>
              <w:bottom w:val="single" w:sz="4" w:space="0" w:color="auto"/>
              <w:right w:val="nil"/>
            </w:tcBorders>
            <w:shd w:val="clear" w:color="auto" w:fill="auto"/>
            <w:tcMar>
              <w:top w:w="15" w:type="dxa"/>
              <w:left w:w="15" w:type="dxa"/>
              <w:right w:w="15" w:type="dxa"/>
            </w:tcMar>
            <w:vAlign w:val="bottom"/>
          </w:tcPr>
          <w:p w:rsidR="00AD6604" w:rsidRDefault="00AD6604">
            <w:pPr>
              <w:spacing w:line="280" w:lineRule="exact"/>
              <w:jc w:val="right"/>
              <w:rPr>
                <w:rFonts w:cs="宋体" w:hint="default"/>
                <w:color w:val="000000"/>
                <w:kern w:val="2"/>
                <w:sz w:val="20"/>
                <w:szCs w:val="20"/>
              </w:rPr>
            </w:pPr>
          </w:p>
        </w:tc>
        <w:tc>
          <w:tcPr>
            <w:tcW w:w="3687" w:type="dxa"/>
            <w:tcBorders>
              <w:top w:val="nil"/>
              <w:left w:val="nil"/>
              <w:bottom w:val="single" w:sz="4" w:space="0" w:color="auto"/>
              <w:right w:val="nil"/>
            </w:tcBorders>
            <w:shd w:val="clear" w:color="auto" w:fill="auto"/>
            <w:tcMar>
              <w:top w:w="15" w:type="dxa"/>
              <w:left w:w="15" w:type="dxa"/>
              <w:right w:w="15" w:type="dxa"/>
            </w:tcMar>
            <w:vAlign w:val="bottom"/>
          </w:tcPr>
          <w:p w:rsidR="00AD6604" w:rsidRDefault="00AD6604">
            <w:pPr>
              <w:spacing w:line="280" w:lineRule="exact"/>
              <w:rPr>
                <w:rFonts w:cs="宋体" w:hint="default"/>
                <w:color w:val="000000"/>
                <w:kern w:val="2"/>
                <w:sz w:val="20"/>
                <w:szCs w:val="20"/>
              </w:rPr>
            </w:pPr>
          </w:p>
        </w:tc>
        <w:tc>
          <w:tcPr>
            <w:tcW w:w="2496" w:type="dxa"/>
            <w:tcBorders>
              <w:top w:val="nil"/>
              <w:left w:val="nil"/>
              <w:bottom w:val="single" w:sz="4" w:space="0" w:color="auto"/>
              <w:right w:val="nil"/>
            </w:tcBorders>
            <w:shd w:val="clear" w:color="auto" w:fill="auto"/>
            <w:tcMar>
              <w:top w:w="15" w:type="dxa"/>
              <w:left w:w="15" w:type="dxa"/>
              <w:right w:w="15" w:type="dxa"/>
            </w:tcMar>
            <w:vAlign w:val="bottom"/>
          </w:tcPr>
          <w:p w:rsidR="00AD6604" w:rsidRDefault="00F5422D">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AD6604">
        <w:trPr>
          <w:trHeight w:val="28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AD6604">
        <w:trPr>
          <w:trHeight w:val="28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7.80</w:t>
            </w: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7.80</w:t>
            </w: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6.00</w:t>
            </w: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6.00</w:t>
            </w: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w:t>
            </w: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6.00</w:t>
            </w: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6.00</w:t>
            </w: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1.80</w:t>
            </w:r>
            <w:r>
              <w:rPr>
                <w:rFonts w:ascii="Times New Roman" w:hAnsi="Times New Roman"/>
                <w:color w:val="000000"/>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1.80</w:t>
            </w: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1.80</w:t>
            </w: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w:t>
            </w: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w:t>
            </w: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77</w:t>
            </w: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231</w:t>
            </w: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6604">
        <w:trPr>
          <w:trHeight w:val="286"/>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0.60</w:t>
            </w: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AD6604">
            <w:pPr>
              <w:spacing w:line="280" w:lineRule="exact"/>
              <w:rPr>
                <w:rFonts w:cs="宋体" w:hint="default"/>
                <w:color w:val="000000"/>
                <w:kern w:val="2"/>
                <w:sz w:val="16"/>
                <w:szCs w:val="16"/>
              </w:rPr>
            </w:pP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AD6604">
            <w:pPr>
              <w:spacing w:line="280" w:lineRule="exact"/>
              <w:jc w:val="right"/>
              <w:rPr>
                <w:rFonts w:cs="宋体" w:hint="default"/>
                <w:color w:val="000000"/>
                <w:kern w:val="2"/>
                <w:sz w:val="16"/>
                <w:szCs w:val="16"/>
              </w:rPr>
            </w:pPr>
          </w:p>
        </w:tc>
      </w:tr>
      <w:tr w:rsidR="00AD6604">
        <w:trPr>
          <w:trHeight w:val="389"/>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0.76</w:t>
            </w: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AD6604">
            <w:pPr>
              <w:spacing w:line="280" w:lineRule="exact"/>
              <w:rPr>
                <w:rFonts w:cs="宋体" w:hint="default"/>
                <w:color w:val="000000"/>
                <w:kern w:val="2"/>
                <w:sz w:val="16"/>
                <w:szCs w:val="16"/>
              </w:rPr>
            </w:pP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AD6604">
            <w:pPr>
              <w:spacing w:line="280" w:lineRule="exact"/>
              <w:jc w:val="right"/>
              <w:rPr>
                <w:rFonts w:cs="宋体" w:hint="default"/>
                <w:color w:val="000000"/>
                <w:kern w:val="2"/>
                <w:sz w:val="16"/>
                <w:szCs w:val="16"/>
              </w:rPr>
            </w:pPr>
          </w:p>
        </w:tc>
      </w:tr>
      <w:tr w:rsidR="00AD6604">
        <w:trPr>
          <w:trHeight w:val="389"/>
        </w:trPr>
        <w:tc>
          <w:tcPr>
            <w:tcW w:w="31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F5422D">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F5422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3.62</w:t>
            </w:r>
            <w:r>
              <w:rPr>
                <w:rFonts w:ascii="Times New Roman" w:hAnsi="Times New Roman"/>
                <w:color w:val="000000"/>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D6604" w:rsidRDefault="00AD6604">
            <w:pPr>
              <w:spacing w:line="280" w:lineRule="exact"/>
              <w:rPr>
                <w:rFonts w:cs="宋体" w:hint="default"/>
                <w:color w:val="000000"/>
                <w:sz w:val="16"/>
                <w:szCs w:val="16"/>
              </w:rPr>
            </w:pPr>
          </w:p>
        </w:tc>
        <w:tc>
          <w:tcPr>
            <w:tcW w:w="24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AD6604" w:rsidRDefault="00AD6604">
            <w:pPr>
              <w:spacing w:line="280" w:lineRule="exact"/>
              <w:jc w:val="right"/>
              <w:rPr>
                <w:rFonts w:cs="宋体" w:hint="default"/>
                <w:color w:val="000000"/>
                <w:sz w:val="16"/>
                <w:szCs w:val="16"/>
              </w:rPr>
            </w:pPr>
          </w:p>
        </w:tc>
      </w:tr>
    </w:tbl>
    <w:p w:rsidR="00AD6604" w:rsidRDefault="00F5422D">
      <w:pPr>
        <w:rPr>
          <w:rFonts w:cs="宋体" w:hint="default"/>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AD6604">
      <w:headerReference w:type="default" r:id="rId9"/>
      <w:footerReference w:type="default" r:id="rId10"/>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F5F" w:rsidRDefault="00570F5F">
      <w:pPr>
        <w:rPr>
          <w:rFonts w:hint="default"/>
        </w:rPr>
      </w:pPr>
      <w:r>
        <w:separator/>
      </w:r>
    </w:p>
  </w:endnote>
  <w:endnote w:type="continuationSeparator" w:id="0">
    <w:p w:rsidR="00570F5F" w:rsidRDefault="00570F5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roma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2D" w:rsidRDefault="00F5422D">
    <w:pPr>
      <w:pStyle w:val="a7"/>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5422D" w:rsidRDefault="00F5422D">
                          <w:pPr>
                            <w:pStyle w:val="a7"/>
                            <w:rPr>
                              <w:rFonts w:hint="default"/>
                            </w:rPr>
                          </w:pPr>
                          <w:r>
                            <w:fldChar w:fldCharType="begin"/>
                          </w:r>
                          <w:r>
                            <w:instrText xml:space="preserve"> PAGE  \* MERGEFORMAT </w:instrText>
                          </w:r>
                          <w:r>
                            <w:fldChar w:fldCharType="separate"/>
                          </w:r>
                          <w:r w:rsidR="00DE2D6A">
                            <w:rPr>
                              <w:rFonts w:hint="default"/>
                              <w:noProof/>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F5422D" w:rsidRDefault="00F5422D">
                    <w:pPr>
                      <w:pStyle w:val="a7"/>
                      <w:rPr>
                        <w:rFonts w:hint="default"/>
                      </w:rPr>
                    </w:pPr>
                    <w:r>
                      <w:fldChar w:fldCharType="begin"/>
                    </w:r>
                    <w:r>
                      <w:instrText xml:space="preserve"> PAGE  \* MERGEFORMAT </w:instrText>
                    </w:r>
                    <w:r>
                      <w:fldChar w:fldCharType="separate"/>
                    </w:r>
                    <w:r w:rsidR="00DE2D6A">
                      <w:rPr>
                        <w:rFonts w:hint="default"/>
                        <w:noProof/>
                      </w:rPr>
                      <w:t>- 12 -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2D" w:rsidRDefault="00F5422D">
    <w:pPr>
      <w:pStyle w:val="a7"/>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5422D" w:rsidRDefault="00F5422D">
                          <w:pPr>
                            <w:pStyle w:val="a7"/>
                            <w:rPr>
                              <w:rFonts w:hint="default"/>
                            </w:rPr>
                          </w:pPr>
                          <w:r>
                            <w:t xml:space="preserve"> </w:t>
                          </w:r>
                          <w:r>
                            <w:fldChar w:fldCharType="begin"/>
                          </w:r>
                          <w:r>
                            <w:instrText>PAGE   \* MERGEFORMAT</w:instrText>
                          </w:r>
                          <w:r>
                            <w:fldChar w:fldCharType="separate"/>
                          </w:r>
                          <w:r w:rsidR="00DE2D6A" w:rsidRPr="00DE2D6A">
                            <w:rPr>
                              <w:rFonts w:hint="default"/>
                              <w:noProof/>
                              <w:lang w:val="zh-CN"/>
                            </w:rPr>
                            <w:t>-</w:t>
                          </w:r>
                          <w:r w:rsidR="00DE2D6A">
                            <w:rPr>
                              <w:rFonts w:hint="default"/>
                              <w:noProof/>
                            </w:rPr>
                            <w:t xml:space="preserve"> 13 -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F5422D" w:rsidRDefault="00F5422D">
                    <w:pPr>
                      <w:pStyle w:val="a7"/>
                      <w:rPr>
                        <w:rFonts w:hint="default"/>
                      </w:rPr>
                    </w:pPr>
                    <w:r>
                      <w:t xml:space="preserve"> </w:t>
                    </w:r>
                    <w:r>
                      <w:fldChar w:fldCharType="begin"/>
                    </w:r>
                    <w:r>
                      <w:instrText>PAGE   \* MERGEFORMAT</w:instrText>
                    </w:r>
                    <w:r>
                      <w:fldChar w:fldCharType="separate"/>
                    </w:r>
                    <w:r w:rsidR="00DE2D6A" w:rsidRPr="00DE2D6A">
                      <w:rPr>
                        <w:rFonts w:hint="default"/>
                        <w:noProof/>
                        <w:lang w:val="zh-CN"/>
                      </w:rPr>
                      <w:t>-</w:t>
                    </w:r>
                    <w:r w:rsidR="00DE2D6A">
                      <w:rPr>
                        <w:rFonts w:hint="default"/>
                        <w:noProof/>
                      </w:rPr>
                      <w:t xml:space="preserve"> 13 -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F5422D" w:rsidRDefault="00F5422D">
                          <w:pPr>
                            <w:pStyle w:val="a7"/>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F5422D" w:rsidRDefault="00F5422D">
                    <w:pPr>
                      <w:pStyle w:val="a7"/>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F5F" w:rsidRDefault="00570F5F">
      <w:pPr>
        <w:rPr>
          <w:rFonts w:hint="default"/>
        </w:rPr>
      </w:pPr>
      <w:r>
        <w:separator/>
      </w:r>
    </w:p>
  </w:footnote>
  <w:footnote w:type="continuationSeparator" w:id="0">
    <w:p w:rsidR="00570F5F" w:rsidRDefault="00570F5F">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2D" w:rsidRDefault="00F5422D">
    <w:pPr>
      <w:pStyle w:val="a8"/>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570F5F"/>
    <w:rsid w:val="00770383"/>
    <w:rsid w:val="007819D4"/>
    <w:rsid w:val="007B419D"/>
    <w:rsid w:val="007B7C4B"/>
    <w:rsid w:val="007D3D39"/>
    <w:rsid w:val="00994AF7"/>
    <w:rsid w:val="009B67B8"/>
    <w:rsid w:val="009D2B67"/>
    <w:rsid w:val="00A566F9"/>
    <w:rsid w:val="00AD6604"/>
    <w:rsid w:val="00AF2751"/>
    <w:rsid w:val="00B03CCD"/>
    <w:rsid w:val="00BE2B89"/>
    <w:rsid w:val="00C10E9E"/>
    <w:rsid w:val="00C20C3E"/>
    <w:rsid w:val="00CF2ACF"/>
    <w:rsid w:val="00DE2D6A"/>
    <w:rsid w:val="00F5422D"/>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A90FB8"/>
    <w:rsid w:val="08BA052C"/>
    <w:rsid w:val="08DB07BA"/>
    <w:rsid w:val="0969353F"/>
    <w:rsid w:val="098305D0"/>
    <w:rsid w:val="0A3317EA"/>
    <w:rsid w:val="0A5C4B69"/>
    <w:rsid w:val="0A86124A"/>
    <w:rsid w:val="0AB54CC0"/>
    <w:rsid w:val="0B156E0E"/>
    <w:rsid w:val="0B37431D"/>
    <w:rsid w:val="0B9335CE"/>
    <w:rsid w:val="0BF2311A"/>
    <w:rsid w:val="0C2A5909"/>
    <w:rsid w:val="0C7927C4"/>
    <w:rsid w:val="0C9B098C"/>
    <w:rsid w:val="0D673E11"/>
    <w:rsid w:val="0DDA54E4"/>
    <w:rsid w:val="0E3A5F83"/>
    <w:rsid w:val="0EAB6046"/>
    <w:rsid w:val="0F5456CE"/>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55716"/>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2B35510"/>
    <w:rsid w:val="3337290D"/>
    <w:rsid w:val="33E31118"/>
    <w:rsid w:val="33EF7674"/>
    <w:rsid w:val="342D7BC6"/>
    <w:rsid w:val="351D0116"/>
    <w:rsid w:val="352930DB"/>
    <w:rsid w:val="35573069"/>
    <w:rsid w:val="355F6038"/>
    <w:rsid w:val="358C217E"/>
    <w:rsid w:val="36C9128A"/>
    <w:rsid w:val="37841E99"/>
    <w:rsid w:val="37BF1123"/>
    <w:rsid w:val="38096618"/>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CA82E03"/>
    <w:rsid w:val="3CE95CC0"/>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58793F"/>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D80392"/>
    <w:rsid w:val="48E36915"/>
    <w:rsid w:val="48EB6572"/>
    <w:rsid w:val="495C4A24"/>
    <w:rsid w:val="497135DF"/>
    <w:rsid w:val="4A263DF2"/>
    <w:rsid w:val="4A6F6675"/>
    <w:rsid w:val="4A8959E4"/>
    <w:rsid w:val="4B135857"/>
    <w:rsid w:val="4B7951CB"/>
    <w:rsid w:val="4B7C315C"/>
    <w:rsid w:val="4CE7580D"/>
    <w:rsid w:val="4DAC4ACA"/>
    <w:rsid w:val="4DBE01D2"/>
    <w:rsid w:val="4F0C6BA3"/>
    <w:rsid w:val="4F186D58"/>
    <w:rsid w:val="50F06B6E"/>
    <w:rsid w:val="51B92264"/>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D8B44B4"/>
    <w:rsid w:val="5DE52E4C"/>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7E6065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A9A1FD5"/>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0C59E"/>
  <w15:docId w15:val="{865C8434-613F-4F4D-A5CE-10BA49B1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qFormat/>
    <w:pPr>
      <w:spacing w:line="360" w:lineRule="auto"/>
      <w:ind w:firstLine="420"/>
    </w:pPr>
    <w:rPr>
      <w:rFonts w:eastAsia="仿宋"/>
      <w:sz w:val="24"/>
      <w:szCs w:val="24"/>
    </w:rPr>
  </w:style>
  <w:style w:type="paragraph" w:styleId="a4">
    <w:name w:val="Body Text"/>
    <w:basedOn w:val="a"/>
    <w:next w:val="53"/>
    <w:rPr>
      <w:sz w:val="28"/>
      <w:szCs w:val="28"/>
    </w:rPr>
  </w:style>
  <w:style w:type="paragraph" w:customStyle="1" w:styleId="53">
    <w:name w:val="目录 53"/>
    <w:basedOn w:val="a"/>
    <w:next w:val="a"/>
    <w:qFormat/>
    <w:pPr>
      <w:wordWrap w:val="0"/>
      <w:ind w:left="1275"/>
      <w:jc w:val="both"/>
    </w:pPr>
    <w:rPr>
      <w:rFonts w:ascii="Times New Roman" w:hAnsi="Times New Roman" w:hint="default"/>
      <w:sz w:val="21"/>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character" w:styleId="aa">
    <w:name w:val="Strong"/>
    <w:qFormat/>
    <w:rPr>
      <w:b/>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6">
    <w:name w:val="批注框文本 字符"/>
    <w:basedOn w:val="a0"/>
    <w:link w:val="a5"/>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2180</Words>
  <Characters>12430</Characters>
  <Application>Microsoft Office Word</Application>
  <DocSecurity>0</DocSecurity>
  <Lines>103</Lines>
  <Paragraphs>29</Paragraphs>
  <ScaleCrop>false</ScaleCrop>
  <Company>微软中国</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12</cp:revision>
  <dcterms:created xsi:type="dcterms:W3CDTF">2024-07-11T02:00:00Z</dcterms:created>
  <dcterms:modified xsi:type="dcterms:W3CDTF">2025-09-12T07:18:00Z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