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垫江县排水服务中心</w:t>
      </w:r>
    </w:p>
    <w:p>
      <w:pPr>
        <w:pStyle w:val="10"/>
        <w:spacing w:before="0" w:beforeAutospacing="0"/>
        <w:jc w:val="center"/>
        <w:rPr>
          <w:rFonts w:hint="default"/>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pPr>
        <w:pStyle w:val="10"/>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16"/>
        <w:shd w:val="clear" w:color="auto" w:fill="FFFFFF"/>
        <w:autoSpaceDE w:val="0"/>
        <w:spacing w:before="0" w:beforeAutospacing="0" w:after="0" w:afterAutospacing="0"/>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1.协助做好城市污水处理厂建设运行、乡镇污水处理建设运行等服务工作；</w:t>
      </w:r>
    </w:p>
    <w:p>
      <w:pPr>
        <w:pStyle w:val="16"/>
        <w:shd w:val="clear" w:color="auto" w:fill="FFFFFF"/>
        <w:autoSpaceDE w:val="0"/>
        <w:spacing w:before="0" w:beforeAutospacing="0" w:after="0" w:afterAutospacing="0"/>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2.负责城市排水（雨水、污水）管网管理维护服务工作；</w:t>
      </w:r>
    </w:p>
    <w:p>
      <w:pPr>
        <w:pStyle w:val="16"/>
        <w:shd w:val="clear" w:color="auto" w:fill="FFFFFF"/>
        <w:autoSpaceDE w:val="0"/>
        <w:spacing w:before="0" w:beforeAutospacing="0" w:after="0" w:afterAutospacing="0"/>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3.负责城镇排水监测服务工作；</w:t>
      </w:r>
    </w:p>
    <w:p>
      <w:pPr>
        <w:pStyle w:val="16"/>
        <w:shd w:val="clear" w:color="auto" w:fill="FFFFFF"/>
        <w:autoSpaceDE w:val="0"/>
        <w:spacing w:before="0" w:beforeAutospacing="0" w:after="0" w:afterAutospacing="0"/>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4.承担城市排水防涝服务等工作。</w:t>
      </w:r>
    </w:p>
    <w:p>
      <w:pPr>
        <w:pStyle w:val="10"/>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10"/>
        <w:shd w:val="clear" w:color="auto" w:fill="FFFFFF"/>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本单位无内设机构。</w:t>
      </w:r>
    </w:p>
    <w:p>
      <w:pPr>
        <w:pStyle w:val="10"/>
        <w:shd w:val="clear" w:color="auto" w:fill="FFFFFF"/>
        <w:ind w:firstLine="643" w:firstLineChars="200"/>
        <w:rPr>
          <w:rFonts w:hint="default" w:ascii="方正仿宋_GBK" w:hAnsi="方正仿宋_GBK" w:eastAsia="方正仿宋_GBK" w:cs="方正仿宋_GBK"/>
          <w:sz w:val="32"/>
          <w:szCs w:val="32"/>
        </w:rPr>
      </w:pPr>
      <w:r>
        <w:rPr>
          <w:rStyle w:val="12"/>
          <w:rFonts w:ascii="黑体" w:hAnsi="黑体" w:eastAsia="黑体" w:cs="黑体"/>
          <w:sz w:val="32"/>
          <w:szCs w:val="32"/>
          <w:shd w:val="clear" w:color="auto" w:fill="FFFFFF"/>
        </w:rPr>
        <w:t>二、单位决算收支情况说明</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10"/>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2024年度收入总计1111.29万元，支出总计</w:t>
      </w:r>
      <w:r>
        <w:rPr>
          <w:rFonts w:ascii="方正仿宋_GBK" w:hAnsi="方正仿宋_GBK" w:eastAsia="方正仿宋_GBK" w:cs="方正仿宋_GBK"/>
          <w:sz w:val="32"/>
          <w:szCs w:val="32"/>
        </w:rPr>
        <w:t>1111.29</w:t>
      </w:r>
      <w:r>
        <w:rPr>
          <w:rFonts w:ascii="方正仿宋_GBK" w:hAnsi="方正仿宋_GBK" w:eastAsia="方正仿宋_GBK" w:cs="方正仿宋_GBK"/>
          <w:sz w:val="32"/>
          <w:szCs w:val="32"/>
          <w:shd w:val="clear" w:color="auto" w:fill="FFFFFF"/>
        </w:rPr>
        <w:t>万元。收、支与2023年度相比，减少442.82万元，下降28.49%，主要原因是本年度乡镇污水处理服务项目资金减少。</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2024年度收入合计1031.29万元，与2023年度相比，减少522.82万元，下降33.64%，主要原因是乡镇污水处理服务项目资金减少。其中：财政拨款收入</w:t>
      </w:r>
      <w:r>
        <w:rPr>
          <w:rFonts w:ascii="方正仿宋_GBK" w:hAnsi="方正仿宋_GBK" w:eastAsia="方正仿宋_GBK" w:cs="方正仿宋_GBK"/>
          <w:sz w:val="32"/>
          <w:szCs w:val="32"/>
        </w:rPr>
        <w:t>1031.29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80.00</w:t>
      </w:r>
      <w:r>
        <w:rPr>
          <w:rFonts w:ascii="方正仿宋_GBK" w:hAnsi="方正仿宋_GBK" w:eastAsia="方正仿宋_GBK" w:cs="方正仿宋_GBK"/>
          <w:sz w:val="32"/>
          <w:szCs w:val="32"/>
          <w:shd w:val="clear" w:color="auto" w:fill="FFFFFF"/>
        </w:rPr>
        <w:t>万元。</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1111.29</w:t>
      </w:r>
      <w:r>
        <w:rPr>
          <w:rFonts w:ascii="方正仿宋_GBK" w:hAnsi="方正仿宋_GBK" w:eastAsia="方正仿宋_GBK" w:cs="方正仿宋_GBK"/>
          <w:sz w:val="32"/>
          <w:szCs w:val="32"/>
          <w:shd w:val="clear" w:color="auto" w:fill="FFFFFF"/>
        </w:rPr>
        <w:t>万元，与2023年度相比，减少442.82万元，下降28.49%，主要原因是本年度乡镇污水处理服务项目资金减少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130.67</w:t>
      </w:r>
      <w:r>
        <w:rPr>
          <w:rFonts w:ascii="方正仿宋_GBK" w:hAnsi="方正仿宋_GBK" w:eastAsia="方正仿宋_GBK" w:cs="方正仿宋_GBK"/>
          <w:sz w:val="32"/>
          <w:szCs w:val="32"/>
          <w:shd w:val="clear" w:color="auto" w:fill="FFFFFF"/>
        </w:rPr>
        <w:t>万元，占11.76%；项目支出</w:t>
      </w:r>
      <w:r>
        <w:rPr>
          <w:rFonts w:ascii="方正仿宋_GBK" w:hAnsi="方正仿宋_GBK" w:eastAsia="方正仿宋_GBK" w:cs="方正仿宋_GBK"/>
          <w:sz w:val="32"/>
          <w:szCs w:val="32"/>
        </w:rPr>
        <w:t>980.63</w:t>
      </w:r>
      <w:r>
        <w:rPr>
          <w:rFonts w:ascii="方正仿宋_GBK" w:hAnsi="方正仿宋_GBK" w:eastAsia="方正仿宋_GBK" w:cs="方正仿宋_GBK"/>
          <w:sz w:val="32"/>
          <w:szCs w:val="32"/>
          <w:shd w:val="clear" w:color="auto" w:fill="FFFFFF"/>
        </w:rPr>
        <w:t>万元，占88.24%；经营支出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本年度与上年度均无结转结余。</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2024年度财政拨款收、支总计1111.29万元。与2022年相比，财政拨款收、支总计各减少442.82万元，下降28.49%。主要原因是本年度乡镇污水处理服务项目资金减少。</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895.29</w:t>
      </w:r>
      <w:r>
        <w:rPr>
          <w:rFonts w:ascii="方正仿宋_GBK" w:hAnsi="方正仿宋_GBK" w:eastAsia="方正仿宋_GBK" w:cs="方正仿宋_GBK"/>
          <w:sz w:val="32"/>
          <w:szCs w:val="32"/>
          <w:shd w:val="clear" w:color="auto" w:fill="FFFFFF"/>
        </w:rPr>
        <w:t>万元，与2023年度相比，减少517.82万元，下降36.64%。主要原因是本年度乡镇污水处理服务项目资金减少。较年初预算数减少955.24万元，下降51.62%。主要原因是本年度乡镇污水处理服务项目资金减少。此外，年初财政拨款结转和结余</w:t>
      </w:r>
      <w:r>
        <w:rPr>
          <w:rFonts w:ascii="方正仿宋_GBK" w:hAnsi="方正仿宋_GBK" w:eastAsia="方正仿宋_GBK" w:cs="方正仿宋_GBK"/>
          <w:sz w:val="32"/>
          <w:szCs w:val="32"/>
        </w:rPr>
        <w:t>80.00</w:t>
      </w:r>
      <w:r>
        <w:rPr>
          <w:rFonts w:ascii="方正仿宋_GBK" w:hAnsi="方正仿宋_GBK" w:eastAsia="方正仿宋_GBK" w:cs="方正仿宋_GBK"/>
          <w:sz w:val="32"/>
          <w:szCs w:val="32"/>
          <w:shd w:val="clear" w:color="auto" w:fill="FFFFFF"/>
        </w:rPr>
        <w:t>万元。</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975.29</w:t>
      </w:r>
      <w:r>
        <w:rPr>
          <w:rFonts w:ascii="方正仿宋_GBK" w:hAnsi="方正仿宋_GBK" w:eastAsia="方正仿宋_GBK" w:cs="方正仿宋_GBK"/>
          <w:sz w:val="32"/>
          <w:szCs w:val="32"/>
          <w:shd w:val="clear" w:color="auto" w:fill="FFFFFF"/>
        </w:rPr>
        <w:t>万元，与2023年度相比，减少437.82万元，下降30.98%。主要原因是本年度乡镇污水处理服务项目资金减少。较年初预算数减少875.24万元，下降47.30%。主要原因是本年度乡镇污水处理服务项目资金减少。</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本年度与上年度均无结转结余。</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%，较年初预算数减少0.06万元，下降20.00%，主要原因是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本年度未安排职工外出开展培训。</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23.71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2.43</w:t>
      </w:r>
      <w:r>
        <w:rPr>
          <w:rFonts w:ascii="方正仿宋_GBK" w:hAnsi="方正仿宋_GBK" w:eastAsia="方正仿宋_GBK" w:cs="方正仿宋_GBK"/>
          <w:sz w:val="32"/>
          <w:szCs w:val="32"/>
          <w:shd w:val="clear" w:color="auto" w:fill="FFFFFF"/>
        </w:rPr>
        <w:t>%，较年初预算数增加14.01万元，增长144.43%，主要原因是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职工工资晋级晋档导致社保缴费基数调整，相应费用增加。</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%，较年初预算数增加0.82万元，增长20.30%，主要原因是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职工工资晋级晋档导致社保缴费基数调整，相应费用增加。</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937.03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96.08</w:t>
      </w:r>
      <w:r>
        <w:rPr>
          <w:rFonts w:ascii="方正仿宋_GBK" w:hAnsi="方正仿宋_GBK" w:eastAsia="方正仿宋_GBK" w:cs="方正仿宋_GBK"/>
          <w:sz w:val="32"/>
          <w:szCs w:val="32"/>
          <w:shd w:val="clear" w:color="auto" w:fill="FFFFFF"/>
        </w:rPr>
        <w:t>%，较年初预算数减少894.61万元，下降48.84%，主要原因是本年度乡镇污水处理服务项目资金减少。</w:t>
      </w:r>
    </w:p>
    <w:p>
      <w:pPr>
        <w:pStyle w:val="10"/>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自然资源海洋气象等支出0.98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%，较年初预算数增加0.98万元，增长100.00%，主要原因是本年度</w:t>
      </w:r>
      <w:r>
        <w:rPr>
          <w:rFonts w:ascii="方正仿宋_GBK" w:hAnsi="方正仿宋_GBK" w:eastAsia="方正仿宋_GBK" w:cs="方正仿宋_GBK"/>
          <w:sz w:val="32"/>
          <w:szCs w:val="32"/>
        </w:rPr>
        <w:t>基础绩效清算发放等。</w:t>
      </w:r>
    </w:p>
    <w:p>
      <w:pPr>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住房保障支出8.47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0.87</w:t>
      </w:r>
      <w:r>
        <w:rPr>
          <w:rFonts w:ascii="方正仿宋_GBK" w:hAnsi="方正仿宋_GBK" w:eastAsia="方正仿宋_GBK" w:cs="方正仿宋_GBK"/>
          <w:sz w:val="32"/>
          <w:szCs w:val="32"/>
          <w:shd w:val="clear" w:color="auto" w:fill="FFFFFF"/>
        </w:rPr>
        <w:t>%，较年初预算数增加3.62万元，增长74.64%，主要原因是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本年度住房公积金基数调整，相应费用增加。</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130.67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118.15</w:t>
      </w:r>
      <w:r>
        <w:rPr>
          <w:rFonts w:ascii="方正仿宋_GBK" w:hAnsi="方正仿宋_GBK" w:eastAsia="方正仿宋_GBK" w:cs="方正仿宋_GBK"/>
          <w:sz w:val="32"/>
          <w:szCs w:val="32"/>
          <w:shd w:val="clear" w:color="auto" w:fill="FFFFFF"/>
        </w:rPr>
        <w:t>万元，与2023年度相比，增加34.87万元，增长41.87%，主要原因是本年度工作人员工资调整，补缴养老保险及职业年金等，导致人员经费增加。人员经费用途主要包括基</w:t>
      </w:r>
      <w:r>
        <w:rPr>
          <w:rFonts w:ascii="Times New Roman" w:hAnsi="Times New Roman" w:eastAsia="方正仿宋_GBK"/>
          <w:sz w:val="32"/>
          <w:szCs w:val="32"/>
          <w:shd w:val="clear" w:color="auto" w:fill="FFFFFF"/>
        </w:rPr>
        <w:t>本工资、津贴补贴、绩效工资、社会保障缴费、住房公积金、医疗费补助等费用。</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12.51</w:t>
      </w:r>
      <w:r>
        <w:rPr>
          <w:rFonts w:ascii="方正仿宋_GBK" w:hAnsi="方正仿宋_GBK" w:eastAsia="方正仿宋_GBK" w:cs="方正仿宋_GBK"/>
          <w:sz w:val="32"/>
          <w:szCs w:val="32"/>
          <w:shd w:val="clear" w:color="auto" w:fill="FFFFFF"/>
        </w:rPr>
        <w:t>万元，与2023年度相比，减少6.63万元，下降34.64%，主要原因是本年度厉行节约，日常公用经费减少。公用经费用途主要包括</w:t>
      </w:r>
      <w:r>
        <w:rPr>
          <w:rFonts w:ascii="Times New Roman" w:hAnsi="Times New Roman" w:eastAsia="方正仿宋_GBK"/>
          <w:sz w:val="32"/>
          <w:szCs w:val="32"/>
          <w:shd w:val="clear" w:color="auto" w:fill="FFFFFF"/>
        </w:rPr>
        <w:t>办公费、劳务费、差旅费、公务接待费、工会经费、公务用车运行维护费等。</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136.00</w:t>
      </w:r>
      <w:r>
        <w:rPr>
          <w:rFonts w:ascii="方正仿宋_GBK" w:hAnsi="方正仿宋_GBK" w:eastAsia="方正仿宋_GBK" w:cs="方正仿宋_GBK"/>
          <w:sz w:val="32"/>
          <w:szCs w:val="32"/>
          <w:shd w:val="clear" w:color="auto" w:fill="FFFFFF"/>
        </w:rPr>
        <w:t>万元，与2023年度相比，减少5.00万元，下降3.55%，主要原因是本年度远郊区县城市生活污水处理厂污泥无害化处理补助项目资金减少。本年支出</w:t>
      </w:r>
      <w:r>
        <w:rPr>
          <w:rFonts w:ascii="方正仿宋_GBK" w:hAnsi="方正仿宋_GBK" w:eastAsia="方正仿宋_GBK" w:cs="方正仿宋_GBK"/>
          <w:sz w:val="32"/>
          <w:szCs w:val="32"/>
        </w:rPr>
        <w:t>136.00</w:t>
      </w:r>
      <w:r>
        <w:rPr>
          <w:rFonts w:ascii="方正仿宋_GBK" w:hAnsi="方正仿宋_GBK" w:eastAsia="方正仿宋_GBK" w:cs="方正仿宋_GBK"/>
          <w:sz w:val="32"/>
          <w:szCs w:val="32"/>
          <w:shd w:val="clear" w:color="auto" w:fill="FFFFFF"/>
        </w:rPr>
        <w:t>万元，与2023年度相比，减少5.00万元，下降3.55%，主要原因是本年度远郊区县城市生活污水处理厂污泥无害化处理补助项目资金减少。</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0"/>
        <w:shd w:val="clear" w:color="auto" w:fill="FFFFFF"/>
        <w:ind w:firstLine="643" w:firstLineChars="200"/>
        <w:rPr>
          <w:rFonts w:hint="default" w:ascii="方正仿宋_GBK" w:hAnsi="方正仿宋_GBK" w:eastAsia="方正仿宋_GBK" w:cs="方正仿宋_GBK"/>
          <w:sz w:val="32"/>
          <w:szCs w:val="32"/>
        </w:rPr>
      </w:pPr>
      <w:r>
        <w:rPr>
          <w:rStyle w:val="12"/>
          <w:rFonts w:ascii="黑体" w:hAnsi="黑体" w:eastAsia="黑体" w:cs="黑体"/>
          <w:sz w:val="32"/>
          <w:szCs w:val="32"/>
          <w:shd w:val="clear" w:color="auto" w:fill="FFFFFF"/>
        </w:rPr>
        <w:t>三、财政拨款“三公”经费情况说明</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万元，较年初预算数无增减，主要原因是按财政预算合理计划支出。较上年支出数减少1.00万元，下降20.00%，主要原因是按财政预算合理计划支出，压缩开支。</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万元，主要是用于本单位本年度未发生因公出国（境）支出。费用支出较年初预算数无增减，主要原因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是年初预算数未安排因公出国（境）费用，也未发生因公出国（境）费用。</w:t>
      </w:r>
      <w:r>
        <w:rPr>
          <w:rFonts w:ascii="方正仿宋_GBK" w:hAnsi="方正仿宋_GBK" w:eastAsia="方正仿宋_GBK" w:cs="方正仿宋_GBK"/>
          <w:sz w:val="32"/>
          <w:szCs w:val="32"/>
          <w:shd w:val="clear" w:color="auto" w:fill="FFFFFF"/>
        </w:rPr>
        <w:t>较上年度支出数无增减，主要原因是上年度和本年度均未发生因公出国（境）费用。</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本单位2024年度未发生公务车购置费支出。费用支出较年初预算数无增减，主要原因是年初预算数未安排且本年度未发生公务车购置费用。较上年度支出数无增减，主要原因是上年度和本年度均未发生公务车购置费用。</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万元，主要用于公务用车燃料费、维修费、过路过桥费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、保险费等支出。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我单位厉行节约严控支出，与年初持平。</w:t>
      </w:r>
      <w:r>
        <w:rPr>
          <w:rFonts w:ascii="方正仿宋_GBK" w:hAnsi="方正仿宋_GBK" w:eastAsia="方正仿宋_GBK" w:cs="方正仿宋_GBK"/>
          <w:sz w:val="32"/>
          <w:szCs w:val="32"/>
          <w:shd w:val="clear" w:color="auto" w:fill="FFFFFF"/>
        </w:rPr>
        <w:t>较上年度支出数减少1.00万元，下降25.00%，主要原因是按财政预算合理计划支出，压缩开支。</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万元，主要用于接待行业单位检查考核、考察交流、日常工作接待、重大活动工作用餐等费用支出。费用支出较年初预算数无增减，主要原因是按财政预算合理计划支出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较上年度支出数无增减，主要原因是按财政预算合理计划支出，压缩开支。</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50.00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pPr>
        <w:pStyle w:val="10"/>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5"/>
        <w:autoSpaceDE w:val="0"/>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10"/>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万元，与2023年度相比，无增减，主要原因是本单位未发生会议费。本年度培训费支出</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万元，与2023年度相比，减少0.01万元，下降4.00%，主要原因是工作人员培训支出减少。</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万元，机关运行经费较上年度支出数无增减，主要原因是</w:t>
      </w:r>
      <w:r>
        <w:rPr>
          <w:rFonts w:ascii="方正仿宋_GBK" w:eastAsia="方正仿宋_GBK"/>
          <w:bCs/>
          <w:sz w:val="32"/>
          <w:szCs w:val="32"/>
        </w:rPr>
        <w:t>按照部门决算列报口径，我单位不在机关运行经费统计范围之内。</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67.80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67.80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67.80万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67.80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%。主要用于采购县城建成区雨污管网维护货物支出。</w:t>
      </w:r>
    </w:p>
    <w:p>
      <w:pPr>
        <w:pStyle w:val="10"/>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五、预算绩效管理情况说明</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ind w:firstLine="64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根据预算绩效管理要求，我单位对4个二级项目开展了绩效自评，涉及财政拨款项目支出资金980.63万元。</w:t>
      </w:r>
    </w:p>
    <w:p>
      <w:pPr>
        <w:pStyle w:val="15"/>
        <w:autoSpaceDE w:val="0"/>
        <w:ind w:firstLine="480"/>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drawing>
          <wp:inline distT="0" distB="0" distL="114300" distR="114300">
            <wp:extent cx="5272405" cy="3581400"/>
            <wp:effectExtent l="0" t="0" r="444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2405" cy="3581400"/>
                    </a:xfrm>
                    <a:prstGeom prst="rect">
                      <a:avLst/>
                    </a:prstGeom>
                    <a:noFill/>
                    <a:ln w="9525">
                      <a:noFill/>
                    </a:ln>
                  </pic:spPr>
                </pic:pic>
              </a:graphicData>
            </a:graphic>
          </wp:inline>
        </w:drawing>
      </w:r>
    </w:p>
    <w:p>
      <w:pPr>
        <w:pStyle w:val="15"/>
        <w:autoSpaceDE w:val="0"/>
        <w:ind w:firstLine="643"/>
        <w:rPr>
          <w:rFonts w:ascii="楷体" w:hAnsi="楷体" w:eastAsia="楷体" w:cs="楷体"/>
          <w:b/>
          <w:bCs/>
          <w:sz w:val="32"/>
          <w:szCs w:val="32"/>
          <w:shd w:val="clear" w:color="auto" w:fill="FFFFFF"/>
        </w:rPr>
      </w:pP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5"/>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我单位未组织开展绩效评价。</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2"/>
        <w:keepNext/>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40" w:firstLineChars="200"/>
        <w:jc w:val="left"/>
        <w:textAlignment w:val="auto"/>
        <w:outlineLvl w:val="1"/>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县财政局委托第三方对我单位县城排水设施运行维护项目开展了绩效评价，涉及财政拨款项目资金</w:t>
      </w:r>
      <w:r>
        <w:rPr>
          <w:rFonts w:hint="default" w:ascii="方正仿宋_GBK" w:hAnsi="方正仿宋_GBK" w:eastAsia="方正仿宋_GBK" w:cs="方正仿宋_GBK"/>
          <w:sz w:val="32"/>
          <w:szCs w:val="32"/>
          <w:shd w:val="clear" w:color="auto" w:fill="FFFFFF"/>
          <w:lang w:val="en-US" w:eastAsia="zh-CN" w:bidi="ar-SA"/>
        </w:rPr>
        <w:t>100</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万元，评价得分83.50分，评价等次为“良”，绩效评价发现了项目未制定实施方案，项目实施内容需进一步完善；绩效目标存在缺陷，绩效指标设置不规范；预算编制合理性较差，预算申报准确性需进一步提高；专项资金使用不规范，未严格落实专款专用；河道巡查点位不足，巡查任务未达标等主要问题，提出制定细化实施方案，完善项目实施指导内容；完善项目绩效目标，优化绩效指标设置；详细测算项目成本，据实编制预算；规范专项资金管理，明确资金使用方向；严格落实合同执行，加强执行内容监控等下一步工作建议。</w:t>
      </w:r>
      <w:bookmarkStart w:id="0" w:name="_GoBack"/>
      <w:bookmarkEnd w:id="0"/>
    </w:p>
    <w:p>
      <w:pPr>
        <w:pStyle w:val="10"/>
        <w:shd w:val="clear" w:color="auto" w:fill="FFFFFF"/>
        <w:ind w:firstLine="643" w:firstLineChars="200"/>
        <w:rPr>
          <w:rFonts w:hint="default" w:ascii="方正仿宋_GBK" w:hAnsi="方正仿宋_GBK" w:eastAsia="方正仿宋_GBK" w:cs="方正仿宋_GBK"/>
          <w:sz w:val="32"/>
          <w:szCs w:val="32"/>
        </w:rPr>
      </w:pPr>
      <w:r>
        <w:rPr>
          <w:rStyle w:val="12"/>
          <w:rFonts w:ascii="黑体" w:hAnsi="黑体" w:eastAsia="黑体" w:cs="黑体"/>
          <w:sz w:val="32"/>
          <w:szCs w:val="32"/>
          <w:shd w:val="clear" w:color="auto" w:fill="FFFFFF"/>
        </w:rPr>
        <w:t>  六、专业名词解释</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pPr>
        <w:pStyle w:val="1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本单位决算公开信息反馈和联系方式：胡老师</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023-</w:t>
      </w:r>
      <w:r>
        <w:rPr>
          <w:rFonts w:ascii="方正仿宋_GBK" w:hAnsi="方正仿宋_GBK" w:eastAsia="方正仿宋_GBK" w:cs="方正仿宋_GBK"/>
          <w:color w:val="000000" w:themeColor="text1"/>
          <w:sz w:val="32"/>
          <w14:textFill>
            <w14:solidFill>
              <w14:schemeClr w14:val="tx1"/>
            </w14:solidFill>
          </w14:textFill>
        </w:rPr>
        <w:t xml:space="preserve">74513038 </w:t>
      </w:r>
    </w:p>
    <w:p>
      <w:pPr>
        <w:pStyle w:val="15"/>
        <w:autoSpaceDE w:val="0"/>
        <w:ind w:firstLine="0" w:firstLineChars="0"/>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3"/>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垫江县排水服务中心</w:t>
            </w: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895.29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1,073.03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1,031.29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1,111.29</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1,111.29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垫江县排水服务中心</w:t>
            </w:r>
          </w:p>
        </w:tc>
        <w:tc>
          <w:tcPr>
            <w:tcW w:w="13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1,031.29</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1,031.29</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993.03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993.03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857.03</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857.03</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857.03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857.03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3"/>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垫江县排水服务中心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1,111.29</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130.67</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980.63</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1,073.03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980.63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937.03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844.63</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937.03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844.63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污水处理费安排的支出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2121401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污水处理设施建设和运营</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3"/>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垫江县排水服务中心</w:t>
            </w: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895.29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1,073.03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937.03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1,031.29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1,111.29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1,111.29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1,111.29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垫江县排水服务中心</w:t>
            </w:r>
          </w:p>
        </w:tc>
        <w:tc>
          <w:tcPr>
            <w:tcW w:w="331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975.29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130.67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844.63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937.03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844.63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937.03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844.63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937.03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844.63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3"/>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垫江县排水服务中心</w:t>
            </w: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118.15</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垫江县排水服务中心</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污水处理费安排的支出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2121401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污水处理设施建设和运营</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3"/>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垫江县排水服务中心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3"/>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垫江县排水服务中心</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ngsana New">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libri Light">
    <w:panose1 w:val="020F0302020204030204"/>
    <w:charset w:val="00"/>
    <w:family w:val="auto"/>
    <w:pitch w:val="default"/>
    <w:sig w:usb0="A00002EF" w:usb1="4000207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Euphemia">
    <w:panose1 w:val="020B0503040102020104"/>
    <w:charset w:val="00"/>
    <w:family w:val="auto"/>
    <w:pitch w:val="default"/>
    <w:sig w:usb0="8000006F" w:usb1="0000004A" w:usb2="0000200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Miriam Fixed">
    <w:panose1 w:val="020B0509050101010101"/>
    <w:charset w:val="00"/>
    <w:family w:val="auto"/>
    <w:pitch w:val="default"/>
    <w:sig w:usb0="00000801" w:usb1="00000000" w:usb2="00000000" w:usb3="00000000" w:csb0="00000020" w:csb1="00200000"/>
  </w:font>
  <w:font w:name="Mongolian Baiti">
    <w:panose1 w:val="03000500000000000000"/>
    <w:charset w:val="00"/>
    <w:family w:val="auto"/>
    <w:pitch w:val="default"/>
    <w:sig w:usb0="80000023" w:usb1="00000000" w:usb2="0002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Yu Gothic UI Light">
    <w:altName w:val="Meiryo UI"/>
    <w:panose1 w:val="020B0300000000000000"/>
    <w:charset w:val="80"/>
    <w:family w:val="auto"/>
    <w:pitch w:val="default"/>
    <w:sig w:usb0="00000000" w:usb1="00000000" w:usb2="00000016" w:usb3="00000000" w:csb0="2002009F" w:csb1="00000000"/>
  </w:font>
  <w:font w:name="Microsoft JhengHei">
    <w:panose1 w:val="020B0604030504040204"/>
    <w:charset w:val="88"/>
    <w:family w:val="auto"/>
    <w:pitch w:val="default"/>
    <w:sig w:usb0="00000087" w:usb1="28AF4000" w:usb2="00000016" w:usb3="00000000" w:csb0="00100009" w:csb1="00000000"/>
  </w:font>
  <w:font w:name="Yu Gothic Light">
    <w:altName w:val="Meiryo UI"/>
    <w:panose1 w:val="020B0300000000000000"/>
    <w:charset w:val="80"/>
    <w:family w:val="auto"/>
    <w:pitch w:val="default"/>
    <w:sig w:usb0="00000000" w:usb1="00000000" w:usb2="00000016" w:usb3="00000000" w:csb0="2002009F" w:csb1="00000000"/>
  </w:font>
  <w:font w:name="Arial Black">
    <w:panose1 w:val="020B0A04020102020204"/>
    <w:charset w:val="00"/>
    <w:family w:val="auto"/>
    <w:pitch w:val="default"/>
    <w:sig w:usb0="00000287" w:usb1="00000000" w:usb2="00000000" w:usb3="00000000" w:csb0="2000009F" w:csb1="DFD70000"/>
  </w:font>
  <w:font w:name="Meiryo UI">
    <w:panose1 w:val="020B0604030504040204"/>
    <w:charset w:val="80"/>
    <w:family w:val="auto"/>
    <w:pitch w:val="default"/>
    <w:sig w:usb0="E10102FF" w:usb1="EAC7FFFF" w:usb2="00010012" w:usb3="00000000" w:csb0="6002009F" w:csb1="DFD7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5970B8"/>
    <w:rsid w:val="006442F1"/>
    <w:rsid w:val="006E2888"/>
    <w:rsid w:val="00770383"/>
    <w:rsid w:val="007819D4"/>
    <w:rsid w:val="007B419D"/>
    <w:rsid w:val="007B7C4B"/>
    <w:rsid w:val="007D3D39"/>
    <w:rsid w:val="00994AF7"/>
    <w:rsid w:val="009B67B8"/>
    <w:rsid w:val="009D2B67"/>
    <w:rsid w:val="00A566F9"/>
    <w:rsid w:val="00AF2751"/>
    <w:rsid w:val="00B03CCD"/>
    <w:rsid w:val="00B64B58"/>
    <w:rsid w:val="00BE2B89"/>
    <w:rsid w:val="00C10E9E"/>
    <w:rsid w:val="00C20C3E"/>
    <w:rsid w:val="00CF2ACF"/>
    <w:rsid w:val="00F73F90"/>
    <w:rsid w:val="00FB4B3B"/>
    <w:rsid w:val="01474EBF"/>
    <w:rsid w:val="01F3521E"/>
    <w:rsid w:val="039271C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550878"/>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BB40BF6"/>
    <w:rsid w:val="1C5B50BF"/>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601278"/>
    <w:rsid w:val="24B92327"/>
    <w:rsid w:val="24C14514"/>
    <w:rsid w:val="2533755C"/>
    <w:rsid w:val="25791755"/>
    <w:rsid w:val="25A624DC"/>
    <w:rsid w:val="26396DF4"/>
    <w:rsid w:val="27167136"/>
    <w:rsid w:val="271B442C"/>
    <w:rsid w:val="27B23302"/>
    <w:rsid w:val="27F62C72"/>
    <w:rsid w:val="29270A48"/>
    <w:rsid w:val="29310A5F"/>
    <w:rsid w:val="297D0B95"/>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6B6529"/>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3CB68E9"/>
    <w:rsid w:val="44C37687"/>
    <w:rsid w:val="45CB699A"/>
    <w:rsid w:val="45E2495B"/>
    <w:rsid w:val="465B470D"/>
    <w:rsid w:val="466D741F"/>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5F644D73"/>
    <w:rsid w:val="60C74F6C"/>
    <w:rsid w:val="61025A59"/>
    <w:rsid w:val="613D5BBC"/>
    <w:rsid w:val="61536C39"/>
    <w:rsid w:val="62944DD7"/>
    <w:rsid w:val="6319381F"/>
    <w:rsid w:val="63C25DC5"/>
    <w:rsid w:val="63C62057"/>
    <w:rsid w:val="6428489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B020C4"/>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0C4250"/>
    <w:rsid w:val="781705A9"/>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val="0"/>
      <w:spacing w:beforeLines="0" w:beforeAutospacing="0" w:afterLines="0" w:afterAutospacing="0" w:line="600" w:lineRule="exact"/>
      <w:outlineLvl w:val="1"/>
    </w:pPr>
    <w:rPr>
      <w:rFonts w:ascii="Times New Roman" w:hAnsi="Times New Roman" w:eastAsia="楷体"/>
      <w:sz w:val="30"/>
      <w:szCs w:val="30"/>
    </w:rPr>
  </w:style>
  <w:style w:type="character" w:default="1" w:styleId="11">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3">
    <w:name w:val="Body Text First Indent"/>
    <w:basedOn w:val="4"/>
    <w:qFormat/>
    <w:uiPriority w:val="0"/>
    <w:pPr>
      <w:spacing w:line="360" w:lineRule="auto"/>
      <w:ind w:firstLine="420"/>
    </w:pPr>
    <w:rPr>
      <w:rFonts w:eastAsia="仿宋"/>
      <w:sz w:val="24"/>
      <w:szCs w:val="24"/>
    </w:rPr>
  </w:style>
  <w:style w:type="paragraph" w:styleId="4">
    <w:name w:val="Body Text"/>
    <w:basedOn w:val="1"/>
    <w:next w:val="5"/>
    <w:qFormat/>
    <w:uiPriority w:val="0"/>
    <w:rPr>
      <w:sz w:val="28"/>
      <w:szCs w:val="28"/>
    </w:rPr>
  </w:style>
  <w:style w:type="paragraph" w:customStyle="1" w:styleId="5">
    <w:name w:val="目录 53"/>
    <w:basedOn w:val="1"/>
    <w:next w:val="1"/>
    <w:qFormat/>
    <w:uiPriority w:val="0"/>
    <w:pPr>
      <w:wordWrap w:val="0"/>
      <w:ind w:left="1275"/>
      <w:jc w:val="both"/>
    </w:pPr>
    <w:rPr>
      <w:rFonts w:hint="default" w:ascii="Times New Roman" w:hAnsi="Times New Roman"/>
      <w:sz w:val="21"/>
      <w:szCs w:val="21"/>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basedOn w:val="17"/>
    <w:qFormat/>
    <w:uiPriority w:val="0"/>
  </w:style>
  <w:style w:type="paragraph" w:customStyle="1" w:styleId="17">
    <w:name w:val="msonormal"/>
    <w:basedOn w:val="1"/>
    <w:qFormat/>
    <w:uiPriority w:val="0"/>
    <w:pPr>
      <w:spacing w:before="100" w:beforeAutospacing="1" w:after="100" w:afterAutospacing="1"/>
    </w:p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字符"/>
    <w:basedOn w:val="11"/>
    <w:link w:val="6"/>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2210</Words>
  <Characters>12599</Characters>
  <Lines>104</Lines>
  <Paragraphs>29</Paragraphs>
  <TotalTime>0</TotalTime>
  <ScaleCrop>false</ScaleCrop>
  <LinksUpToDate>false</LinksUpToDate>
  <CharactersWithSpaces>14780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2025-09-15T06:54:43Z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