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垫江县市政服务中心</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0" w:beforeAutospacing="0" w:after="0" w:afterAutospacing="0" w:line="596" w:lineRule="exact"/>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2"/>
        <w:spacing w:line="594" w:lineRule="exact"/>
        <w:ind w:firstLine="716" w:firstLineChars="200"/>
        <w:rPr>
          <w:rFonts w:hint="default"/>
          <w:sz w:val="32"/>
          <w:szCs w:val="32"/>
          <w:lang w:eastAsia="zh-CN"/>
        </w:rPr>
      </w:pPr>
      <w:r>
        <w:rPr>
          <w:spacing w:val="19"/>
          <w:sz w:val="32"/>
          <w:szCs w:val="32"/>
          <w:lang w:eastAsia="zh-CN"/>
        </w:rPr>
        <w:t>1. 承担城区市政道路、桥梁、</w:t>
      </w:r>
      <w:r>
        <w:rPr>
          <w:spacing w:val="-82"/>
          <w:sz w:val="32"/>
          <w:szCs w:val="32"/>
          <w:lang w:eastAsia="zh-CN"/>
        </w:rPr>
        <w:t xml:space="preserve"> </w:t>
      </w:r>
      <w:r>
        <w:rPr>
          <w:spacing w:val="19"/>
          <w:sz w:val="32"/>
          <w:szCs w:val="32"/>
          <w:lang w:eastAsia="zh-CN"/>
        </w:rPr>
        <w:t>隧道、雕塑</w:t>
      </w:r>
      <w:r>
        <w:rPr>
          <w:spacing w:val="18"/>
          <w:sz w:val="32"/>
          <w:szCs w:val="32"/>
          <w:lang w:eastAsia="zh-CN"/>
        </w:rPr>
        <w:t>、停车场所等</w:t>
      </w:r>
      <w:r>
        <w:rPr>
          <w:spacing w:val="20"/>
          <w:sz w:val="32"/>
          <w:szCs w:val="32"/>
          <w:lang w:eastAsia="zh-CN"/>
        </w:rPr>
        <w:t>市政设施及其附属设施运行维护；</w:t>
      </w:r>
    </w:p>
    <w:p>
      <w:pPr>
        <w:pStyle w:val="2"/>
        <w:spacing w:line="594" w:lineRule="exact"/>
        <w:ind w:firstLine="720" w:firstLineChars="200"/>
        <w:rPr>
          <w:rFonts w:hint="default"/>
          <w:sz w:val="32"/>
          <w:szCs w:val="32"/>
          <w:lang w:eastAsia="zh-CN"/>
        </w:rPr>
      </w:pPr>
      <w:r>
        <w:rPr>
          <w:spacing w:val="20"/>
          <w:sz w:val="32"/>
          <w:szCs w:val="32"/>
          <w:lang w:eastAsia="zh-CN"/>
        </w:rPr>
        <w:t>2. 承担城区道路、夜景景观照明运行维护；</w:t>
      </w:r>
    </w:p>
    <w:p>
      <w:pPr>
        <w:pStyle w:val="2"/>
        <w:spacing w:line="594" w:lineRule="exact"/>
        <w:ind w:firstLine="696" w:firstLineChars="200"/>
        <w:rPr>
          <w:rFonts w:hint="default"/>
          <w:sz w:val="32"/>
          <w:szCs w:val="32"/>
          <w:lang w:eastAsia="zh-CN"/>
        </w:rPr>
      </w:pPr>
      <w:r>
        <w:rPr>
          <w:spacing w:val="14"/>
          <w:sz w:val="32"/>
          <w:szCs w:val="32"/>
          <w:lang w:eastAsia="zh-CN"/>
        </w:rPr>
        <w:t>3. 承担城区照明系统自动化运行维护；</w:t>
      </w:r>
    </w:p>
    <w:p>
      <w:pPr>
        <w:pStyle w:val="2"/>
        <w:spacing w:line="594" w:lineRule="exact"/>
        <w:ind w:firstLine="720" w:firstLineChars="200"/>
        <w:rPr>
          <w:rFonts w:hint="default"/>
          <w:spacing w:val="20"/>
          <w:sz w:val="32"/>
          <w:szCs w:val="32"/>
          <w:lang w:eastAsia="zh-CN"/>
        </w:rPr>
      </w:pPr>
      <w:r>
        <w:rPr>
          <w:spacing w:val="20"/>
          <w:sz w:val="32"/>
          <w:szCs w:val="32"/>
          <w:lang w:eastAsia="zh-CN"/>
        </w:rPr>
        <w:t>4. 承担城区公厕、垃圾中转站及果皮箱、垃圾分类等城市环境卫生设施运行维护；</w:t>
      </w:r>
    </w:p>
    <w:p>
      <w:pPr>
        <w:pStyle w:val="2"/>
        <w:spacing w:line="594" w:lineRule="exact"/>
        <w:ind w:firstLine="720" w:firstLineChars="200"/>
        <w:rPr>
          <w:rFonts w:hint="default"/>
          <w:spacing w:val="20"/>
          <w:sz w:val="32"/>
          <w:szCs w:val="32"/>
          <w:lang w:eastAsia="zh-CN"/>
        </w:rPr>
      </w:pPr>
      <w:r>
        <w:rPr>
          <w:spacing w:val="20"/>
          <w:sz w:val="32"/>
          <w:szCs w:val="32"/>
          <w:lang w:eastAsia="zh-CN"/>
        </w:rPr>
        <w:t>5. 承担城区公共区域（主次干道、背街小巷、广场、公园、绿带）环境卫生作业的组织等工作；</w:t>
      </w:r>
    </w:p>
    <w:p>
      <w:pPr>
        <w:pStyle w:val="2"/>
        <w:spacing w:line="594" w:lineRule="exact"/>
        <w:ind w:firstLine="720" w:firstLineChars="200"/>
        <w:rPr>
          <w:rFonts w:hint="default"/>
          <w:spacing w:val="20"/>
          <w:sz w:val="32"/>
          <w:szCs w:val="32"/>
          <w:lang w:eastAsia="zh-CN"/>
        </w:rPr>
      </w:pPr>
      <w:r>
        <w:rPr>
          <w:spacing w:val="20"/>
          <w:sz w:val="32"/>
          <w:szCs w:val="32"/>
          <w:lang w:eastAsia="zh-CN"/>
        </w:rPr>
        <w:t>6. 承担城区牛皮癣清除的工作；</w:t>
      </w:r>
    </w:p>
    <w:p>
      <w:pPr>
        <w:pStyle w:val="2"/>
        <w:spacing w:line="594" w:lineRule="exact"/>
        <w:ind w:firstLine="720" w:firstLineChars="200"/>
        <w:rPr>
          <w:rFonts w:hint="default"/>
          <w:spacing w:val="20"/>
          <w:sz w:val="32"/>
          <w:szCs w:val="32"/>
          <w:lang w:eastAsia="zh-CN"/>
        </w:rPr>
      </w:pPr>
      <w:r>
        <w:rPr>
          <w:spacing w:val="20"/>
          <w:sz w:val="32"/>
          <w:szCs w:val="32"/>
          <w:lang w:eastAsia="zh-CN"/>
        </w:rPr>
        <w:t>7. 承担城镇生活垃圾的收集、运输、处置等工作；</w:t>
      </w:r>
    </w:p>
    <w:p>
      <w:pPr>
        <w:pStyle w:val="2"/>
        <w:spacing w:line="594" w:lineRule="exact"/>
        <w:ind w:firstLine="720" w:firstLineChars="200"/>
        <w:rPr>
          <w:rFonts w:hint="default"/>
          <w:spacing w:val="20"/>
          <w:sz w:val="32"/>
          <w:szCs w:val="32"/>
          <w:lang w:eastAsia="zh-CN"/>
        </w:rPr>
      </w:pPr>
      <w:r>
        <w:rPr>
          <w:spacing w:val="20"/>
          <w:sz w:val="32"/>
          <w:szCs w:val="32"/>
          <w:lang w:eastAsia="zh-CN"/>
        </w:rPr>
        <w:t>8. 承担城区垃圾分类等工作；</w:t>
      </w:r>
    </w:p>
    <w:p>
      <w:pPr>
        <w:pStyle w:val="2"/>
        <w:spacing w:line="594" w:lineRule="exact"/>
        <w:ind w:firstLine="720" w:firstLineChars="200"/>
        <w:rPr>
          <w:rFonts w:hint="default"/>
          <w:spacing w:val="20"/>
          <w:sz w:val="32"/>
          <w:szCs w:val="32"/>
          <w:lang w:eastAsia="zh-CN"/>
        </w:rPr>
      </w:pPr>
      <w:r>
        <w:rPr>
          <w:spacing w:val="20"/>
          <w:sz w:val="32"/>
          <w:szCs w:val="32"/>
          <w:lang w:eastAsia="zh-CN"/>
        </w:rPr>
        <w:t>9. 承担城区河道、水域清漂等工作；</w:t>
      </w:r>
    </w:p>
    <w:p>
      <w:pPr>
        <w:pStyle w:val="2"/>
        <w:spacing w:line="594" w:lineRule="exact"/>
        <w:ind w:firstLine="720" w:firstLineChars="200"/>
        <w:rPr>
          <w:rFonts w:hint="default"/>
          <w:spacing w:val="20"/>
          <w:sz w:val="32"/>
          <w:szCs w:val="32"/>
          <w:lang w:eastAsia="zh-CN"/>
        </w:rPr>
      </w:pPr>
      <w:r>
        <w:rPr>
          <w:spacing w:val="20"/>
          <w:sz w:val="32"/>
          <w:szCs w:val="32"/>
          <w:lang w:eastAsia="zh-CN"/>
        </w:rPr>
        <w:t>10. 指导乡镇环境卫生和市政设施事务性工作。</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2"/>
        <w:spacing w:before="257" w:line="308" w:lineRule="auto"/>
        <w:ind w:firstLine="696"/>
        <w:rPr>
          <w:rFonts w:hint="default"/>
          <w:sz w:val="32"/>
          <w:szCs w:val="32"/>
          <w:shd w:val="clear" w:color="auto" w:fill="FFFFFF"/>
          <w:lang w:eastAsia="zh-CN"/>
        </w:rPr>
      </w:pPr>
      <w:r>
        <w:rPr>
          <w:sz w:val="32"/>
          <w:szCs w:val="32"/>
          <w:shd w:val="clear" w:color="auto" w:fill="FFFFFF"/>
          <w:lang w:eastAsia="zh-CN"/>
        </w:rPr>
        <w:t>根据上述职责，垫江县市政服务中心设 4 个内设科室：</w:t>
      </w:r>
    </w:p>
    <w:p>
      <w:pPr>
        <w:pStyle w:val="2"/>
        <w:spacing w:before="257" w:line="308" w:lineRule="auto"/>
        <w:ind w:firstLine="696"/>
        <w:rPr>
          <w:rFonts w:hint="default"/>
          <w:sz w:val="32"/>
          <w:szCs w:val="32"/>
          <w:shd w:val="clear" w:color="auto" w:fill="FFFFFF"/>
          <w:lang w:eastAsia="zh-CN"/>
        </w:rPr>
      </w:pPr>
      <w:r>
        <w:rPr>
          <w:sz w:val="32"/>
          <w:szCs w:val="32"/>
          <w:shd w:val="clear" w:color="auto" w:fill="FFFFFF"/>
          <w:lang w:eastAsia="zh-CN"/>
        </w:rPr>
        <w:t>办公室。负责文电、会务、宣传、保密、后勤、档案等 工作；负责党的建设、政工人事、群团等工作；负责综合性 文稿、内部管理制度起草审核工作；负责信访维稳、议提案 办理；负责环境保护、安全生产、目标考核等；承担财务管 理、资产管理等工作；负责设施设备、材料、物资保管以及 车辆维修维护；负责内部审计和单位核算；负责垃圾处置费 征收相关工作；完成县住建委、中心交办的其他工作。</w:t>
      </w:r>
    </w:p>
    <w:p>
      <w:pPr>
        <w:pStyle w:val="2"/>
        <w:spacing w:before="257" w:line="308" w:lineRule="auto"/>
        <w:ind w:firstLine="696"/>
        <w:rPr>
          <w:rFonts w:hint="default"/>
          <w:sz w:val="32"/>
          <w:szCs w:val="32"/>
          <w:shd w:val="clear" w:color="auto" w:fill="FFFFFF"/>
          <w:lang w:eastAsia="zh-CN"/>
        </w:rPr>
      </w:pPr>
      <w:r>
        <w:rPr>
          <w:sz w:val="32"/>
          <w:szCs w:val="32"/>
          <w:shd w:val="clear" w:color="auto" w:fill="FFFFFF"/>
          <w:lang w:eastAsia="zh-CN"/>
        </w:rPr>
        <w:t>环卫管护科。负责城区公共区域环境卫生和城区公厕、 垃圾中转站等环卫设施运行管护工作；负责县城区公共区域机扫冲洗作业、清扫保洁作业、垃圾收运作业、水域清漂作 业；负责化粪池监测；责县城区公共区域垃圾分类作业和厨余垃圾收运；负责脏车入城自动冲洗点工作；完成县住建委、中心交办的其他工作。</w:t>
      </w:r>
    </w:p>
    <w:p>
      <w:pPr>
        <w:pStyle w:val="2"/>
        <w:spacing w:before="257" w:line="308" w:lineRule="auto"/>
        <w:ind w:firstLine="696"/>
        <w:rPr>
          <w:rFonts w:hint="default"/>
          <w:sz w:val="32"/>
          <w:szCs w:val="32"/>
          <w:shd w:val="clear" w:color="auto" w:fill="FFFFFF"/>
          <w:lang w:eastAsia="zh-CN"/>
        </w:rPr>
      </w:pPr>
      <w:r>
        <w:rPr>
          <w:sz w:val="32"/>
          <w:szCs w:val="32"/>
          <w:shd w:val="clear" w:color="auto" w:fill="FFFFFF"/>
          <w:lang w:eastAsia="zh-CN"/>
        </w:rPr>
        <w:t>垃圾处置科。负责采集生活垃圾填埋场、焚烧发电厂、 渗滤液处理厂等的垃圾处理量、工艺标准和作业质量等方面 数据信息；负责检测生活垃圾、渗滤液处理计量工作； 完成县住建委、中心交办的其他工作。</w:t>
      </w:r>
    </w:p>
    <w:p>
      <w:pPr>
        <w:pStyle w:val="2"/>
        <w:spacing w:before="257" w:line="308" w:lineRule="auto"/>
        <w:ind w:firstLine="696"/>
        <w:rPr>
          <w:rFonts w:hint="default"/>
          <w:spacing w:val="18"/>
          <w:lang w:eastAsia="zh-CN"/>
        </w:rPr>
      </w:pPr>
      <w:r>
        <w:rPr>
          <w:sz w:val="32"/>
          <w:szCs w:val="32"/>
          <w:shd w:val="clear" w:color="auto" w:fill="FFFFFF"/>
          <w:lang w:eastAsia="zh-CN"/>
        </w:rPr>
        <w:t>设施管护科。负责城区市政道路、桥梁、隧道、雕塑、停车场所等市政设施及其附属设施运行维护；负责县城区桥梁、隧道安全检测；参与临时开挖及占用城市道路现场勘察；负责城市道路照明、夜景景观照明设施设备运行维护；负责远程智能终端系统等设备运行维护；完成县住建委、中心交办的其他工作。</w:t>
      </w:r>
    </w:p>
    <w:p>
      <w:pPr>
        <w:pStyle w:val="7"/>
        <w:shd w:val="clear" w:color="auto" w:fill="FFFFFF"/>
        <w:spacing w:before="0" w:beforeAutospacing="0" w:after="0" w:afterAutospacing="0" w:line="596" w:lineRule="exact"/>
        <w:ind w:firstLine="641" w:firstLineChars="200"/>
        <w:rPr>
          <w:rFonts w:hint="default" w:ascii="方正仿宋_GBK" w:hAnsi="方正仿宋_GBK" w:eastAsia="方正仿宋_GBK" w:cs="方正仿宋_GBK"/>
          <w:sz w:val="32"/>
          <w:szCs w:val="32"/>
          <w:shd w:val="clear" w:color="auto" w:fill="FFFF00"/>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1"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2024年度收入总计10623.75万元，支出总计</w:t>
      </w:r>
      <w:r>
        <w:rPr>
          <w:rFonts w:ascii="方正仿宋_GBK" w:hAnsi="方正仿宋_GBK" w:eastAsia="方正仿宋_GBK" w:cs="方正仿宋_GBK"/>
          <w:sz w:val="32"/>
          <w:szCs w:val="32"/>
        </w:rPr>
        <w:t>10623.75</w:t>
      </w:r>
      <w:r>
        <w:rPr>
          <w:rFonts w:ascii="方正仿宋_GBK" w:hAnsi="方正仿宋_GBK" w:eastAsia="方正仿宋_GBK" w:cs="方正仿宋_GBK"/>
          <w:sz w:val="32"/>
          <w:szCs w:val="32"/>
          <w:shd w:val="clear" w:color="auto" w:fill="FFFFFF"/>
        </w:rPr>
        <w:t>万元。收、支与2023年度相比，减少1372.29万元，下降11.44%，主要原因是</w:t>
      </w:r>
      <w:r>
        <w:rPr>
          <w:rFonts w:ascii="Times New Roman" w:hAnsi="Times New Roman" w:eastAsia="方正仿宋_GBK"/>
          <w:sz w:val="32"/>
          <w:szCs w:val="32"/>
        </w:rPr>
        <w:t>减少项目预算安排。</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2024年度收入合计9717.75万元，与2023年度相比，减少2278.29万元，下降18.99%，主要原因是</w:t>
      </w:r>
      <w:r>
        <w:rPr>
          <w:rFonts w:ascii="Times New Roman" w:hAnsi="Times New Roman" w:eastAsia="方正仿宋_GBK"/>
          <w:sz w:val="32"/>
          <w:szCs w:val="32"/>
        </w:rPr>
        <w:t>本年度垃圾场渗滤液处理费及农村生活垃圾收运服务费各减少1000.00万元，城市环卫作业服务费减少100.00万元，生活垃圾处置费减少182.00万元。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9717.75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906.00</w:t>
      </w:r>
      <w:r>
        <w:rPr>
          <w:rFonts w:ascii="方正仿宋_GBK" w:hAnsi="方正仿宋_GBK" w:eastAsia="方正仿宋_GBK" w:cs="方正仿宋_GBK"/>
          <w:sz w:val="32"/>
          <w:szCs w:val="32"/>
          <w:shd w:val="clear" w:color="auto" w:fill="FFFFFF"/>
        </w:rPr>
        <w:t>万元。</w:t>
      </w:r>
    </w:p>
    <w:p>
      <w:pPr>
        <w:snapToGrid w:val="0"/>
        <w:spacing w:line="520" w:lineRule="exact"/>
        <w:ind w:firstLine="641"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10623.75</w:t>
      </w:r>
      <w:r>
        <w:rPr>
          <w:rFonts w:ascii="方正仿宋_GBK" w:hAnsi="方正仿宋_GBK" w:eastAsia="方正仿宋_GBK" w:cs="方正仿宋_GBK"/>
          <w:sz w:val="32"/>
          <w:szCs w:val="32"/>
          <w:shd w:val="clear" w:color="auto" w:fill="FFFFFF"/>
        </w:rPr>
        <w:t>万元，与2023年度相比，减少1372.29万元，下降11.44%，主要原因是</w:t>
      </w:r>
      <w:r>
        <w:rPr>
          <w:rFonts w:ascii="Times New Roman" w:hAnsi="Times New Roman" w:eastAsia="方正仿宋_GBK"/>
          <w:sz w:val="32"/>
          <w:szCs w:val="32"/>
        </w:rPr>
        <w:t>本年度本年度年末在职职工与上年度持平，上年度较年初退休4人，新进2人，导致费用高于本年；垃圾场渗滤液处理费及农村生活垃圾收运服务费各减少1000.00万元，城市环卫作业服务费减少100.00万元，生活垃圾处置费减少182.00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943.49</w:t>
      </w:r>
      <w:r>
        <w:rPr>
          <w:rFonts w:ascii="方正仿宋_GBK" w:hAnsi="方正仿宋_GBK" w:eastAsia="方正仿宋_GBK" w:cs="方正仿宋_GBK"/>
          <w:sz w:val="32"/>
          <w:szCs w:val="32"/>
          <w:shd w:val="clear" w:color="auto" w:fill="FFFFFF"/>
        </w:rPr>
        <w:t>万元，占8.88%；项目支出</w:t>
      </w:r>
      <w:r>
        <w:rPr>
          <w:rFonts w:ascii="方正仿宋_GBK" w:hAnsi="方正仿宋_GBK" w:eastAsia="方正仿宋_GBK" w:cs="方正仿宋_GBK"/>
          <w:sz w:val="32"/>
          <w:szCs w:val="32"/>
        </w:rPr>
        <w:t>9680.27</w:t>
      </w:r>
      <w:r>
        <w:rPr>
          <w:rFonts w:ascii="方正仿宋_GBK" w:hAnsi="方正仿宋_GBK" w:eastAsia="方正仿宋_GBK" w:cs="方正仿宋_GBK"/>
          <w:sz w:val="32"/>
          <w:szCs w:val="32"/>
          <w:shd w:val="clear" w:color="auto" w:fill="FFFFFF"/>
        </w:rPr>
        <w:t>万元，占91.12%；经营支出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万元，与2023年度相比，无增减，主要原因是规范资金用途，</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合理使用资金。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2024年度财政拨款收、支总计10623.75万元。与2023年相比，财政拨款收、支总计各减少1372.29万元，下降11.44%。主要原因是</w:t>
      </w:r>
      <w:r>
        <w:rPr>
          <w:rFonts w:ascii="Times New Roman" w:hAnsi="Times New Roman" w:eastAsia="方正仿宋_GBK"/>
          <w:sz w:val="32"/>
          <w:szCs w:val="32"/>
        </w:rPr>
        <w:t>本年度垃圾场渗滤液处理费及农村生活垃圾收运服务费各减少1000.00万元，城市环卫作业服务费减少100.00万元，生活垃圾处置费减少182.00万元。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1153.38</w:t>
      </w:r>
      <w:r>
        <w:rPr>
          <w:rFonts w:ascii="方正仿宋_GBK" w:hAnsi="方正仿宋_GBK" w:eastAsia="方正仿宋_GBK" w:cs="方正仿宋_GBK"/>
          <w:sz w:val="32"/>
          <w:szCs w:val="32"/>
          <w:shd w:val="clear" w:color="auto" w:fill="FFFFFF"/>
        </w:rPr>
        <w:t>万元，与2023年度相比，减少87.37万元，下降7.04%。主要原因是专项资金，专款专用，结余结转至下年继续使用以及根据需要调剂乡镇使用。较年初预算数减少179.00万元，下降13.43%。主要原因是专项资金，专款专用，结余结转至下年继续使用以及根据需要调剂乡镇使用。此外，年初财政拨款结转和结余</w:t>
      </w:r>
      <w:r>
        <w:rPr>
          <w:rFonts w:ascii="方正仿宋_GBK" w:hAnsi="方正仿宋_GBK" w:eastAsia="方正仿宋_GBK" w:cs="方正仿宋_GBK"/>
          <w:sz w:val="32"/>
          <w:szCs w:val="32"/>
        </w:rPr>
        <w:t>906.00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2059.38</w:t>
      </w:r>
      <w:r>
        <w:rPr>
          <w:rFonts w:ascii="方正仿宋_GBK" w:hAnsi="方正仿宋_GBK" w:eastAsia="方正仿宋_GBK" w:cs="方正仿宋_GBK"/>
          <w:sz w:val="32"/>
          <w:szCs w:val="32"/>
          <w:shd w:val="clear" w:color="auto" w:fill="FFFFFF"/>
        </w:rPr>
        <w:t>万元，与2023年度相比，增加818.63万元，增长65.98%。主要原因是</w:t>
      </w:r>
      <w:r>
        <w:rPr>
          <w:rFonts w:ascii="方正仿宋_GBK" w:hAnsi="方正仿宋_GBK" w:eastAsia="方正仿宋_GBK" w:cs="方正仿宋_GBK"/>
          <w:sz w:val="32"/>
          <w:szCs w:val="32"/>
        </w:rPr>
        <w:t>年中追加项目经费906.00万元。</w:t>
      </w:r>
      <w:r>
        <w:rPr>
          <w:rFonts w:ascii="方正仿宋_GBK" w:hAnsi="方正仿宋_GBK" w:eastAsia="方正仿宋_GBK" w:cs="方正仿宋_GBK"/>
          <w:sz w:val="32"/>
          <w:szCs w:val="32"/>
          <w:shd w:val="clear" w:color="auto" w:fill="FFFFFF"/>
        </w:rPr>
        <w:t>较年初预算数增加727.00万元，增长54.56%。主要原因是</w:t>
      </w:r>
      <w:r>
        <w:rPr>
          <w:rFonts w:ascii="方正仿宋_GBK" w:hAnsi="方正仿宋_GBK" w:eastAsia="方正仿宋_GBK" w:cs="方正仿宋_GBK"/>
          <w:sz w:val="32"/>
          <w:szCs w:val="32"/>
        </w:rPr>
        <w:t>年中追加项目经费906.00万元。</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万元，与2023年度相比，无增减，主要原因是规范资金用途，</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合理使用资金。</w:t>
      </w:r>
    </w:p>
    <w:p>
      <w:pPr>
        <w:pStyle w:val="7"/>
        <w:snapToGrid w:val="0"/>
        <w:spacing w:before="0" w:beforeAutospacing="0" w:after="0" w:afterAutospacing="0" w:line="600" w:lineRule="exact"/>
        <w:ind w:firstLine="641"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%，较年初预算数无增减，主要原因是</w:t>
      </w:r>
      <w:r>
        <w:rPr>
          <w:rFonts w:ascii="仿宋_GB2312" w:hAnsi="仿宋" w:eastAsia="仿宋_GB2312"/>
          <w:sz w:val="32"/>
          <w:szCs w:val="32"/>
        </w:rPr>
        <w:t>严格按照年初财政核定数控制支出。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188.12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9.13</w:t>
      </w:r>
      <w:r>
        <w:rPr>
          <w:rFonts w:ascii="方正仿宋_GBK" w:hAnsi="方正仿宋_GBK" w:eastAsia="方正仿宋_GBK" w:cs="方正仿宋_GBK"/>
          <w:sz w:val="32"/>
          <w:szCs w:val="32"/>
          <w:shd w:val="clear" w:color="auto" w:fill="FFFFFF"/>
        </w:rPr>
        <w:t>%，较年初预算数增加77.13万元，增长69.49%，主要原因是社保缴费基数上调以及补缴社保和职业年金导致费用增加。</w:t>
      </w:r>
    </w:p>
    <w:p>
      <w:pPr>
        <w:pStyle w:val="7"/>
        <w:snapToGrid w:val="0"/>
        <w:spacing w:before="0" w:beforeAutospacing="0" w:after="0" w:afterAutospacing="0" w:line="600" w:lineRule="exact"/>
        <w:ind w:firstLine="640" w:firstLineChars="200"/>
        <w:jc w:val="both"/>
        <w:rPr>
          <w:rFonts w:hint="default" w:ascii="仿宋_GB2312" w:hAnsi="仿宋" w:eastAsia="仿宋_GB2312"/>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w:t>
      </w:r>
      <w:r>
        <w:rPr>
          <w:rFonts w:ascii="方正仿宋_GBK" w:hAnsi="方正仿宋_GBK" w:eastAsia="方正仿宋_GBK" w:cs="方正仿宋_GBK"/>
          <w:sz w:val="32"/>
          <w:szCs w:val="32"/>
          <w:shd w:val="clear" w:color="auto" w:fill="FFFFFF"/>
        </w:rPr>
        <w:t>%，较年初预算数无增减，主要原因是</w:t>
      </w:r>
      <w:r>
        <w:rPr>
          <w:rFonts w:ascii="仿宋_GB2312" w:hAnsi="仿宋" w:eastAsia="仿宋_GB2312"/>
          <w:sz w:val="32"/>
          <w:szCs w:val="32"/>
        </w:rPr>
        <w:t xml:space="preserve">严格按照年初财政核定数控制支出。 </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52.73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2.56</w:t>
      </w:r>
      <w:r>
        <w:rPr>
          <w:rFonts w:ascii="方正仿宋_GBK" w:hAnsi="方正仿宋_GBK" w:eastAsia="方正仿宋_GBK" w:cs="方正仿宋_GBK"/>
          <w:sz w:val="32"/>
          <w:szCs w:val="32"/>
          <w:shd w:val="clear" w:color="auto" w:fill="FFFFFF"/>
        </w:rPr>
        <w:t>%，较年初预算数减少112.04万元，下降68.00%，主要原因是专项资金，专款专用，结余结转至下年继续使用。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（5）城乡社区支出</w:t>
      </w:r>
      <w:r>
        <w:rPr>
          <w:rFonts w:ascii="方正仿宋_GBK" w:hAnsi="方正仿宋_GBK" w:eastAsia="方正仿宋_GBK" w:cs="方正仿宋_GBK"/>
          <w:sz w:val="32"/>
          <w:szCs w:val="32"/>
        </w:rPr>
        <w:t>1699.54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82.53</w:t>
      </w:r>
      <w:r>
        <w:rPr>
          <w:rFonts w:ascii="方正仿宋_GBK" w:hAnsi="方正仿宋_GBK" w:eastAsia="方正仿宋_GBK" w:cs="方正仿宋_GBK"/>
          <w:sz w:val="32"/>
          <w:szCs w:val="32"/>
          <w:shd w:val="clear" w:color="auto" w:fill="FFFFFF"/>
        </w:rPr>
        <w:t>%，较年初预算数增加925.92万元，增长119.69%，主要原因是年中追加项目经费906.00万元。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（6）农林水支出</w:t>
      </w:r>
      <w:r>
        <w:rPr>
          <w:rFonts w:ascii="方正仿宋_GBK" w:hAnsi="方正仿宋_GBK" w:eastAsia="方正仿宋_GBK" w:cs="方正仿宋_GBK"/>
          <w:sz w:val="32"/>
          <w:szCs w:val="32"/>
        </w:rPr>
        <w:t>45.52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%，较年初预算数减少184.01万元，下降80.17%，主要原因是专项资金，专款专用，根据需要调剂乡镇使用。</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住房保障支出48.13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w:t>
      </w:r>
      <w:r>
        <w:rPr>
          <w:rFonts w:ascii="方正仿宋_GBK" w:hAnsi="方正仿宋_GBK" w:eastAsia="方正仿宋_GBK" w:cs="方正仿宋_GBK"/>
          <w:sz w:val="32"/>
          <w:szCs w:val="32"/>
          <w:shd w:val="clear" w:color="auto" w:fill="FFFFFF"/>
        </w:rPr>
        <w:t>%，较年初预算数增加20.00万元，增长71.10%，主要原因是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年初预算不足且缴费基数上调导致支出增加。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943.49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800.30</w:t>
      </w:r>
      <w:r>
        <w:rPr>
          <w:rFonts w:ascii="方正仿宋_GBK" w:hAnsi="方正仿宋_GBK" w:eastAsia="方正仿宋_GBK" w:cs="方正仿宋_GBK"/>
          <w:sz w:val="32"/>
          <w:szCs w:val="32"/>
          <w:shd w:val="clear" w:color="auto" w:fill="FFFFFF"/>
        </w:rPr>
        <w:t>万元，与2023年度相比，减少21.68万元，下降2.64%，主要原因是本年度年末在职职工与上年度持平，上年度较年初退休4人，新进2人，导致费用高于本年，人员经费用途主要包括</w:t>
      </w:r>
      <w:r>
        <w:rPr>
          <w:rFonts w:hint="default" w:ascii="Times New Roman" w:hAnsi="Times New Roman" w:eastAsia="方正仿宋_GBK"/>
          <w:sz w:val="32"/>
          <w:szCs w:val="32"/>
          <w:shd w:val="clear" w:color="auto" w:fill="FFFFFF"/>
        </w:rPr>
        <w:t>基本工资、津贴补贴、奖金、住房公积金、社会保障缴费、购买服务人员工资福利支出及社保统筹等。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143.19</w:t>
      </w:r>
      <w:r>
        <w:rPr>
          <w:rFonts w:ascii="方正仿宋_GBK" w:hAnsi="方正仿宋_GBK" w:eastAsia="方正仿宋_GBK" w:cs="方正仿宋_GBK"/>
          <w:sz w:val="32"/>
          <w:szCs w:val="32"/>
          <w:shd w:val="clear" w:color="auto" w:fill="FFFFFF"/>
        </w:rPr>
        <w:t>万元，与2023年度相比，减少54.10万元，下降27.42%，主要原因是本年度年末在职职工与上年度持平，上年度较年初退休4人，新进2人，导致费用高于本年，公用经费用途主要包括</w:t>
      </w:r>
      <w:r>
        <w:rPr>
          <w:rFonts w:hint="default" w:ascii="Times New Roman" w:hAnsi="Times New Roman" w:eastAsia="方正仿宋_GBK"/>
          <w:sz w:val="32"/>
          <w:szCs w:val="32"/>
          <w:shd w:val="clear" w:color="auto" w:fill="FFFFFF"/>
        </w:rPr>
        <w:t>办公费、印刷费、差旅费、接待费、培训费及公务用车运行维护费等。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8564.38</w:t>
      </w:r>
      <w:r>
        <w:rPr>
          <w:rFonts w:ascii="方正仿宋_GBK" w:hAnsi="方正仿宋_GBK" w:eastAsia="方正仿宋_GBK" w:cs="方正仿宋_GBK"/>
          <w:sz w:val="32"/>
          <w:szCs w:val="32"/>
          <w:shd w:val="clear" w:color="auto" w:fill="FFFFFF"/>
        </w:rPr>
        <w:t>万元，与2023年度相比，减少2190.91万元，下降20.37%，主要原因是</w:t>
      </w:r>
      <w:r>
        <w:rPr>
          <w:rFonts w:ascii="Times New Roman" w:hAnsi="Times New Roman" w:eastAsia="方正仿宋_GBK"/>
          <w:sz w:val="32"/>
          <w:szCs w:val="32"/>
        </w:rPr>
        <w:t>本年度垃圾场渗滤液处理费及农村生活垃圾收运服务费各减少1000.00万元，城市环卫作业服务费减少100.00万元，生活垃圾处置费减少182.00万元。</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8564.38</w:t>
      </w:r>
      <w:r>
        <w:rPr>
          <w:rFonts w:ascii="方正仿宋_GBK" w:hAnsi="方正仿宋_GBK" w:eastAsia="方正仿宋_GBK" w:cs="方正仿宋_GBK"/>
          <w:sz w:val="32"/>
          <w:szCs w:val="32"/>
          <w:shd w:val="clear" w:color="auto" w:fill="FFFFFF"/>
        </w:rPr>
        <w:t>万元，与2023年度相比，减少2190.91万元，下降20.37%，主要原因是</w:t>
      </w:r>
      <w:r>
        <w:rPr>
          <w:rFonts w:ascii="Times New Roman" w:hAnsi="Times New Roman" w:eastAsia="方正仿宋_GBK"/>
          <w:sz w:val="32"/>
          <w:szCs w:val="32"/>
        </w:rPr>
        <w:t>本年度垃圾场渗滤液处理费及农村生活垃圾收运服务费各减少1000.00万元，城市环卫作业服务费减少100.00万元，生活垃圾处置费减少182.00万元。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spacing w:before="0" w:beforeAutospacing="0" w:after="0" w:afterAutospacing="0" w:line="596" w:lineRule="exact"/>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15.76</w:t>
      </w:r>
      <w:r>
        <w:rPr>
          <w:rFonts w:ascii="方正仿宋_GBK" w:hAnsi="方正仿宋_GBK" w:eastAsia="方正仿宋_GBK" w:cs="方正仿宋_GBK"/>
          <w:sz w:val="32"/>
          <w:szCs w:val="32"/>
          <w:shd w:val="clear" w:color="auto" w:fill="FFFFFF"/>
        </w:rPr>
        <w:t>万元，较年初预算数减少106.24万元，下降87.08%，主要原因是认真贯彻落实中央八项规定精神，按照只减不增的要求从严控制“ 三公”经费，较上年支出数减少3.58万元，下降18.51%，主要原因是</w:t>
      </w:r>
      <w:r>
        <w:rPr>
          <w:rFonts w:ascii="仿宋_GB2312" w:hAnsi="仿宋" w:eastAsia="仿宋_GB2312"/>
          <w:sz w:val="32"/>
          <w:szCs w:val="32"/>
        </w:rPr>
        <w:t>厉行节约，严控</w:t>
      </w:r>
      <w:r>
        <w:rPr>
          <w:rFonts w:ascii="方正仿宋_GBK" w:hAnsi="方正仿宋_GBK" w:eastAsia="方正仿宋_GBK" w:cs="方正仿宋_GBK"/>
          <w:sz w:val="32"/>
          <w:szCs w:val="32"/>
          <w:shd w:val="clear" w:color="auto" w:fill="FFFFFF"/>
        </w:rPr>
        <w:t>“ 三公”</w:t>
      </w:r>
      <w:r>
        <w:rPr>
          <w:rFonts w:ascii="仿宋_GB2312" w:hAnsi="仿宋" w:eastAsia="仿宋_GB2312"/>
          <w:sz w:val="32"/>
          <w:szCs w:val="32"/>
        </w:rPr>
        <w:t>经费支出。认真贯彻落实中央八项规定精神，按照只减不增的要求从严控制“三公”经费，严格落实公车使用规定。</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万元，主要是本单位2024年度未发生因公出国（境）费用支出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严格控制“三公”经费支出，较上年支出数无增减，主要原因是严格控制“三公”经费支出。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万元，费用支出较年初预算数无增减，主要原因是本单位2024年度未发生公务车购置费支出。较上年支出数无增减，主要原因是严格控制公务车购置数量，本年未购置车辆。 </w:t>
      </w:r>
    </w:p>
    <w:p>
      <w:pPr>
        <w:snapToGrid w:val="0"/>
        <w:spacing w:line="520" w:lineRule="exact"/>
        <w:ind w:firstLine="640" w:firstLineChars="200"/>
        <w:rPr>
          <w:rFonts w:hint="default" w:ascii="仿宋_GB2312" w:hAnsi="仿宋" w:eastAsia="仿宋_GB2312"/>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14.46</w:t>
      </w:r>
      <w:r>
        <w:rPr>
          <w:rFonts w:ascii="方正仿宋_GBK" w:hAnsi="方正仿宋_GBK" w:eastAsia="方正仿宋_GBK" w:cs="方正仿宋_GBK"/>
          <w:sz w:val="32"/>
          <w:szCs w:val="32"/>
          <w:shd w:val="clear" w:color="auto" w:fill="FFFFFF"/>
        </w:rPr>
        <w:t>万元，主要用于机要文件交换、 市内因公出行、财政业务检查、环卫作业等工作所需车辆的  燃料费 、维修费 、过桥过路费、保险费。费用支出较年初预算数减少75.54万元，下降83.93%，主要原因是</w:t>
      </w:r>
      <w:r>
        <w:rPr>
          <w:rFonts w:ascii="仿宋_GB2312" w:hAnsi="仿宋" w:eastAsia="仿宋_GB2312"/>
          <w:sz w:val="32"/>
          <w:szCs w:val="32"/>
        </w:rPr>
        <w:t>厉行节约，严控</w:t>
      </w:r>
      <w:r>
        <w:rPr>
          <w:rFonts w:ascii="方正仿宋_GBK" w:hAnsi="方正仿宋_GBK" w:eastAsia="方正仿宋_GBK" w:cs="方正仿宋_GBK"/>
          <w:sz w:val="32"/>
          <w:szCs w:val="32"/>
          <w:shd w:val="clear" w:color="auto" w:fill="FFFFFF"/>
        </w:rPr>
        <w:t>“ 三公”</w:t>
      </w:r>
      <w:r>
        <w:rPr>
          <w:rFonts w:ascii="仿宋_GB2312" w:hAnsi="仿宋" w:eastAsia="仿宋_GB2312"/>
          <w:sz w:val="32"/>
          <w:szCs w:val="32"/>
        </w:rPr>
        <w:t>经费支出。认真贯彻落实中央八项规定精神，按照只减不增的要求从严控制“三公”经费，严格落实公车使用规定。</w:t>
      </w:r>
      <w:r>
        <w:rPr>
          <w:rFonts w:ascii="方正仿宋_GBK" w:hAnsi="方正仿宋_GBK" w:eastAsia="方正仿宋_GBK" w:cs="方正仿宋_GBK"/>
          <w:sz w:val="32"/>
          <w:szCs w:val="32"/>
          <w:shd w:val="clear" w:color="auto" w:fill="FFFFFF"/>
        </w:rPr>
        <w:t>较上年支出数减少3.66万元，下降20.20%，主要原因是</w:t>
      </w:r>
      <w:r>
        <w:rPr>
          <w:rFonts w:ascii="仿宋_GB2312" w:hAnsi="仿宋" w:eastAsia="仿宋_GB2312"/>
          <w:sz w:val="32"/>
          <w:szCs w:val="32"/>
        </w:rPr>
        <w:t>厉行节约，严控</w:t>
      </w:r>
      <w:r>
        <w:rPr>
          <w:rFonts w:ascii="方正仿宋_GBK" w:hAnsi="方正仿宋_GBK" w:eastAsia="方正仿宋_GBK" w:cs="方正仿宋_GBK"/>
          <w:sz w:val="32"/>
          <w:szCs w:val="32"/>
          <w:shd w:val="clear" w:color="auto" w:fill="FFFFFF"/>
        </w:rPr>
        <w:t>“ 三公”</w:t>
      </w:r>
      <w:r>
        <w:rPr>
          <w:rFonts w:ascii="仿宋_GB2312" w:hAnsi="仿宋" w:eastAsia="仿宋_GB2312"/>
          <w:sz w:val="32"/>
          <w:szCs w:val="32"/>
        </w:rPr>
        <w:t>经费支出。认真贯彻落实中央八项规定精神，按照只减不增的要求从严控制“三公”经费，严格落实公车使用规定。</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sz w:val="32"/>
          <w:szCs w:val="32"/>
          <w:shd w:val="clear" w:color="auto" w:fill="FFFFFF"/>
        </w:rPr>
        <w:t>其他单位到我单位学习调研城管工作，接受相关部门检查指导工作发生的接待支出。</w:t>
      </w:r>
      <w:r>
        <w:rPr>
          <w:rFonts w:ascii="方正仿宋_GBK" w:hAnsi="方正仿宋_GBK" w:eastAsia="方正仿宋_GBK" w:cs="方正仿宋_GBK"/>
          <w:sz w:val="32"/>
          <w:szCs w:val="32"/>
          <w:shd w:val="clear" w:color="auto" w:fill="FFFFFF"/>
        </w:rPr>
        <w:t>费用支出较年初预算数减少30.70万元，下降95.94%，主要原因是</w:t>
      </w:r>
      <w:r>
        <w:rPr>
          <w:rFonts w:hint="default" w:ascii="Times New Roman" w:hAnsi="Times New Roman" w:eastAsia="方正仿宋_GBK"/>
          <w:sz w:val="32"/>
          <w:szCs w:val="32"/>
          <w:shd w:val="clear" w:color="auto" w:fill="FFFFFF"/>
        </w:rPr>
        <w:t>认真贯彻落实中央八项规定精神，强化公务接待支出管理，严格遵守公务接待开支范围和开支标准，严格控制陪餐人数</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较上年支出数增加0.08万元，增长6.56%，主要原因是</w:t>
      </w:r>
      <w:r>
        <w:rPr>
          <w:rFonts w:ascii="仿宋_GB2312" w:hAnsi="仿宋" w:eastAsia="仿宋_GB2312"/>
          <w:sz w:val="32"/>
          <w:szCs w:val="32"/>
        </w:rPr>
        <w:t>较上年度多接待市级单位指导业务技术工作。</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76.47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1.45</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1"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万元，与2023年度相比，无增减，主要原因是本年度无会议费支出。本年度培训费支出</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万元，与2023年度相比，减少3.75万元，下降66.37%，主要原因是</w:t>
      </w:r>
      <w:r>
        <w:rPr>
          <w:rFonts w:ascii="仿宋_GB2312" w:hAnsi="仿宋" w:eastAsia="仿宋_GB2312"/>
          <w:sz w:val="32"/>
          <w:szCs w:val="32"/>
        </w:rPr>
        <w:t>严格控制支出。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2"/>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2987.97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2987.97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w:t>
      </w:r>
      <w:r>
        <w:rPr>
          <w:rFonts w:ascii="Times New Roman" w:hAnsi="Times New Roman" w:eastAsia="方正仿宋_GBK"/>
          <w:sz w:val="32"/>
          <w:szCs w:val="32"/>
        </w:rPr>
        <w:t>城市环卫作业服务费项目。</w:t>
      </w:r>
    </w:p>
    <w:p>
      <w:pPr>
        <w:pStyle w:val="13"/>
        <w:spacing w:before="0" w:beforeAutospacing="0" w:after="0" w:afterAutospacing="0" w:line="596" w:lineRule="exact"/>
        <w:ind w:firstLine="641"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2"/>
        <w:spacing w:before="114" w:line="307" w:lineRule="auto"/>
        <w:ind w:right="2" w:firstLine="640" w:firstLineChars="200"/>
        <w:rPr>
          <w:rFonts w:hint="default"/>
          <w:sz w:val="32"/>
          <w:szCs w:val="32"/>
          <w:shd w:val="clear" w:color="auto" w:fill="FFFFFF"/>
          <w:lang w:eastAsia="zh-CN" w:bidi="ar"/>
          <w:woUserID w:val="1"/>
        </w:rPr>
      </w:pPr>
      <w:bookmarkStart w:id="0" w:name="_GoBack"/>
      <w:r>
        <w:rPr>
          <w:sz w:val="32"/>
          <w:szCs w:val="32"/>
          <w:shd w:val="clear" w:color="auto" w:fill="FFFFFF"/>
          <w:lang w:eastAsia="zh-CN" w:bidi="ar"/>
        </w:rPr>
        <w:t>根据预算绩效管理要求，我单位</w:t>
      </w:r>
      <w:r>
        <w:rPr>
          <w:rFonts w:hint="default"/>
          <w:sz w:val="32"/>
          <w:szCs w:val="32"/>
          <w:shd w:val="clear" w:color="auto" w:fill="FFFFFF"/>
          <w:lang w:eastAsia="zh-CN" w:bidi="ar"/>
        </w:rPr>
        <w:t>12个二级项目开展了绩效自评，涉及财政拨款项目支出资金9680.27万元</w:t>
      </w:r>
      <w:r>
        <w:rPr>
          <w:rFonts w:ascii="Times New Roman" w:hAnsi="Times New Roman" w:eastAsia="方正仿宋_GBK"/>
          <w:sz w:val="32"/>
          <w:szCs w:val="32"/>
          <w:woUserID w:val="1"/>
        </w:rPr>
        <w:t>。</w:t>
      </w:r>
    </w:p>
    <w:bookmarkEnd w:id="0"/>
    <w:p>
      <w:pPr>
        <w:spacing w:line="594" w:lineRule="exact"/>
        <w:ind w:firstLine="640"/>
        <w:rPr>
          <w:rFonts w:hint="default" w:ascii="方正仿宋_GBK" w:hAnsi="方正仿宋_GBK" w:eastAsia="方正仿宋_GBK" w:cs="方正仿宋_GBK"/>
          <w:sz w:val="32"/>
          <w:szCs w:val="32"/>
          <w:shd w:val="clear" w:color="auto" w:fill="FFFFFF"/>
          <w:lang w:bidi="ar"/>
        </w:rPr>
      </w:pPr>
    </w:p>
    <w:p>
      <w:pPr>
        <w:pStyle w:val="2"/>
        <w:rPr>
          <w:rFonts w:hint="default"/>
        </w:rPr>
      </w:pPr>
      <w:r>
        <w:rPr>
          <w:lang w:eastAsia="zh-CN"/>
        </w:rPr>
        <w:drawing>
          <wp:inline distT="0" distB="0" distL="114300" distR="114300">
            <wp:extent cx="5278120" cy="7906385"/>
            <wp:effectExtent l="0" t="0" r="17780" b="184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78120" cy="7906385"/>
                    </a:xfrm>
                    <a:prstGeom prst="rect">
                      <a:avLst/>
                    </a:prstGeom>
                    <a:noFill/>
                    <a:ln>
                      <a:noFill/>
                    </a:ln>
                  </pic:spPr>
                </pic:pic>
              </a:graphicData>
            </a:graphic>
          </wp:inline>
        </w:drawing>
      </w:r>
    </w:p>
    <w:p>
      <w:pPr>
        <w:pStyle w:val="2"/>
        <w:rPr>
          <w:rFonts w:hint="default"/>
        </w:rPr>
      </w:pPr>
    </w:p>
    <w:p>
      <w:pPr>
        <w:pStyle w:val="2"/>
        <w:rPr>
          <w:rFonts w:hint="default"/>
        </w:rPr>
      </w:pPr>
    </w:p>
    <w:p>
      <w:pPr>
        <w:pStyle w:val="2"/>
        <w:rPr>
          <w:rFonts w:hint="default"/>
          <w:lang w:eastAsia="zh-CN"/>
        </w:rPr>
      </w:pPr>
      <w:r>
        <w:rPr>
          <w:lang w:eastAsia="zh-CN"/>
        </w:rPr>
        <w:drawing>
          <wp:inline distT="0" distB="0" distL="114300" distR="114300">
            <wp:extent cx="5276215" cy="5692140"/>
            <wp:effectExtent l="0" t="0" r="63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76215" cy="5692140"/>
                    </a:xfrm>
                    <a:prstGeom prst="rect">
                      <a:avLst/>
                    </a:prstGeom>
                    <a:noFill/>
                    <a:ln>
                      <a:noFill/>
                    </a:ln>
                  </pic:spPr>
                </pic:pic>
              </a:graphicData>
            </a:graphic>
          </wp:inline>
        </w:drawing>
      </w:r>
    </w:p>
    <w:p>
      <w:pPr>
        <w:pStyle w:val="13"/>
        <w:spacing w:before="0" w:beforeAutospacing="0" w:after="0" w:afterAutospacing="0" w:line="596" w:lineRule="exact"/>
        <w:rPr>
          <w:rStyle w:val="14"/>
          <w:rFonts w:ascii="方正仿宋_GBK" w:hAnsi="方正仿宋_GBK" w:eastAsia="方正仿宋_GBK" w:cs="方正仿宋_GBK"/>
          <w:color w:val="FF0000"/>
          <w:sz w:val="32"/>
          <w:szCs w:val="32"/>
          <w:shd w:val="clear" w:color="auto" w:fill="FFFFFF"/>
        </w:rPr>
      </w:pPr>
    </w:p>
    <w:p>
      <w:pPr>
        <w:pStyle w:val="12"/>
        <w:autoSpaceDE w:val="0"/>
        <w:ind w:left="800" w:leftChars="200" w:hanging="320" w:hangingChars="1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2"/>
        <w:autoSpaceDE w:val="0"/>
        <w:ind w:left="799" w:leftChars="333"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7"/>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0"/>
          <w:sz w:val="32"/>
          <w:szCs w:val="32"/>
          <w:shd w:val="clear" w:fill="FFFFFF"/>
          <w:lang w:val="en-US" w:eastAsia="zh-CN"/>
          <w:woUserID w:val="1"/>
        </w:rPr>
      </w:pPr>
      <w:r>
        <w:rPr>
          <w:rFonts w:hint="eastAsia" w:ascii="方正仿宋_GBK" w:hAnsi="方正仿宋_GBK" w:eastAsia="方正仿宋_GBK" w:cs="方正仿宋_GBK"/>
          <w:kern w:val="0"/>
          <w:sz w:val="32"/>
          <w:szCs w:val="32"/>
          <w:shd w:val="clear" w:fill="FFFFFF"/>
          <w:lang w:val="en-US" w:eastAsia="zh-CN"/>
          <w:woUserID w:val="1"/>
        </w:rPr>
        <w:t>县</w:t>
      </w:r>
      <w:r>
        <w:rPr>
          <w:rFonts w:hint="eastAsia" w:ascii="方正仿宋_GBK" w:hAnsi="方正仿宋_GBK" w:eastAsia="方正仿宋_GBK" w:cs="方正仿宋_GBK"/>
          <w:kern w:val="0"/>
          <w:sz w:val="32"/>
          <w:szCs w:val="32"/>
          <w:shd w:val="clear" w:fill="FFFFFF"/>
          <w:woUserID w:val="1"/>
        </w:rPr>
        <w:t>财政局委托第三方对我单位</w:t>
      </w:r>
      <w:r>
        <w:rPr>
          <w:rFonts w:hint="eastAsia" w:ascii="方正仿宋_GBK" w:hAnsi="方正仿宋_GBK" w:eastAsia="方正仿宋_GBK" w:cs="方正仿宋_GBK"/>
          <w:kern w:val="0"/>
          <w:sz w:val="32"/>
          <w:szCs w:val="32"/>
          <w:shd w:val="clear" w:fill="FFFFFF"/>
          <w:lang w:val="en-US" w:eastAsia="zh-CN"/>
          <w:woUserID w:val="1"/>
        </w:rPr>
        <w:t>2024年</w:t>
      </w:r>
      <w:r>
        <w:rPr>
          <w:rFonts w:hint="eastAsia" w:ascii="方正仿宋_GBK" w:hAnsi="方正仿宋_GBK" w:eastAsia="方正仿宋_GBK" w:cs="方正仿宋_GBK"/>
          <w:kern w:val="0"/>
          <w:sz w:val="32"/>
          <w:szCs w:val="32"/>
          <w:shd w:val="clear" w:fill="FFFFFF"/>
          <w:woUserID w:val="1"/>
        </w:rPr>
        <w:t>农村生活垃圾收运服务</w:t>
      </w:r>
      <w:r>
        <w:rPr>
          <w:rFonts w:hint="eastAsia" w:ascii="方正仿宋_GBK" w:hAnsi="方正仿宋_GBK" w:eastAsia="方正仿宋_GBK" w:cs="方正仿宋_GBK"/>
          <w:kern w:val="0"/>
          <w:sz w:val="32"/>
          <w:szCs w:val="32"/>
          <w:shd w:val="clear" w:fill="FFFFFF"/>
          <w:lang w:eastAsia="zh-CN"/>
          <w:woUserID w:val="1"/>
        </w:rPr>
        <w:t>费</w:t>
      </w:r>
      <w:r>
        <w:rPr>
          <w:rFonts w:hint="eastAsia" w:ascii="方正仿宋_GBK" w:hAnsi="方正仿宋_GBK" w:eastAsia="方正仿宋_GBK" w:cs="方正仿宋_GBK"/>
          <w:kern w:val="0"/>
          <w:sz w:val="32"/>
          <w:szCs w:val="32"/>
          <w:shd w:val="clear" w:fill="FFFFFF"/>
          <w:woUserID w:val="1"/>
        </w:rPr>
        <w:t>开展了绩效评价，涉及财政拨款项目资金</w:t>
      </w:r>
      <w:r>
        <w:rPr>
          <w:rFonts w:hint="default" w:ascii="方正仿宋_GBK" w:hAnsi="方正仿宋_GBK" w:eastAsia="方正仿宋_GBK" w:cs="方正仿宋_GBK"/>
          <w:kern w:val="0"/>
          <w:sz w:val="32"/>
          <w:szCs w:val="32"/>
          <w:shd w:val="clear" w:fill="FFFFFF"/>
          <w:woUserID w:val="1"/>
        </w:rPr>
        <w:t>1480</w:t>
      </w:r>
      <w:r>
        <w:rPr>
          <w:rFonts w:hint="eastAsia" w:ascii="方正仿宋_GBK" w:hAnsi="方正仿宋_GBK" w:eastAsia="方正仿宋_GBK" w:cs="方正仿宋_GBK"/>
          <w:kern w:val="0"/>
          <w:sz w:val="32"/>
          <w:szCs w:val="32"/>
          <w:shd w:val="clear" w:fill="FFFFFF"/>
          <w:woUserID w:val="1"/>
        </w:rPr>
        <w:t>万元，评价得分</w:t>
      </w:r>
      <w:r>
        <w:rPr>
          <w:rFonts w:hint="eastAsia" w:ascii="方正仿宋_GBK" w:hAnsi="方正仿宋_GBK" w:eastAsia="方正仿宋_GBK" w:cs="方正仿宋_GBK"/>
          <w:kern w:val="0"/>
          <w:sz w:val="32"/>
          <w:szCs w:val="32"/>
          <w:shd w:val="clear" w:fill="FFFFFF"/>
          <w:lang w:eastAsia="zh-CN"/>
          <w:woUserID w:val="1"/>
        </w:rPr>
        <w:t>分别为</w:t>
      </w:r>
      <w:r>
        <w:rPr>
          <w:rFonts w:hint="eastAsia" w:ascii="方正仿宋_GBK" w:hAnsi="方正仿宋_GBK" w:eastAsia="方正仿宋_GBK" w:cs="方正仿宋_GBK"/>
          <w:kern w:val="0"/>
          <w:sz w:val="32"/>
          <w:szCs w:val="32"/>
          <w:shd w:val="clear" w:fill="FFFFFF"/>
          <w:lang w:val="en-US" w:eastAsia="zh-CN"/>
          <w:woUserID w:val="1"/>
        </w:rPr>
        <w:t>86</w:t>
      </w:r>
      <w:r>
        <w:rPr>
          <w:rFonts w:hint="eastAsia" w:ascii="方正仿宋_GBK" w:hAnsi="方正仿宋_GBK" w:eastAsia="方正仿宋_GBK" w:cs="方正仿宋_GBK"/>
          <w:kern w:val="0"/>
          <w:sz w:val="32"/>
          <w:szCs w:val="32"/>
          <w:shd w:val="clear" w:fill="FFFFFF"/>
          <w:woUserID w:val="1"/>
        </w:rPr>
        <w:t>分，评价等次为</w:t>
      </w:r>
      <w:r>
        <w:rPr>
          <w:rFonts w:hint="default" w:ascii="仿宋" w:hAnsi="仿宋" w:eastAsia="仿宋" w:cs="仿宋"/>
          <w:kern w:val="2"/>
          <w:sz w:val="30"/>
          <w:szCs w:val="30"/>
          <w:lang w:val="en-US" w:eastAsia="zh-CN" w:bidi="ar"/>
          <w:woUserID w:val="1"/>
        </w:rPr>
        <w:t>“良”</w:t>
      </w:r>
      <w:r>
        <w:rPr>
          <w:rFonts w:hint="eastAsia" w:ascii="方正仿宋_GBK" w:hAnsi="方正仿宋_GBK" w:eastAsia="方正仿宋_GBK" w:cs="方正仿宋_GBK"/>
          <w:kern w:val="0"/>
          <w:sz w:val="32"/>
          <w:szCs w:val="32"/>
          <w:shd w:val="clear" w:fill="FFFFFF"/>
          <w:woUserID w:val="1"/>
        </w:rPr>
        <w:t>，绩效评价发现了</w:t>
      </w:r>
      <w:r>
        <w:rPr>
          <w:rFonts w:hint="eastAsia" w:ascii="方正仿宋_GBK" w:hAnsi="方正仿宋_GBK" w:eastAsia="方正仿宋_GBK" w:cs="方正仿宋_GBK"/>
          <w:kern w:val="0"/>
          <w:sz w:val="32"/>
          <w:szCs w:val="32"/>
          <w:shd w:val="clear" w:fill="FFFFFF"/>
          <w:lang w:eastAsia="zh-CN"/>
          <w:woUserID w:val="1"/>
        </w:rPr>
        <w:t>绩效目标量化不足，绩效指标可操作性欠缺；预算编制不科学，预算管理存在系统性缺陷；考核方式违背协议约定，考核管理流于形式</w:t>
      </w:r>
      <w:r>
        <w:rPr>
          <w:rFonts w:hint="eastAsia" w:ascii="方正仿宋_GBK" w:hAnsi="方正仿宋_GBK" w:eastAsia="方正仿宋_GBK" w:cs="方正仿宋_GBK"/>
          <w:kern w:val="0"/>
          <w:sz w:val="32"/>
          <w:szCs w:val="32"/>
          <w:shd w:val="clear" w:fill="FFFFFF"/>
          <w:woUserID w:val="1"/>
        </w:rPr>
        <w:t>等主要问题，提出</w:t>
      </w:r>
      <w:r>
        <w:rPr>
          <w:rFonts w:hint="eastAsia" w:ascii="方正仿宋_GBK" w:hAnsi="方正仿宋_GBK" w:eastAsia="方正仿宋_GBK" w:cs="方正仿宋_GBK"/>
          <w:kern w:val="0"/>
          <w:sz w:val="32"/>
          <w:szCs w:val="32"/>
          <w:shd w:val="clear" w:fill="FFFFFF"/>
          <w:lang w:eastAsia="zh-CN"/>
          <w:woUserID w:val="1"/>
        </w:rPr>
        <w:t>完善绩效目标设置，提升绩效指标可操作性；优化预算编制方法，加强预算执行监管；强化制度执行，激活动态监管机制。</w:t>
      </w:r>
      <w:r>
        <w:rPr>
          <w:rFonts w:hint="eastAsia" w:ascii="方正仿宋_GBK" w:hAnsi="方正仿宋_GBK" w:eastAsia="方正仿宋_GBK" w:cs="方正仿宋_GBK"/>
          <w:kern w:val="0"/>
          <w:sz w:val="32"/>
          <w:szCs w:val="32"/>
          <w:shd w:val="clear" w:fill="FFFFFF"/>
          <w:lang w:eastAsia="zh-CN"/>
          <w:woUserID w:val="1"/>
        </w:rPr>
        <w:t>生活垃圾处置费（垃圾焚烧发电项目）</w:t>
      </w:r>
      <w:r>
        <w:rPr>
          <w:rFonts w:hint="eastAsia" w:ascii="方正仿宋_GBK" w:hAnsi="方正仿宋_GBK" w:eastAsia="方正仿宋_GBK" w:cs="方正仿宋_GBK"/>
          <w:kern w:val="0"/>
          <w:sz w:val="32"/>
          <w:szCs w:val="32"/>
          <w:shd w:val="clear" w:fill="FFFFFF"/>
          <w:woUserID w:val="1"/>
        </w:rPr>
        <w:t>开展了绩效评价，涉及财政拨款项目资金</w:t>
      </w:r>
      <w:r>
        <w:rPr>
          <w:rFonts w:hint="default" w:ascii="方正仿宋_GBK" w:hAnsi="方正仿宋_GBK" w:eastAsia="方正仿宋_GBK" w:cs="方正仿宋_GBK"/>
          <w:kern w:val="0"/>
          <w:sz w:val="32"/>
          <w:szCs w:val="32"/>
          <w:shd w:val="clear" w:fill="FFFFFF"/>
          <w:woUserID w:val="1"/>
        </w:rPr>
        <w:t>1852</w:t>
      </w:r>
      <w:r>
        <w:rPr>
          <w:rFonts w:hint="eastAsia" w:ascii="方正仿宋_GBK" w:hAnsi="方正仿宋_GBK" w:eastAsia="方正仿宋_GBK" w:cs="方正仿宋_GBK"/>
          <w:kern w:val="0"/>
          <w:sz w:val="32"/>
          <w:szCs w:val="32"/>
          <w:shd w:val="clear" w:fill="FFFFFF"/>
          <w:woUserID w:val="1"/>
        </w:rPr>
        <w:t>万元，评价得分</w:t>
      </w:r>
      <w:r>
        <w:rPr>
          <w:rFonts w:hint="eastAsia" w:ascii="方正仿宋_GBK" w:hAnsi="方正仿宋_GBK" w:eastAsia="方正仿宋_GBK" w:cs="方正仿宋_GBK"/>
          <w:kern w:val="0"/>
          <w:sz w:val="32"/>
          <w:szCs w:val="32"/>
          <w:shd w:val="clear" w:fill="FFFFFF"/>
          <w:lang w:val="en-US" w:eastAsia="zh-CN"/>
          <w:woUserID w:val="1"/>
        </w:rPr>
        <w:t>85.84分</w:t>
      </w:r>
      <w:r>
        <w:rPr>
          <w:rFonts w:hint="eastAsia" w:ascii="方正仿宋_GBK" w:hAnsi="方正仿宋_GBK" w:eastAsia="方正仿宋_GBK" w:cs="方正仿宋_GBK"/>
          <w:kern w:val="0"/>
          <w:sz w:val="32"/>
          <w:szCs w:val="32"/>
          <w:shd w:val="clear" w:fill="FFFFFF"/>
          <w:woUserID w:val="1"/>
        </w:rPr>
        <w:t>，评价等次为</w:t>
      </w:r>
      <w:r>
        <w:rPr>
          <w:rFonts w:hint="default" w:ascii="仿宋" w:hAnsi="仿宋" w:eastAsia="仿宋" w:cs="仿宋"/>
          <w:kern w:val="2"/>
          <w:sz w:val="30"/>
          <w:szCs w:val="30"/>
          <w:lang w:val="en-US" w:eastAsia="zh-CN" w:bidi="ar"/>
          <w:woUserID w:val="1"/>
        </w:rPr>
        <w:t>“良”</w:t>
      </w:r>
      <w:r>
        <w:rPr>
          <w:rFonts w:hint="eastAsia" w:ascii="方正仿宋_GBK" w:hAnsi="方正仿宋_GBK" w:eastAsia="方正仿宋_GBK" w:cs="方正仿宋_GBK"/>
          <w:kern w:val="0"/>
          <w:sz w:val="32"/>
          <w:szCs w:val="32"/>
          <w:shd w:val="clear" w:fill="FFFFFF"/>
          <w:woUserID w:val="1"/>
        </w:rPr>
        <w:t>，绩效评价发现了</w:t>
      </w:r>
      <w:r>
        <w:rPr>
          <w:rFonts w:hint="eastAsia" w:ascii="方正仿宋_GBK" w:hAnsi="方正仿宋_GBK" w:eastAsia="方正仿宋_GBK" w:cs="方正仿宋_GBK"/>
          <w:kern w:val="0"/>
          <w:sz w:val="32"/>
          <w:szCs w:val="32"/>
          <w:shd w:val="clear" w:fill="FFFFFF"/>
          <w:lang w:eastAsia="zh-CN"/>
          <w:woUserID w:val="1"/>
        </w:rPr>
        <w:t>绩效目标</w:t>
      </w:r>
      <w:r>
        <w:rPr>
          <w:rFonts w:hint="default" w:ascii="方正仿宋_GBK" w:hAnsi="方正仿宋_GBK" w:eastAsia="方正仿宋_GBK" w:cs="方正仿宋_GBK"/>
          <w:kern w:val="0"/>
          <w:sz w:val="32"/>
          <w:szCs w:val="32"/>
          <w:shd w:val="clear" w:fill="FFFFFF"/>
          <w:lang w:eastAsia="zh-CN"/>
          <w:woUserID w:val="1"/>
        </w:rPr>
        <w:t>明确性</w:t>
      </w:r>
      <w:r>
        <w:rPr>
          <w:rFonts w:hint="eastAsia" w:ascii="方正仿宋_GBK" w:hAnsi="方正仿宋_GBK" w:eastAsia="方正仿宋_GBK" w:cs="方正仿宋_GBK"/>
          <w:kern w:val="0"/>
          <w:sz w:val="32"/>
          <w:szCs w:val="32"/>
          <w:shd w:val="clear" w:fill="FFFFFF"/>
          <w:lang w:eastAsia="zh-CN"/>
          <w:woUserID w:val="1"/>
        </w:rPr>
        <w:t>不足，指标</w:t>
      </w:r>
      <w:r>
        <w:rPr>
          <w:rFonts w:hint="default" w:ascii="方正仿宋_GBK" w:hAnsi="方正仿宋_GBK" w:eastAsia="方正仿宋_GBK" w:cs="方正仿宋_GBK"/>
          <w:kern w:val="0"/>
          <w:sz w:val="32"/>
          <w:szCs w:val="32"/>
          <w:shd w:val="clear" w:fill="FFFFFF"/>
          <w:lang w:eastAsia="zh-CN"/>
          <w:woUserID w:val="1"/>
        </w:rPr>
        <w:t>设置存在瑕疵</w:t>
      </w:r>
      <w:r>
        <w:rPr>
          <w:rFonts w:hint="eastAsia" w:ascii="方正仿宋_GBK" w:hAnsi="方正仿宋_GBK" w:eastAsia="方正仿宋_GBK" w:cs="方正仿宋_GBK"/>
          <w:kern w:val="0"/>
          <w:sz w:val="32"/>
          <w:szCs w:val="32"/>
          <w:shd w:val="clear" w:fill="FFFFFF"/>
          <w:lang w:eastAsia="zh-CN"/>
          <w:woUserID w:val="1"/>
        </w:rPr>
        <w:t>；</w:t>
      </w:r>
      <w:r>
        <w:rPr>
          <w:rFonts w:hint="default" w:ascii="方正仿宋_GBK" w:hAnsi="方正仿宋_GBK" w:eastAsia="方正仿宋_GBK" w:cs="方正仿宋_GBK"/>
          <w:kern w:val="0"/>
          <w:sz w:val="32"/>
          <w:szCs w:val="32"/>
          <w:shd w:val="clear" w:fill="FFFFFF"/>
          <w:lang w:val="en-US" w:eastAsia="zh-CN"/>
          <w:woUserID w:val="1"/>
        </w:rPr>
        <w:t>运营维护手册缺失，定期报告未执行</w:t>
      </w:r>
      <w:r>
        <w:rPr>
          <w:rFonts w:hint="eastAsia" w:ascii="方正仿宋_GBK" w:hAnsi="方正仿宋_GBK" w:eastAsia="方正仿宋_GBK" w:cs="方正仿宋_GBK"/>
          <w:kern w:val="0"/>
          <w:sz w:val="32"/>
          <w:szCs w:val="32"/>
          <w:shd w:val="clear" w:fill="FFFFFF"/>
          <w:lang w:eastAsia="zh-CN"/>
          <w:woUserID w:val="1"/>
        </w:rPr>
        <w:t>；</w:t>
      </w:r>
      <w:r>
        <w:rPr>
          <w:rFonts w:hint="default" w:ascii="方正仿宋_GBK" w:hAnsi="方正仿宋_GBK" w:eastAsia="方正仿宋_GBK" w:cs="方正仿宋_GBK"/>
          <w:kern w:val="0"/>
          <w:sz w:val="32"/>
          <w:szCs w:val="32"/>
          <w:shd w:val="clear" w:fill="FFFFFF"/>
          <w:lang w:val="en-US" w:eastAsia="zh-CN"/>
          <w:woUserID w:val="1"/>
        </w:rPr>
        <w:t>制度建立不健全，监督管理职责不到位</w:t>
      </w:r>
      <w:r>
        <w:rPr>
          <w:rFonts w:hint="eastAsia" w:ascii="方正仿宋_GBK" w:hAnsi="方正仿宋_GBK" w:eastAsia="方正仿宋_GBK" w:cs="方正仿宋_GBK"/>
          <w:kern w:val="0"/>
          <w:sz w:val="32"/>
          <w:szCs w:val="32"/>
          <w:shd w:val="clear" w:fill="FFFFFF"/>
          <w:lang w:val="en-US" w:eastAsia="zh-CN"/>
          <w:woUserID w:val="1"/>
        </w:rPr>
        <w:t>等主要问题，提</w:t>
      </w:r>
      <w:r>
        <w:rPr>
          <w:rFonts w:hint="eastAsia" w:ascii="方正仿宋_GBK" w:hAnsi="方正仿宋_GBK" w:eastAsia="方正仿宋_GBK" w:cs="方正仿宋_GBK"/>
          <w:kern w:val="0"/>
          <w:sz w:val="32"/>
          <w:szCs w:val="32"/>
          <w:shd w:val="clear" w:fill="FFFFFF"/>
          <w:woUserID w:val="1"/>
        </w:rPr>
        <w:t>出</w:t>
      </w:r>
      <w:r>
        <w:rPr>
          <w:rFonts w:hint="eastAsia" w:ascii="方正仿宋_GBK" w:hAnsi="方正仿宋_GBK" w:eastAsia="方正仿宋_GBK" w:cs="方正仿宋_GBK"/>
          <w:kern w:val="0"/>
          <w:sz w:val="32"/>
          <w:szCs w:val="32"/>
          <w:shd w:val="clear" w:fill="FFFFFF"/>
          <w:lang w:eastAsia="zh-CN"/>
          <w:woUserID w:val="1"/>
        </w:rPr>
        <w:t>完善绩效目标</w:t>
      </w:r>
      <w:r>
        <w:rPr>
          <w:rFonts w:hint="default" w:ascii="方正仿宋_GBK" w:hAnsi="方正仿宋_GBK" w:eastAsia="方正仿宋_GBK" w:cs="方正仿宋_GBK"/>
          <w:kern w:val="0"/>
          <w:sz w:val="32"/>
          <w:szCs w:val="32"/>
          <w:shd w:val="clear" w:fill="FFFFFF"/>
          <w:lang w:val="en-US" w:eastAsia="zh-CN"/>
          <w:woUserID w:val="1"/>
        </w:rPr>
        <w:t>编制工作，细化绩效指标设置</w:t>
      </w:r>
      <w:r>
        <w:rPr>
          <w:rFonts w:hint="eastAsia" w:ascii="方正仿宋_GBK" w:hAnsi="方正仿宋_GBK" w:eastAsia="方正仿宋_GBK" w:cs="方正仿宋_GBK"/>
          <w:kern w:val="0"/>
          <w:sz w:val="32"/>
          <w:szCs w:val="32"/>
          <w:shd w:val="clear" w:fill="FFFFFF"/>
          <w:lang w:val="en-US" w:eastAsia="zh-CN"/>
          <w:woUserID w:val="1"/>
        </w:rPr>
        <w:t>；</w:t>
      </w:r>
      <w:r>
        <w:rPr>
          <w:rFonts w:hint="default" w:ascii="方正仿宋_GBK" w:hAnsi="方正仿宋_GBK" w:eastAsia="方正仿宋_GBK" w:cs="方正仿宋_GBK"/>
          <w:kern w:val="0"/>
          <w:sz w:val="32"/>
          <w:szCs w:val="32"/>
          <w:shd w:val="clear" w:fill="FFFFFF"/>
          <w:lang w:val="en-US" w:eastAsia="zh-CN"/>
          <w:woUserID w:val="1"/>
        </w:rPr>
        <w:t>编制运营维护手册，严格执行定期报告</w:t>
      </w:r>
      <w:r>
        <w:rPr>
          <w:rFonts w:hint="eastAsia" w:ascii="方正仿宋_GBK" w:hAnsi="方正仿宋_GBK" w:eastAsia="方正仿宋_GBK" w:cs="方正仿宋_GBK"/>
          <w:kern w:val="0"/>
          <w:sz w:val="32"/>
          <w:szCs w:val="32"/>
          <w:shd w:val="clear" w:fill="FFFFFF"/>
          <w:lang w:val="en-US" w:eastAsia="zh-CN"/>
          <w:woUserID w:val="1"/>
        </w:rPr>
        <w:t>；</w:t>
      </w:r>
      <w:r>
        <w:rPr>
          <w:rFonts w:hint="default" w:ascii="方正仿宋_GBK" w:hAnsi="方正仿宋_GBK" w:eastAsia="方正仿宋_GBK" w:cs="方正仿宋_GBK"/>
          <w:kern w:val="0"/>
          <w:sz w:val="32"/>
          <w:szCs w:val="32"/>
          <w:shd w:val="clear" w:fill="FFFFFF"/>
          <w:lang w:val="en-US" w:eastAsia="zh-CN"/>
          <w:woUserID w:val="1"/>
        </w:rPr>
        <w:t>加快制度体系建设，优化考核机制</w:t>
      </w:r>
      <w:r>
        <w:rPr>
          <w:rFonts w:hint="default" w:ascii="方正仿宋_GBK" w:hAnsi="方正仿宋_GBK" w:eastAsia="方正仿宋_GBK" w:cs="方正仿宋_GBK"/>
          <w:kern w:val="0"/>
          <w:sz w:val="32"/>
          <w:szCs w:val="32"/>
          <w:shd w:val="clear" w:fill="FFFFFF"/>
          <w:lang w:eastAsia="zh-CN"/>
          <w:woUserID w:val="1"/>
        </w:rPr>
        <w:t>；</w:t>
      </w:r>
      <w:r>
        <w:rPr>
          <w:rFonts w:hint="default" w:ascii="方正仿宋_GBK" w:hAnsi="方正仿宋_GBK" w:eastAsia="方正仿宋_GBK" w:cs="方正仿宋_GBK"/>
          <w:kern w:val="0"/>
          <w:sz w:val="32"/>
          <w:szCs w:val="32"/>
          <w:shd w:val="clear" w:fill="FFFFFF"/>
          <w:lang w:val="en-US" w:eastAsia="zh-CN"/>
          <w:woUserID w:val="1"/>
        </w:rPr>
        <w:t>加速结算流程，优化项目管理策略</w:t>
      </w:r>
      <w:r>
        <w:rPr>
          <w:rFonts w:hint="eastAsia" w:ascii="方正仿宋_GBK" w:hAnsi="方正仿宋_GBK" w:eastAsia="方正仿宋_GBK" w:cs="方正仿宋_GBK"/>
          <w:kern w:val="0"/>
          <w:sz w:val="32"/>
          <w:szCs w:val="32"/>
          <w:shd w:val="clear" w:fill="FFFFFF"/>
          <w:lang w:val="en-US" w:eastAsia="zh-CN"/>
          <w:woUserID w:val="1"/>
        </w:rPr>
        <w:t>。</w:t>
      </w:r>
    </w:p>
    <w:p>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何老师   023-74513007</w:t>
      </w: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垫江县市政服务中心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8,564.38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10,263.91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9,717.75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10,623.75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10,623.75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10,623.75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垫江县市政服务中心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9,717.75</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9,717.75</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9,357.91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9,357.91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793.54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793.54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8,559.38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8,559.38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8,559.38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8,559.38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垫江县市政服务中心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10,623.75</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943.49</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9,680.27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10,263.91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9,582.02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1,699.54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1,017.64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1,699.54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1,017.64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8,559.38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8,559.38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8,559.38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8,559.38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垫江县市政服务中心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1,153.38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8,564.38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10,263.91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8,564.38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9,717.75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10,623.75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2,059.38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8,564.38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10,623.75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10,623.75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2,059.38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8,564.38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垫江县市政服务中心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2,059.38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1,115.89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681.90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垫江县市政服务中心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143.19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800.30</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143.19</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垫江县市政服务中心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8,564.38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8,564.38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8,564.38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8,564.38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8,564.38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8,564.38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8,559.38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8,559.38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8,559.38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8,559.38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8,559.38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8,559.38</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垫江县市政服务中心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垫江县市政服务中心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15.76</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14.46</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14.46</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2,987.97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2,987.97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仿宋_GBK">
    <w:altName w:val="汉仪仿宋KW"/>
    <w:panose1 w:val="03000509000000000000"/>
    <w:charset w:val="86"/>
    <w:family w:val="script"/>
    <w:pitch w:val="default"/>
    <w:sig w:usb0="00000000" w:usb1="00000000" w:usb2="00000010" w:usb3="00000000" w:csb0="00040000" w:csb1="00000000"/>
  </w:font>
  <w:font w:name="方正小标宋_GBK">
    <w:altName w:val="汉仪书宋二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0lY7tAAAAAFAQAADwAAAAAAAAABACAAAAA4AAAAZHJzL2Rvd25yZXYueG1sUEsBAhQAFAAAAAgA&#10;h07iQLD4MYkXAgAAGQQAAA4AAAAAAAAAAQAgAAAANQEAAGRycy9lMm9Eb2MueG1sUEsFBgAAAAAG&#10;AAYAWQEAAL4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HgNVFTYAAAACgEAAA8AAAAAAAAAAQAgAAAAOAAAAGRycy9kb3ducmV2LnhtbFBL&#10;AQIUABQAAAAIAIdO4kBvM20dGQIAABgEAAAOAAAAAAAAAAEAIAAAAD0BAABkcnMvZTJvRG9jLnht&#10;bFBLBQYAAAAABgAGAFkBAADI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41794"/>
    <w:rsid w:val="001D3BB7"/>
    <w:rsid w:val="002858F9"/>
    <w:rsid w:val="002B254B"/>
    <w:rsid w:val="0034050A"/>
    <w:rsid w:val="0044504F"/>
    <w:rsid w:val="00466C9B"/>
    <w:rsid w:val="00486CFC"/>
    <w:rsid w:val="00491DDD"/>
    <w:rsid w:val="004B7372"/>
    <w:rsid w:val="00550ABE"/>
    <w:rsid w:val="005570D5"/>
    <w:rsid w:val="00623A85"/>
    <w:rsid w:val="00693A76"/>
    <w:rsid w:val="00770383"/>
    <w:rsid w:val="007819D4"/>
    <w:rsid w:val="007B419D"/>
    <w:rsid w:val="007B7C4B"/>
    <w:rsid w:val="007D3D39"/>
    <w:rsid w:val="0098061C"/>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A76DF"/>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553BA7"/>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C4554A"/>
    <w:rsid w:val="367D0FAD"/>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2838F9"/>
    <w:rsid w:val="40760DD1"/>
    <w:rsid w:val="40BD5482"/>
    <w:rsid w:val="411B6CE5"/>
    <w:rsid w:val="412070D7"/>
    <w:rsid w:val="41314E40"/>
    <w:rsid w:val="41E0734B"/>
    <w:rsid w:val="426C1EA8"/>
    <w:rsid w:val="42736402"/>
    <w:rsid w:val="42E86A87"/>
    <w:rsid w:val="4328184E"/>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74A76"/>
    <w:rsid w:val="4D1F53CA"/>
    <w:rsid w:val="4DAC4ACA"/>
    <w:rsid w:val="4DBE01D2"/>
    <w:rsid w:val="4EFD467F"/>
    <w:rsid w:val="4F0C6BA3"/>
    <w:rsid w:val="4F186D58"/>
    <w:rsid w:val="504B6EAA"/>
    <w:rsid w:val="50F06B6E"/>
    <w:rsid w:val="51837DC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EF4697"/>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872BC3"/>
    <w:rsid w:val="7F446A19"/>
    <w:rsid w:val="7F7452B9"/>
    <w:rsid w:val="F7FDA1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eastAsia="en-US"/>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29</Pages>
  <Words>2652</Words>
  <Characters>15118</Characters>
  <Lines>125</Lines>
  <Paragraphs>35</Paragraphs>
  <TotalTime>0</TotalTime>
  <ScaleCrop>false</ScaleCrop>
  <LinksUpToDate>false</LinksUpToDate>
  <CharactersWithSpaces>17735</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吴幽</cp:lastModifiedBy>
  <dcterms:modified xsi:type="dcterms:W3CDTF">2025-09-15T14:43:33Z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