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垫江县城市管理综合行政执法支队</w:t>
      </w:r>
    </w:p>
    <w:p>
      <w:pPr>
        <w:pStyle w:val="4"/>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4"/>
        <w:shd w:val="clear" w:color="auto" w:fill="FFFFFF"/>
        <w:spacing w:before="0" w:beforeAutospacing="0" w:after="0" w:afterAutospacing="0" w:line="596" w:lineRule="exact"/>
        <w:ind w:firstLine="643" w:firstLineChars="200"/>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一、单位基本情况</w:t>
      </w:r>
    </w:p>
    <w:p>
      <w:pPr>
        <w:pStyle w:val="4"/>
        <w:shd w:val="clear" w:color="auto" w:fill="FFFFFF"/>
        <w:ind w:firstLine="420"/>
        <w:rPr>
          <w:rFonts w:hint="default" w:ascii="方正仿宋_GBK" w:hAnsi="方正仿宋_GBK" w:eastAsia="方正仿宋_GBK" w:cs="方正仿宋_GBK"/>
          <w:sz w:val="32"/>
          <w:szCs w:val="32"/>
        </w:rPr>
      </w:pPr>
      <w:r>
        <w:rPr>
          <w:rStyle w:val="7"/>
          <w:rFonts w:ascii="楷体" w:hAnsi="楷体" w:eastAsia="楷体" w:cs="楷体"/>
          <w:sz w:val="32"/>
          <w:szCs w:val="32"/>
          <w:shd w:val="clear" w:color="auto" w:fill="FFFFFF"/>
        </w:rPr>
        <w:t>（一）职能职责</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垫江县城市管理综合行政执法支队以县城市管理局的名义，统一行使城市管理领域行政处罚权及与之相关的行政检查、行政强制权等执法职能。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（1）贯彻执行有关城市管理行政执法的法律、法规、规章和方针政策，依法接受委托集中行使县级城市管理综合行政执法范围内的行政处罚及相应的行政强制职能。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（2）承担城市市政公用、市容环卫、园林绿化方面的各项行政处罚及相应的行政强制职能。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（3）承担城市环境保护管理方面露天烧烤、城市焚烧沥青塑料垃圾等烟尘和恶臭污染、露天焚烧秸秆落叶的行政处罚及相应的行政强制职能。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（4）承担市场监管有关工商管理方面户外公共场所无照经营、违规设置户外广告的行政处罚及相应的行政强制职能。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（5）承担市场监管有关食品药品方面户外公共场所食品销售和餐饮摊点无证经营的行政处罚及相应的行政强制职能。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（6）承担交通管理方面侵占城市道路的行政处罚及相应的行政强制职能。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（7）承担水务管理方面向城市河道倾倒废弃物和垃圾的行政处罚及相应的行政强制职能。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（8）负责城市管理综合行政执法队伍纠察工作，承办城市管理综合行政执法专项整治行动和执法活动。</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（9）组织推进城市管理综合行政执法信息化建设。</w:t>
      </w:r>
    </w:p>
    <w:p>
      <w:pPr>
        <w:pStyle w:val="4"/>
        <w:shd w:val="clear" w:color="auto" w:fill="FFFFFF"/>
        <w:ind w:firstLine="640" w:firstLineChars="200"/>
        <w:rPr>
          <w:rFonts w:hint="default"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（10）完成县委、县政府和县城管局交办的其他任务。</w:t>
      </w:r>
    </w:p>
    <w:p>
      <w:pPr>
        <w:pStyle w:val="4"/>
        <w:shd w:val="clear" w:color="auto" w:fill="FFFFFF"/>
        <w:ind w:firstLine="482" w:firstLineChars="150"/>
        <w:rPr>
          <w:rFonts w:hint="default" w:ascii="楷体" w:hAnsi="楷体" w:eastAsia="楷体" w:cs="楷体"/>
          <w:sz w:val="32"/>
          <w:szCs w:val="32"/>
        </w:rPr>
      </w:pPr>
      <w:r>
        <w:rPr>
          <w:rStyle w:val="7"/>
          <w:rFonts w:ascii="楷体" w:hAnsi="楷体" w:eastAsia="楷体" w:cs="楷体"/>
          <w:sz w:val="32"/>
          <w:szCs w:val="32"/>
          <w:shd w:val="clear" w:color="auto" w:fill="FFFFFF"/>
        </w:rPr>
        <w:t>（二）机构设置</w:t>
      </w:r>
    </w:p>
    <w:p>
      <w:pPr>
        <w:pStyle w:val="4"/>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城市管理综合行政执法支队为县城市管理局管理的行政执法机构，暂保留原有的副科级。根据上述职责，垫江县城市管理综合行政执法支队设下列内设机构：办公室、法制科、督查科、桂阳执法大队、桂溪执法大队、东部新区执法大队、户外广告执法大队、园林绿化执法大队、扬尘污染执法大队、市政环卫执法大队、应急特勤执法大队11个内设机构，事业编制50名。设支队长1名，教导员1名，副支队长3名。内设机构领导职数11名。</w:t>
      </w:r>
    </w:p>
    <w:p>
      <w:pPr>
        <w:pStyle w:val="4"/>
        <w:shd w:val="clear" w:color="auto" w:fill="FFFFFF"/>
        <w:spacing w:before="0" w:beforeAutospacing="0" w:after="0" w:afterAutospacing="0" w:line="596" w:lineRule="exact"/>
        <w:ind w:firstLine="643" w:firstLineChars="200"/>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二、单位决算收支情况说明</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4"/>
        <w:shd w:val="clear" w:color="auto" w:fill="FFFFFF"/>
        <w:ind w:firstLine="643" w:firstLineChars="200"/>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2024年度收入总计2539.21万元，支出总计</w:t>
      </w:r>
      <w:r>
        <w:rPr>
          <w:rFonts w:ascii="方正仿宋_GBK" w:hAnsi="方正仿宋_GBK" w:eastAsia="方正仿宋_GBK" w:cs="方正仿宋_GBK"/>
          <w:sz w:val="32"/>
          <w:szCs w:val="32"/>
        </w:rPr>
        <w:t>2539.21</w:t>
      </w:r>
      <w:r>
        <w:rPr>
          <w:rFonts w:ascii="方正仿宋_GBK" w:hAnsi="方正仿宋_GBK" w:eastAsia="方正仿宋_GBK" w:cs="方正仿宋_GBK"/>
          <w:sz w:val="32"/>
          <w:szCs w:val="32"/>
          <w:shd w:val="clear" w:color="auto" w:fill="FFFFFF"/>
        </w:rPr>
        <w:t>万元。收、支与2023年度相比，增加700.63万元，增长38.11%，主要原因是机构改革合并，导致本年收入、支出增加。</w:t>
      </w:r>
    </w:p>
    <w:p>
      <w:pPr>
        <w:pStyle w:val="4"/>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2024年度收入合计2539.12万元，与2023年度相比，增加700.94万元，增长38.13%，主要原因是机构改革合并，导致本年收入增加。其中：财政拨款收入</w:t>
      </w:r>
      <w:r>
        <w:rPr>
          <w:rFonts w:ascii="方正仿宋_GBK" w:hAnsi="方正仿宋_GBK" w:eastAsia="方正仿宋_GBK" w:cs="方正仿宋_GBK"/>
          <w:sz w:val="32"/>
          <w:szCs w:val="32"/>
        </w:rPr>
        <w:t>2539.12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2539.21</w:t>
      </w:r>
      <w:r>
        <w:rPr>
          <w:rFonts w:ascii="方正仿宋_GBK" w:hAnsi="方正仿宋_GBK" w:eastAsia="方正仿宋_GBK" w:cs="方正仿宋_GBK"/>
          <w:sz w:val="32"/>
          <w:szCs w:val="32"/>
          <w:shd w:val="clear" w:color="auto" w:fill="FFFFFF"/>
        </w:rPr>
        <w:t>万元，与2023年度相比，增加700.63万元，增长38.11%，主要原因是机构改革合并，导致本年费用增加。其中：基本支出</w:t>
      </w:r>
      <w:r>
        <w:rPr>
          <w:rFonts w:ascii="方正仿宋_GBK" w:hAnsi="方正仿宋_GBK" w:eastAsia="方正仿宋_GBK" w:cs="方正仿宋_GBK"/>
          <w:sz w:val="32"/>
          <w:szCs w:val="32"/>
        </w:rPr>
        <w:t>1897.79</w:t>
      </w:r>
      <w:r>
        <w:rPr>
          <w:rFonts w:ascii="方正仿宋_GBK" w:hAnsi="方正仿宋_GBK" w:eastAsia="方正仿宋_GBK" w:cs="方正仿宋_GBK"/>
          <w:sz w:val="32"/>
          <w:szCs w:val="32"/>
          <w:shd w:val="clear" w:color="auto" w:fill="FFFFFF"/>
        </w:rPr>
        <w:t>万元，占74.74%；项目支出</w:t>
      </w:r>
      <w:r>
        <w:rPr>
          <w:rFonts w:ascii="方正仿宋_GBK" w:hAnsi="方正仿宋_GBK" w:eastAsia="方正仿宋_GBK" w:cs="方正仿宋_GBK"/>
          <w:sz w:val="32"/>
          <w:szCs w:val="32"/>
        </w:rPr>
        <w:t>641.42</w:t>
      </w:r>
      <w:r>
        <w:rPr>
          <w:rFonts w:ascii="方正仿宋_GBK" w:hAnsi="方正仿宋_GBK" w:eastAsia="方正仿宋_GBK" w:cs="方正仿宋_GBK"/>
          <w:sz w:val="32"/>
          <w:szCs w:val="32"/>
          <w:shd w:val="clear" w:color="auto" w:fill="FFFFFF"/>
        </w:rPr>
        <w:t>万元，占25.26%；经营支出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万元，与2023年度相比，无增减，主要原因是年末财政收回结存资金，收支平衡。</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2024年度财政拨款收、支总计2539.12万元。与2023年相比，财政拨款收、支总计各增加700.54万元，增长38.10%。主要原因是机构改革合并导致本年收入、支出增加。</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2474.28</w:t>
      </w:r>
      <w:r>
        <w:rPr>
          <w:rFonts w:ascii="方正仿宋_GBK" w:hAnsi="方正仿宋_GBK" w:eastAsia="方正仿宋_GBK" w:cs="方正仿宋_GBK"/>
          <w:sz w:val="32"/>
          <w:szCs w:val="32"/>
          <w:shd w:val="clear" w:color="auto" w:fill="FFFFFF"/>
        </w:rPr>
        <w:t>万元，与2023年度相比，增加736.10万元，增长42.35%。主要原因是机构改革合并导致收入增加。较年初预算数增加845.18万元，增长51.88%。主要原因是一是机构改革合并，二是职工工资晋级晋档，三是调整以前年度养老保险和职业年金等缴费基数，导致预算收入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2474.28</w:t>
      </w:r>
      <w:r>
        <w:rPr>
          <w:rFonts w:ascii="方正仿宋_GBK" w:hAnsi="方正仿宋_GBK" w:eastAsia="方正仿宋_GBK" w:cs="方正仿宋_GBK"/>
          <w:sz w:val="32"/>
          <w:szCs w:val="32"/>
          <w:shd w:val="clear" w:color="auto" w:fill="FFFFFF"/>
        </w:rPr>
        <w:t>万元，与2023年度相比，增加736.10万元，增长42.35%。主要原因是机构改革合并导致支出增加。较年初预算数增加845.18万元，增长51.88%。主要原因是一是机构改革合并，二是职工工资晋级晋档，三是调整以前年度养老保险和职业年金等缴费基数，导致费用增加。</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万元，与2023年度相比，无增减，主要原因是年末财政收回结存资金，收支平衡。</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%，较年初预算数增加1.95万元，增长108.33%，主要原因是机构改革合并导致费用增加。</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237.73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9.61</w:t>
      </w:r>
      <w:r>
        <w:rPr>
          <w:rFonts w:ascii="方正仿宋_GBK" w:hAnsi="方正仿宋_GBK" w:eastAsia="方正仿宋_GBK" w:cs="方正仿宋_GBK"/>
          <w:sz w:val="32"/>
          <w:szCs w:val="32"/>
          <w:shd w:val="clear" w:color="auto" w:fill="FFFFFF"/>
        </w:rPr>
        <w:t>%，较年初预算数增加137.15万元，增长136.36%，主要原因是一是机构改革合并，二是职工工资晋级晋档，三是调整以前年度养老保险和职业年金缴费基数。</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71.14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2.88</w:t>
      </w:r>
      <w:r>
        <w:rPr>
          <w:rFonts w:ascii="方正仿宋_GBK" w:hAnsi="方正仿宋_GBK" w:eastAsia="方正仿宋_GBK" w:cs="方正仿宋_GBK"/>
          <w:sz w:val="32"/>
          <w:szCs w:val="32"/>
          <w:shd w:val="clear" w:color="auto" w:fill="FFFFFF"/>
        </w:rPr>
        <w:t>%，较年初预算数增加36.38万元，增长104.66%，主要原因是一是机构改革合并，二是职工工资晋级晋档，三是调整以前年度养老保险和职业年金缴费基数。</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（4）城乡社区支出</w:t>
      </w:r>
      <w:r>
        <w:rPr>
          <w:rFonts w:ascii="方正仿宋_GBK" w:hAnsi="方正仿宋_GBK" w:eastAsia="方正仿宋_GBK" w:cs="方正仿宋_GBK"/>
          <w:sz w:val="32"/>
          <w:szCs w:val="32"/>
        </w:rPr>
        <w:t>1590.14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64.27</w:t>
      </w:r>
      <w:r>
        <w:rPr>
          <w:rFonts w:ascii="方正仿宋_GBK" w:hAnsi="方正仿宋_GBK" w:eastAsia="方正仿宋_GBK" w:cs="方正仿宋_GBK"/>
          <w:sz w:val="32"/>
          <w:szCs w:val="32"/>
          <w:shd w:val="clear" w:color="auto" w:fill="FFFFFF"/>
        </w:rPr>
        <w:t>%，较年初预算数增加145.83万元，增长10.10%，主要原因是一是机构改革合并，二是职工工资晋级晋档，三是调整以前年度养老保险和职业年金缴费基数。</w:t>
      </w:r>
    </w:p>
    <w:p>
      <w:pPr>
        <w:pStyle w:val="4"/>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自然资源海洋气象等支出475.00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19.20</w:t>
      </w:r>
      <w:r>
        <w:rPr>
          <w:rFonts w:ascii="方正仿宋_GBK" w:hAnsi="方正仿宋_GBK" w:eastAsia="方正仿宋_GBK" w:cs="方正仿宋_GBK"/>
          <w:sz w:val="32"/>
          <w:szCs w:val="32"/>
          <w:shd w:val="clear" w:color="auto" w:fill="FFFFFF"/>
        </w:rPr>
        <w:t>%，较年初预算数增加475.00万元，增长100.00%，主要原因是机构改革合并导致费用增加。</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住房保障支出96.52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3.90</w:t>
      </w:r>
      <w:r>
        <w:rPr>
          <w:rFonts w:ascii="方正仿宋_GBK" w:hAnsi="方正仿宋_GBK" w:eastAsia="方正仿宋_GBK" w:cs="方正仿宋_GBK"/>
          <w:sz w:val="32"/>
          <w:szCs w:val="32"/>
          <w:shd w:val="clear" w:color="auto" w:fill="FFFFFF"/>
        </w:rPr>
        <w:t>%，较年初预算数增加48.87万元，增长102.56%，主要原因是一是机构改革合并，二是职工工资晋级晋档，三是调整以前年度养老保险和职业年金缴费基数。</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1897.70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1646.88</w:t>
      </w:r>
      <w:r>
        <w:rPr>
          <w:rFonts w:ascii="方正仿宋_GBK" w:hAnsi="方正仿宋_GBK" w:eastAsia="方正仿宋_GBK" w:cs="方正仿宋_GBK"/>
          <w:sz w:val="32"/>
          <w:szCs w:val="32"/>
          <w:shd w:val="clear" w:color="auto" w:fill="FFFFFF"/>
        </w:rPr>
        <w:t>万元，与2023年度相比，增加1031.43万元，增长167.59%，主要原因是一是机构改革合并，二是职工工资晋级晋档，三是调整以前年度养老保险和职业年金缴费基数。人员经费用途主要包括人员工资、津贴补贴、奖金、社保、住房公积金等费用。公用经费</w:t>
      </w:r>
      <w:r>
        <w:rPr>
          <w:rFonts w:ascii="方正仿宋_GBK" w:hAnsi="方正仿宋_GBK" w:eastAsia="方正仿宋_GBK" w:cs="方正仿宋_GBK"/>
          <w:sz w:val="32"/>
          <w:szCs w:val="32"/>
        </w:rPr>
        <w:t>250.82</w:t>
      </w:r>
      <w:r>
        <w:rPr>
          <w:rFonts w:ascii="方正仿宋_GBK" w:hAnsi="方正仿宋_GBK" w:eastAsia="方正仿宋_GBK" w:cs="方正仿宋_GBK"/>
          <w:sz w:val="32"/>
          <w:szCs w:val="32"/>
          <w:shd w:val="clear" w:color="auto" w:fill="FFFFFF"/>
        </w:rPr>
        <w:t>万元，与2023年度相比，减少249.38万元，下降49.86%，主要原因是本年度厉行节约，日常公用经费减少。公用经费用途主要包括办公费、邮电费、差旅费、劳务费、委托业务费、公务用车运行维护费等费用。</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64.84</w:t>
      </w:r>
      <w:r>
        <w:rPr>
          <w:rFonts w:ascii="方正仿宋_GBK" w:hAnsi="方正仿宋_GBK" w:eastAsia="方正仿宋_GBK" w:cs="方正仿宋_GBK"/>
          <w:sz w:val="32"/>
          <w:szCs w:val="32"/>
          <w:shd w:val="clear" w:color="auto" w:fill="FFFFFF"/>
        </w:rPr>
        <w:t>万元，与2023年度相比，减少35.16万元，下降35.16%，主要原因是本年度维护市场秩序、市容秩序综合整治等项目经费减少。本年支出</w:t>
      </w:r>
      <w:r>
        <w:rPr>
          <w:rFonts w:ascii="方正仿宋_GBK" w:hAnsi="方正仿宋_GBK" w:eastAsia="方正仿宋_GBK" w:cs="方正仿宋_GBK"/>
          <w:sz w:val="32"/>
          <w:szCs w:val="32"/>
        </w:rPr>
        <w:t>64.84</w:t>
      </w:r>
      <w:r>
        <w:rPr>
          <w:rFonts w:ascii="方正仿宋_GBK" w:hAnsi="方正仿宋_GBK" w:eastAsia="方正仿宋_GBK" w:cs="方正仿宋_GBK"/>
          <w:sz w:val="32"/>
          <w:szCs w:val="32"/>
          <w:shd w:val="clear" w:color="auto" w:fill="FFFFFF"/>
        </w:rPr>
        <w:t>万元，与2023年度相比，减少35.56万元，下降35.42%，主要原因是本年度维护市场秩序、市容秩序综合整治等费用减少。</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4"/>
        <w:shd w:val="clear" w:color="auto" w:fill="FFFFFF"/>
        <w:spacing w:before="0" w:beforeAutospacing="0" w:after="0" w:afterAutospacing="0" w:line="596" w:lineRule="exact"/>
        <w:ind w:firstLine="643" w:firstLineChars="200"/>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三、财政拨款“三公”经费情况说明</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26.20</w:t>
      </w:r>
      <w:r>
        <w:rPr>
          <w:rFonts w:ascii="方正仿宋_GBK" w:hAnsi="方正仿宋_GBK" w:eastAsia="方正仿宋_GBK" w:cs="方正仿宋_GBK"/>
          <w:sz w:val="32"/>
          <w:szCs w:val="32"/>
          <w:shd w:val="clear" w:color="auto" w:fill="FFFFFF"/>
        </w:rPr>
        <w:t>万元，较年初预算数无增减，主要原因是厉行节约，加强管理，从严控制“三公”经费</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较上年支出数增加15.20万元，增长138.18%，主要原因是机构改革合并导致费用增加。</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费用。费用支出较年初预算数无增减，主要原因是年初预算数未安排因公出国（境）费用，本年也未发生因公出国（境）费用。较上年支出数无增减，主要原因是上年和本年均未发生因公出国（境）费用。</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车购置费用。费用支出较年初预算数无增减，主要原因是年初预算数未安排公务车购置费用且本年也未发生公务车购置费用。较上年支出数无增减，主要原因是上年和本年均未发生公务车购置费用。</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20.00</w:t>
      </w:r>
      <w:r>
        <w:rPr>
          <w:rFonts w:ascii="方正仿宋_GBK" w:hAnsi="方正仿宋_GBK" w:eastAsia="方正仿宋_GBK" w:cs="方正仿宋_GBK"/>
          <w:sz w:val="32"/>
          <w:szCs w:val="32"/>
          <w:shd w:val="clear" w:color="auto" w:fill="FFFFFF"/>
        </w:rPr>
        <w:t>万元，主要用于业务检查等工作所需车辆的燃料费、维修费、过桥过路费、保险等费用。费用支出较年初预算数无增减，主要原因是严格落实公务用车管理，厉行节约。较上年支出数增加16.00万元，增长400.00%，主要原因是机构改革合并，公务车辆增加，导致费用增加。</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6.20</w:t>
      </w:r>
      <w:r>
        <w:rPr>
          <w:rFonts w:ascii="方正仿宋_GBK" w:hAnsi="方正仿宋_GBK" w:eastAsia="方正仿宋_GBK" w:cs="方正仿宋_GBK"/>
          <w:sz w:val="32"/>
          <w:szCs w:val="32"/>
          <w:shd w:val="clear" w:color="auto" w:fill="FFFFFF"/>
        </w:rPr>
        <w:t>万元，主要用于接待接待考察学习调研工作，接受相关部门检查指导工作所发生的公务接待支出。费用支出较年初预算数无增减，主要原因是我单位厉行节约，严格控制公务接待开支。较上年支出数减少0.80万元，下降11.43%，主要原因是我单位厉行节约，严格控制公务接待开支。</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72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689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89.99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1.54</w:t>
      </w:r>
      <w:r>
        <w:rPr>
          <w:rFonts w:ascii="方正仿宋_GBK" w:hAnsi="方正仿宋_GBK" w:eastAsia="方正仿宋_GBK" w:cs="方正仿宋_GBK"/>
          <w:sz w:val="32"/>
          <w:szCs w:val="32"/>
          <w:shd w:val="clear" w:color="auto" w:fill="FFFFFF"/>
        </w:rPr>
        <w:t>万元。</w:t>
      </w:r>
    </w:p>
    <w:p>
      <w:pPr>
        <w:pStyle w:val="4"/>
        <w:shd w:val="clear" w:color="auto" w:fill="FFFFFF"/>
        <w:spacing w:before="0" w:beforeAutospacing="0" w:after="0" w:afterAutospacing="0" w:line="596" w:lineRule="exact"/>
        <w:ind w:firstLine="643" w:firstLineChars="200"/>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四、其他需要说明的事项</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万元，与2023年度相比，增加0.10万元，增长100.00%，主要原因是机构改革合并导致费用增加。本年度培训费支出</w:t>
      </w:r>
      <w:r>
        <w:rPr>
          <w:rFonts w:ascii="方正仿宋_GBK" w:hAnsi="方正仿宋_GBK" w:eastAsia="方正仿宋_GBK" w:cs="方正仿宋_GBK"/>
          <w:sz w:val="32"/>
          <w:szCs w:val="32"/>
        </w:rPr>
        <w:t>3.75</w:t>
      </w:r>
      <w:r>
        <w:rPr>
          <w:rFonts w:ascii="方正仿宋_GBK" w:hAnsi="方正仿宋_GBK" w:eastAsia="方正仿宋_GBK" w:cs="方正仿宋_GBK"/>
          <w:sz w:val="32"/>
          <w:szCs w:val="32"/>
          <w:shd w:val="clear" w:color="auto" w:fill="FFFFFF"/>
        </w:rPr>
        <w:t>万元，与2023年度相比，增加2.02万元，增长116.76%，主要原因是机构改革合并导致费用增加。</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250.82</w:t>
      </w:r>
      <w:r>
        <w:rPr>
          <w:rFonts w:ascii="方正仿宋_GBK" w:hAnsi="方正仿宋_GBK" w:eastAsia="方正仿宋_GBK" w:cs="方正仿宋_GBK"/>
          <w:sz w:val="32"/>
          <w:szCs w:val="32"/>
          <w:shd w:val="clear" w:color="auto" w:fill="FFFFFF"/>
        </w:rPr>
        <w:t>万元，机关运行经费主要用于开支办公费、公务车运行维护费、接待费、差旅费、培训费、邮电费、误餐费及购买服务人员工资等。机关运行经费较上年支出数减少249.38万元，下降49.86%，主要原因是机构改革合并导致费用减少。</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9"/>
        <w:spacing w:before="0" w:beforeAutospacing="0" w:after="0" w:afterAutospacing="0" w:line="596" w:lineRule="exact"/>
        <w:ind w:firstLine="643" w:firstLineChars="200"/>
        <w:rPr>
          <w:rStyle w:val="7"/>
          <w:rFonts w:ascii="黑体" w:hAnsi="黑体" w:eastAsia="黑体" w:cs="黑体"/>
          <w:sz w:val="32"/>
          <w:szCs w:val="32"/>
          <w:shd w:val="clear" w:color="auto" w:fill="FFFFFF"/>
        </w:rPr>
      </w:pPr>
      <w:r>
        <w:rPr>
          <w:rStyle w:val="7"/>
          <w:rFonts w:hint="eastAsia" w:ascii="黑体" w:hAnsi="黑体" w:eastAsia="黑体" w:cs="黑体"/>
          <w:sz w:val="32"/>
          <w:szCs w:val="32"/>
          <w:shd w:val="clear" w:color="auto" w:fill="FFFFFF"/>
        </w:rPr>
        <w:t>五、2024年度预算绩效管理情况说明</w:t>
      </w:r>
    </w:p>
    <w:p>
      <w:pPr>
        <w:pStyle w:val="9"/>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9"/>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5个项目开展了绩效自评，涉及财政拨款项目支出资金641.42万元。对维护市场秩序、市容秩序综合整治等经费项目开展了绩效评价，涉及财政拨款项目资金49.84万元，评价得分90分，评价等次为优。从评价情况来看，我单位项目专项工作均已完成当年计划，完成了年度绩效目标。所有项目的日常管理工作均按照我单位相关管理制度执行，建立了工作有计划、实施有方案、日常有监督的管理机制，工作取得了较好的成效，效能得到了提高，获得了社会公众的好评。</w:t>
      </w:r>
    </w:p>
    <w:p>
      <w:pPr>
        <w:pStyle w:val="9"/>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9"/>
        <w:spacing w:before="0" w:beforeAutospacing="0" w:after="0" w:afterAutospacing="0"/>
        <w:rPr>
          <w:rFonts w:ascii="方正仿宋_GBK" w:hAnsi="方正仿宋_GBK" w:eastAsia="方正仿宋_GBK" w:cs="方正仿宋_GBK"/>
          <w:b/>
          <w:bCs/>
          <w:sz w:val="32"/>
          <w:szCs w:val="32"/>
          <w:shd w:val="clear" w:color="auto" w:fill="FFFFFF"/>
        </w:rPr>
      </w:pPr>
      <w:r>
        <w:drawing>
          <wp:inline distT="0" distB="0" distL="114300" distR="114300">
            <wp:extent cx="5274310" cy="6894830"/>
            <wp:effectExtent l="0" t="0" r="2540" b="127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7"/>
                    <a:stretch>
                      <a:fillRect/>
                    </a:stretch>
                  </pic:blipFill>
                  <pic:spPr>
                    <a:xfrm>
                      <a:off x="0" y="0"/>
                      <a:ext cx="5274310" cy="6894830"/>
                    </a:xfrm>
                    <a:prstGeom prst="rect">
                      <a:avLst/>
                    </a:prstGeom>
                    <a:noFill/>
                    <a:ln>
                      <a:noFill/>
                    </a:ln>
                  </pic:spPr>
                </pic:pic>
              </a:graphicData>
            </a:graphic>
          </wp:inline>
        </w:drawing>
      </w:r>
    </w:p>
    <w:p>
      <w:pPr>
        <w:pStyle w:val="9"/>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9"/>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0"/>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10"/>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9"/>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9"/>
        <w:autoSpaceDE w:val="0"/>
        <w:spacing w:before="0" w:beforeAutospacing="0" w:after="0" w:afterAutospacing="0" w:line="596" w:lineRule="exact"/>
        <w:rPr>
          <w:rFonts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xml:space="preserve">   </w:t>
      </w:r>
      <w:r>
        <w:rPr>
          <w:rStyle w:val="7"/>
          <w:rFonts w:hint="eastAsia" w:ascii="黑体" w:hAnsi="黑体" w:eastAsia="黑体" w:cs="黑体"/>
          <w:sz w:val="32"/>
          <w:szCs w:val="32"/>
          <w:shd w:val="clear" w:color="auto" w:fill="FFFFFF"/>
        </w:rPr>
        <w:t xml:space="preserve"> 六、专业名词解释</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黑体" w:hAnsi="黑体" w:eastAsia="黑体" w:cs="黑体"/>
          <w:sz w:val="32"/>
          <w:szCs w:val="32"/>
          <w:shd w:val="clear" w:color="auto" w:fill="FFFFFF"/>
        </w:rPr>
        <w:t>七、决算公开联系方式及信息反馈渠道</w:t>
      </w:r>
    </w:p>
    <w:p>
      <w:pPr>
        <w:pStyle w:val="9"/>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本单位决算公开信息反馈和联系方式：023-74513007</w:t>
      </w:r>
    </w:p>
    <w:p>
      <w:pPr>
        <w:pStyle w:val="8"/>
        <w:autoSpaceDE w:val="0"/>
        <w:spacing w:line="596" w:lineRule="exact"/>
        <w:ind w:firstLine="0" w:firstLineChars="0"/>
        <w:jc w:val="both"/>
        <w:rPr>
          <w:rStyle w:val="11"/>
          <w:rFonts w:ascii="方正仿宋_GBK" w:hAnsi="方正仿宋_GBK" w:eastAsia="方正仿宋_GBK" w:cs="方正仿宋_GBK"/>
          <w:sz w:val="32"/>
          <w:szCs w:val="32"/>
          <w:shd w:val="clear" w:color="auto" w:fill="FFFF00"/>
        </w:rPr>
      </w:pPr>
    </w:p>
    <w:p>
      <w:pPr>
        <w:pStyle w:val="8"/>
        <w:autoSpaceDE w:val="0"/>
        <w:spacing w:line="596" w:lineRule="exact"/>
        <w:ind w:firstLine="643"/>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5"/>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垫江县城市管理综合行政执法支队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2,474.28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2,539.12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2,539.21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2,539.21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5"/>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垫江县城市管理综合行政执法支队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2,539.12</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2,539.12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1,654.99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1,654.99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1,590.14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1,590.14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5"/>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垫江县城市管理综合行政执法支队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2,539.21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1,897.79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641.42</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1,654.99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1,073.13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581.86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1,590.14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1,073.13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517.02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429.69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429.69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5"/>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垫江县城市管理综合行政执法支队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2,474.28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2,539.12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2,539.12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垫江县城市管理综合行政执法支队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2,474.28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576.58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1,590.14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1,073.13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1,590.14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1,073.13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5"/>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垫江县城市管理综合行政执法支队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1,594.05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1,646.88</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垫江县城市管理综合行政执法支队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垫江县城市管理综合行政执法支队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5"/>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3"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82"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垫江县城市管理综合行政执法支队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82"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250.82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26.20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250.82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05"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bookmarkStart w:id="0" w:name="_GoBack"/>
            <w:bookmarkEnd w:id="0"/>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18DD0F48"/>
    <w:rsid w:val="18DD0F48"/>
    <w:rsid w:val="24702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0">
    <w:name w:val="列出段落3"/>
    <w:basedOn w:val="1"/>
    <w:qFormat/>
    <w:uiPriority w:val="99"/>
    <w:pPr>
      <w:ind w:firstLine="420" w:firstLineChars="200"/>
    </w:pPr>
  </w:style>
  <w:style w:type="character" w:customStyle="1" w:styleId="11">
    <w:name w:val="21"/>
    <w:basedOn w:val="6"/>
    <w:autoRedefine/>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10384</Words>
  <Characters>14256</Characters>
  <Lines>0</Lines>
  <Paragraphs>0</Paragraphs>
  <TotalTime>1</TotalTime>
  <ScaleCrop>false</ScaleCrop>
  <LinksUpToDate>false</LinksUpToDate>
  <CharactersWithSpaces>15557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2025-09-24T07:46:00Z</dcterms:created>
  <dc:creator>WPS_1664260647</dc:creator>
  <cp:lastModifiedBy>WPS_1664260647</cp:lastModifiedBy>
  <dcterms:modified xsi:type="dcterms:W3CDTF">2025-09-24T07:48:38Z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61825E8BB2B34D769FB513A03212C125_11</vt:lpwstr>
  </property>
</Properties>
</file>