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垫江县住房和城乡建设委员会</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一、部门基本情况</w:t>
      </w:r>
    </w:p>
    <w:p>
      <w:pPr>
        <w:pStyle w:val="9"/>
        <w:shd w:val="clear" w:color="auto" w:fill="FFFFFF"/>
        <w:ind w:firstLine="42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1.负责推进</w:t>
      </w:r>
      <w:bookmarkStart w:id="0" w:name="_GoBack"/>
      <w:bookmarkEnd w:id="0"/>
      <w:r>
        <w:rPr>
          <w:rFonts w:ascii="方正仿宋_GBK" w:hAnsi="方正仿宋_GBK" w:eastAsia="方正仿宋_GBK" w:cs="方正仿宋_GBK"/>
          <w:color w:val="333333"/>
          <w:sz w:val="32"/>
          <w:szCs w:val="32"/>
        </w:rPr>
        <w:t>住房和城乡建设事业改革发展。贯彻执行住房和城乡建设法律、法规、规章和方针政策。拟订相关发展战略、改革方案、发展规划、专项规划和年度计划并监督实施。负责规范住房和城乡建设管理秩序。指导乡镇（街道）住房和城乡建设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2.负责住房和城乡建设财政性资金的监督管理。负责城市建设配套费等的征收和管理。会同县财政部门筹集住房和城乡建设财政性资金，编制收支年度计划，经县政府审批后安排下达。监督管理城乡建设财政性资金的使用。</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3.负责房地产行业的监督管理。贯彻执行全县房地产调控政策、行业发展规划。负责规范房地产开发建设市场秩序、房地产交易市场秩序。拟订房屋面积管理、交易管理的规章制度并监督执行。负责房地产开发企业资质管理和房地产估价机构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4.负责建筑行业的监督管理。负责规范建筑市场秩序。负责房屋建筑和市政基础设施工程质量、安全的监督管理，负责或参与工程质量安全事故的调查处理和突发事件应急处置，负责建筑企业及从业人员的资质资格管理。监督实施地方工程造价定额。负责新型建筑材料、建筑机械与设备的应用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5.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6.负责住房保障工作。监督实施住房保障、住房改革政策。负责保障性住房建设的监督管理和协调推进。指导全县公有房屋改革和管理。组织实施住房公积金缴存、使用和管理的监督制度。负责住房公积金的监督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7.统筹推进城市基础设施建设工作。组织实施城市道路桥梁隧道及其附属设施等城市基础设施建设政策、规划，负责项目的储备、前期工作和协调推进。协调推进房屋建筑和市政基础设施重点项目建设。负责历史文化名城、名镇、名村、街区和传统风貌区的保护建设管理工作。指导历史建筑、传统风貌建筑的修复建设。</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8.负责统筹推进城市提升相关工作。监督实施城市提升相关政策、规范、标准。牵头推进城市提升相关前期工作和项目协调。统筹城市提升建设项目进度安排、推进实施、监督检查、效果评价等工作。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9.统筹城市人居环境改善工作。负责城市管线的综合管理，建立城市管线综合管理协调机制，统筹城市综合管廊建设与管理。牵头协调推进海绵城市建设等工作。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10.负责城镇排水与污水处理的监督管理。负责监督实施城镇排水与污水处理政策、标准、规划。负责城市污水处理厂建设运行管理和城市排水（雨水、污水）管网建设维护管理。负责城镇污水处理费征收的管理工作。负责城镇排水监测的监督管理。牵头负责城市排水防涝工作。指导乡镇污水处理管理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11.负责推进城市修补和有机更新。指导城市老旧功能片区和老旧小区改造提升工作。统筹推进城市棚户区改造。监督指导城市既有建筑保留利用、更新改造工作。负责国有土地上房屋征收工作。负责房屋使用安全、物业管理活动的监督管理。</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12.指导村镇建设。贯彻执行村镇建设政策。负责指导村镇建设管理工作，组织村镇专项建设示范。指导特色景观旅游名镇名村管理工作。指导农村住房建设和农村危房改造工作。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13.负责建设科技推广应用。推进住房和城乡建设科技研究开发与成果转化。指导住房城乡建设新技术示范、推广、应用。承担行业信息化、智能化等管理工作。监督实施工程建设地方标准。推进建筑产业现代化，负责工程建设标准化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14.负责绿色建筑与建筑节能管理。贯彻执行绿色建筑与建筑节能政策并监督实施。承担绿色建筑评价及建筑能效测评标识管理。推进建筑节能发展。</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15.负责建设工程消防设计审查验收相关工作。贯彻执行建设工程消防设计审查验收政策。负责建设工程消防设计审查验收工作。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16.负责住房城乡建设领域相关综合行政执法工作。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17.负责住房和城建档案管理，指导行业人才队伍建设，承担全县住房和城乡建设档案专项管理工作。开展相关领域交流合作。</w:t>
      </w:r>
    </w:p>
    <w:p>
      <w:pPr>
        <w:pStyle w:val="9"/>
        <w:spacing w:before="0" w:beforeAutospacing="0" w:after="0" w:afterAutospacing="0" w:line="450" w:lineRule="atLeas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color w:val="333333"/>
          <w:sz w:val="32"/>
          <w:szCs w:val="32"/>
        </w:rPr>
        <w:t>18.贯彻执行</w:t>
      </w:r>
      <w:r>
        <w:rPr>
          <w:rFonts w:hint="eastAsia" w:ascii="方正仿宋_GBK" w:hAnsi="方正仿宋_GBK" w:eastAsia="方正仿宋_GBK" w:cs="方正仿宋_GBK"/>
          <w:color w:val="333333"/>
          <w:sz w:val="32"/>
          <w:szCs w:val="32"/>
          <w:lang w:eastAsia="zh-CN"/>
        </w:rPr>
        <w:t>《中华人民共和国人民防空法》</w:t>
      </w:r>
      <w:r>
        <w:rPr>
          <w:rFonts w:ascii="方正仿宋_GBK" w:hAnsi="方正仿宋_GBK" w:eastAsia="方正仿宋_GBK" w:cs="方正仿宋_GBK"/>
          <w:color w:val="333333"/>
          <w:sz w:val="32"/>
          <w:szCs w:val="32"/>
        </w:rPr>
        <w:t>《重庆市人民防空条例》和国家关于人防工作的方针、政策以及与人防有关的法律、法规和规章。负责全县人防工作的统筹、协调和执法管理工作。</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19. 贯彻执行有关市政公用设施运行管理、市容环境卫生管理、园林绿化管理、城市管理执法等城市管理的法律、法规、规章和方针政策；负责拟定城市管理发展战略、规划、计划并组织实施。</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20.完成县委、县政府交办的其他任务。</w:t>
      </w:r>
    </w:p>
    <w:p>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垫江县城乡建设委员会设12个内设机构：办公室、</w:t>
      </w:r>
      <w:r>
        <w:rPr>
          <w:rFonts w:hint="default" w:ascii="方正仿宋_GBK" w:hAnsi="方正仿宋_GBK" w:eastAsia="方正仿宋_GBK" w:cs="方正仿宋_GBK"/>
          <w:sz w:val="32"/>
        </w:rPr>
        <w:t>财务科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政策法规科（信访科）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城市建设管理科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村镇建设管理科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建筑业管理科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房地产开发管理科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行政许可服务科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园林绿化科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市容环卫科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勘察设计科</w:t>
      </w:r>
      <w:r>
        <w:rPr>
          <w:rFonts w:ascii="方正仿宋_GBK" w:hAnsi="方正仿宋_GBK" w:eastAsia="方正仿宋_GBK" w:cs="方正仿宋_GBK"/>
          <w:sz w:val="32"/>
        </w:rPr>
        <w:t>、</w:t>
      </w:r>
      <w:r>
        <w:rPr>
          <w:rFonts w:hint="default" w:ascii="方正仿宋_GBK" w:hAnsi="方正仿宋_GBK" w:eastAsia="方正仿宋_GBK" w:cs="方正仿宋_GBK"/>
          <w:sz w:val="32"/>
        </w:rPr>
        <w:t>物业监管科</w:t>
      </w:r>
      <w:r>
        <w:rPr>
          <w:rFonts w:ascii="方正仿宋_GBK" w:hAnsi="方正仿宋_GBK" w:eastAsia="方正仿宋_GBK" w:cs="方正仿宋_GBK"/>
          <w:sz w:val="32"/>
        </w:rPr>
        <w:t>。</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下设10个事业单位：垫江县建设工程质量监督站、垫江县建设工程施工安全管理站、垫江县城乡建设档案室、垫江县房地产交易服务中心、垫江县排水服务中心、垫江县国有土地上房屋征收服务中心、垫江县住房保障中心、垫江县市政服务中心、垫江县园林发展绿化中心、垫江县城市管理综合执法支队。</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2024年度收入总计42953.17万元，支出总计</w:t>
      </w:r>
      <w:r>
        <w:rPr>
          <w:rFonts w:ascii="方正仿宋_GBK" w:hAnsi="方正仿宋_GBK" w:eastAsia="方正仿宋_GBK" w:cs="方正仿宋_GBK"/>
          <w:sz w:val="32"/>
          <w:szCs w:val="32"/>
        </w:rPr>
        <w:t>42953.17</w:t>
      </w:r>
      <w:r>
        <w:rPr>
          <w:rFonts w:ascii="方正仿宋_GBK" w:hAnsi="方正仿宋_GBK" w:eastAsia="方正仿宋_GBK" w:cs="方正仿宋_GBK"/>
          <w:sz w:val="32"/>
          <w:szCs w:val="32"/>
          <w:shd w:val="clear" w:color="auto" w:fill="FFFFFF"/>
        </w:rPr>
        <w:t>万元。收、支与2023年度相比，增加21317.16万元，增长98.5%，主要原因是机构合并原垫江县城市管理局合并入垫江县住房和城乡建设委员会，系统未提取合并单位上年度数据。</w:t>
      </w:r>
    </w:p>
    <w:p>
      <w:pPr>
        <w:pStyle w:val="9"/>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2024年度收入合计40684.82万元，与2023年度相比，增加19123.52万元，增长88.7%，主要原因是机构合并原垫江县城市管理局合并入垫江县住房和城乡建设委员会，系统未提取合并单位上年度数据。其中：财政拨款收入</w:t>
      </w:r>
      <w:r>
        <w:rPr>
          <w:rFonts w:ascii="方正仿宋_GBK" w:hAnsi="方正仿宋_GBK" w:eastAsia="方正仿宋_GBK" w:cs="方正仿宋_GBK"/>
          <w:sz w:val="32"/>
          <w:szCs w:val="32"/>
        </w:rPr>
        <w:t>40387.30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297.52</w:t>
      </w:r>
      <w:r>
        <w:rPr>
          <w:rFonts w:ascii="方正仿宋_GBK" w:hAnsi="方正仿宋_GBK" w:eastAsia="方正仿宋_GBK" w:cs="方正仿宋_GBK"/>
          <w:sz w:val="32"/>
          <w:szCs w:val="32"/>
          <w:shd w:val="clear" w:color="auto" w:fill="FFFFFF"/>
        </w:rPr>
        <w:t>万元，占0.7%；经营收入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2268.35</w:t>
      </w:r>
      <w:r>
        <w:rPr>
          <w:rFonts w:ascii="方正仿宋_GBK" w:hAnsi="方正仿宋_GBK" w:eastAsia="方正仿宋_GBK" w:cs="方正仿宋_GBK"/>
          <w:sz w:val="32"/>
          <w:szCs w:val="32"/>
          <w:shd w:val="clear" w:color="auto" w:fill="FFFFFF"/>
        </w:rPr>
        <w:t>万元。</w:t>
      </w:r>
    </w:p>
    <w:p>
      <w:pPr>
        <w:pStyle w:val="9"/>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42953.17</w:t>
      </w:r>
      <w:r>
        <w:rPr>
          <w:rFonts w:ascii="方正仿宋_GBK" w:hAnsi="方正仿宋_GBK" w:eastAsia="方正仿宋_GBK" w:cs="方正仿宋_GBK"/>
          <w:sz w:val="32"/>
          <w:szCs w:val="32"/>
          <w:shd w:val="clear" w:color="auto" w:fill="FFFFFF"/>
        </w:rPr>
        <w:t>万元，与2023年度相比，增加21322.81万元，增长98.6%，主要原因是机构合并原垫江县城市管理局合并入垫江县住房和城乡建设委员会，系统未提取合并单位上年度数据。其中：基本支出</w:t>
      </w:r>
      <w:r>
        <w:rPr>
          <w:rFonts w:ascii="方正仿宋_GBK" w:hAnsi="方正仿宋_GBK" w:eastAsia="方正仿宋_GBK" w:cs="方正仿宋_GBK"/>
          <w:sz w:val="32"/>
          <w:szCs w:val="32"/>
        </w:rPr>
        <w:t>6716.95</w:t>
      </w:r>
      <w:r>
        <w:rPr>
          <w:rFonts w:ascii="方正仿宋_GBK" w:hAnsi="方正仿宋_GBK" w:eastAsia="方正仿宋_GBK" w:cs="方正仿宋_GBK"/>
          <w:sz w:val="32"/>
          <w:szCs w:val="32"/>
          <w:shd w:val="clear" w:color="auto" w:fill="FFFFFF"/>
        </w:rPr>
        <w:t>万元，占15.6%；项目支出</w:t>
      </w:r>
      <w:r>
        <w:rPr>
          <w:rFonts w:ascii="方正仿宋_GBK" w:hAnsi="方正仿宋_GBK" w:eastAsia="方正仿宋_GBK" w:cs="方正仿宋_GBK"/>
          <w:sz w:val="32"/>
          <w:szCs w:val="32"/>
        </w:rPr>
        <w:t>36236.22</w:t>
      </w:r>
      <w:r>
        <w:rPr>
          <w:rFonts w:ascii="方正仿宋_GBK" w:hAnsi="方正仿宋_GBK" w:eastAsia="方正仿宋_GBK" w:cs="方正仿宋_GBK"/>
          <w:sz w:val="32"/>
          <w:szCs w:val="32"/>
          <w:shd w:val="clear" w:color="auto" w:fill="FFFFFF"/>
        </w:rPr>
        <w:t>万元，占84.4%；经营支出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万元，与2023年度相比，减少5.66万元，下降100.0%，主要原因是非财政拨款结余已完成支付。</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42649.91万元。与2023年相比，财政拨款收、支总计各增加21261.61万元，增长99.4%。主要原因是机构合并原垫江县城市管理局合并入垫江县住房和城乡建设委员会，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26349.07</w:t>
      </w:r>
      <w:r>
        <w:rPr>
          <w:rFonts w:ascii="方正仿宋_GBK" w:hAnsi="方正仿宋_GBK" w:eastAsia="方正仿宋_GBK" w:cs="方正仿宋_GBK"/>
          <w:sz w:val="32"/>
          <w:szCs w:val="32"/>
          <w:shd w:val="clear" w:color="auto" w:fill="FFFFFF"/>
        </w:rPr>
        <w:t>万元，与2023年度相比，增加5374.75万元，增长25.6%。主要原因是机构合并原垫江县城市管理局合并入垫江县住房和城乡建设委员会，系统未提取合并单位上年度数据。较年初预算数增加11201.06万元，增长73.9%。主要原因是机构合并原垫江县城市管理局合并入垫江县住房和城乡建设委员会，系统未提取合并单位上年度数据。此外，年初财政拨款结转和结余</w:t>
      </w:r>
      <w:r>
        <w:rPr>
          <w:rFonts w:ascii="方正仿宋_GBK" w:hAnsi="方正仿宋_GBK" w:eastAsia="方正仿宋_GBK" w:cs="方正仿宋_GBK"/>
          <w:sz w:val="32"/>
          <w:szCs w:val="32"/>
        </w:rPr>
        <w:t>2262.61</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28611.68</w:t>
      </w:r>
      <w:r>
        <w:rPr>
          <w:rFonts w:ascii="方正仿宋_GBK" w:hAnsi="方正仿宋_GBK" w:eastAsia="方正仿宋_GBK" w:cs="方正仿宋_GBK"/>
          <w:sz w:val="32"/>
          <w:szCs w:val="32"/>
          <w:shd w:val="clear" w:color="auto" w:fill="FFFFFF"/>
        </w:rPr>
        <w:t>万元，与2023年度相比，增加7597.36万元，增长36.2%。主要原因是机构合并原垫江县城市管理局合并入垫江县住房和城乡建设委员会，系统未提取合并单位上年度数据。较年初预算数增加13463.67万元，增长88.9%。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严格执行预算执行无结转结余。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w:t>
      </w:r>
      <w:r>
        <w:rPr>
          <w:rFonts w:ascii="方正仿宋_GBK" w:hAnsi="方正仿宋_GBK" w:eastAsia="方正仿宋_GBK" w:cs="方正仿宋_GBK"/>
          <w:sz w:val="32"/>
          <w:szCs w:val="32"/>
          <w:shd w:val="clear" w:color="auto" w:fill="FFFFFF"/>
        </w:rPr>
        <w:t>，较年初预算数增加3.04万元，增长27.1%，主要原因是机构合并原垫江县城市管理局合并入垫江县住房和城乡建设委员会，系统未提取合并单位上年度数据。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1201.01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，较年初预算数增加567.86万元，增长89.7%，主要原因是机构合并原垫江县城市管理局合并入垫江县住房和城乡建设委员会，系统未提取合并单位上年度数据。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223.49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w:t>
      </w:r>
      <w:r>
        <w:rPr>
          <w:rFonts w:ascii="方正仿宋_GBK" w:hAnsi="方正仿宋_GBK" w:eastAsia="方正仿宋_GBK" w:cs="方正仿宋_GBK"/>
          <w:sz w:val="32"/>
          <w:szCs w:val="32"/>
          <w:shd w:val="clear" w:color="auto" w:fill="FFFFFF"/>
        </w:rPr>
        <w:t>，较年初预算数增加68.29万元，增长44.0%，主要原因是机构合并原垫江县城市管理局合并入垫江县住房和城乡建设委员会，系统未提取合并单位上年度数据。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1644.95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w:t>
      </w:r>
      <w:r>
        <w:rPr>
          <w:rFonts w:ascii="方正仿宋_GBK" w:hAnsi="方正仿宋_GBK" w:eastAsia="方正仿宋_GBK" w:cs="方正仿宋_GBK"/>
          <w:sz w:val="32"/>
          <w:szCs w:val="32"/>
          <w:shd w:val="clear" w:color="auto" w:fill="FFFFFF"/>
        </w:rPr>
        <w:t>，较年初预算数增加1480.18万元，增长898.3%，主要原因是增加重庆龙溪河（垫江段）生态环境综合治理项目和污染治理和节能减碳专项中央基建投资。</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（5）城乡社区支出</w:t>
      </w:r>
      <w:r>
        <w:rPr>
          <w:rFonts w:ascii="方正仿宋_GBK" w:hAnsi="方正仿宋_GBK" w:eastAsia="方正仿宋_GBK" w:cs="方正仿宋_GBK"/>
          <w:sz w:val="32"/>
          <w:szCs w:val="32"/>
        </w:rPr>
        <w:t>21404.98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74.8%</w:t>
      </w:r>
      <w:r>
        <w:rPr>
          <w:rFonts w:ascii="方正仿宋_GBK" w:hAnsi="方正仿宋_GBK" w:eastAsia="方正仿宋_GBK" w:cs="方正仿宋_GBK"/>
          <w:sz w:val="32"/>
          <w:szCs w:val="32"/>
          <w:shd w:val="clear" w:color="auto" w:fill="FFFFFF"/>
        </w:rPr>
        <w:t>，较年初预算数增加13595.91万元，增长174.1%，主要原因机构合并原垫江县城市管理局合并入垫江县住房和城乡建设委员会，系统未提取合并单位上年度数据。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（6）农林水支出</w:t>
      </w:r>
      <w:r>
        <w:rPr>
          <w:rFonts w:ascii="方正仿宋_GBK" w:hAnsi="方正仿宋_GBK" w:eastAsia="方正仿宋_GBK" w:cs="方正仿宋_GBK"/>
          <w:sz w:val="32"/>
          <w:szCs w:val="32"/>
        </w:rPr>
        <w:t>45.52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，较年初预算数减少184.01万元，下降80.2%，主要原</w:t>
      </w:r>
      <w:r>
        <w:rPr>
          <w:rFonts w:ascii="方正仿宋_GBK" w:hAnsi="方正仿宋_GBK" w:eastAsia="方正仿宋_GBK" w:cs="方正仿宋_GBK"/>
          <w:sz w:val="32"/>
          <w:szCs w:val="32"/>
        </w:rPr>
        <w:t>因是专项资金，专款专用，根据需要调剂乡镇使用。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（7）资源勘探信息等支出</w:t>
      </w:r>
      <w:r>
        <w:rPr>
          <w:rFonts w:ascii="方正仿宋_GBK" w:hAnsi="方正仿宋_GBK" w:eastAsia="方正仿宋_GBK" w:cs="方正仿宋_GBK"/>
          <w:sz w:val="32"/>
          <w:szCs w:val="32"/>
        </w:rPr>
        <w:t>820.28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w:t>
      </w:r>
      <w:r>
        <w:rPr>
          <w:rFonts w:ascii="方正仿宋_GBK" w:hAnsi="方正仿宋_GBK" w:eastAsia="方正仿宋_GBK" w:cs="方正仿宋_GBK"/>
          <w:sz w:val="32"/>
          <w:szCs w:val="32"/>
          <w:shd w:val="clear" w:color="auto" w:fill="FFFFFF"/>
        </w:rPr>
        <w:t>，较年初预算数增加820.28万元，增长100.0%，主要原因是增加</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3</w:t>
      </w:r>
      <w:r>
        <w:rPr>
          <w:rFonts w:hint="default" w:ascii="方正仿宋_GBK" w:hAnsi="方正仿宋_GBK" w:eastAsia="方正仿宋_GBK" w:cs="方正仿宋_GBK"/>
          <w:sz w:val="32"/>
          <w:szCs w:val="32"/>
          <w:shd w:val="clear" w:color="auto" w:fill="FFFFFF"/>
        </w:rPr>
        <w:t>年房交会契税补贴资金</w:t>
      </w:r>
      <w:r>
        <w:rPr>
          <w:rFonts w:ascii="方正仿宋_GBK" w:hAnsi="方正仿宋_GBK" w:eastAsia="方正仿宋_GBK" w:cs="方正仿宋_GBK"/>
          <w:sz w:val="32"/>
          <w:szCs w:val="32"/>
          <w:shd w:val="clear" w:color="auto" w:fill="FFFFFF"/>
        </w:rPr>
        <w:t>。</w:t>
      </w:r>
    </w:p>
    <w:p>
      <w:pPr>
        <w:pStyle w:val="9"/>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rPr>
        <w:t>自然资源海洋气象等支出475.98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，较年初预算数增加475.98万元，增长100.0%，主要原因是垫江县城市综合执法支队机构改革合并增加支出。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rPr>
        <w:t>住房保障支出2780.55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w:t>
      </w:r>
      <w:r>
        <w:rPr>
          <w:rFonts w:ascii="方正仿宋_GBK" w:hAnsi="方正仿宋_GBK" w:eastAsia="方正仿宋_GBK" w:cs="方正仿宋_GBK"/>
          <w:sz w:val="32"/>
          <w:szCs w:val="32"/>
          <w:shd w:val="clear" w:color="auto" w:fill="FFFFFF"/>
        </w:rPr>
        <w:t>，较年初预算数减少3364.53万元，下降54.8%，主要原因是调减中央财政城镇保障性安全工程补助资金。</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灾害防治及应急管理支出0.66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，较年初预算数增加0.66万元，增长100.0%，主要原因是</w:t>
      </w:r>
      <w:r>
        <w:rPr>
          <w:rFonts w:ascii="方正仿宋_GBK" w:hAnsi="方正仿宋_GBK" w:eastAsia="方正仿宋_GBK" w:cs="方正仿宋_GBK"/>
          <w:sz w:val="32"/>
          <w:szCs w:val="32"/>
        </w:rPr>
        <w:t>人员增加。</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4"/>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6419.35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5613.00</w:t>
      </w:r>
      <w:r>
        <w:rPr>
          <w:rFonts w:ascii="方正仿宋_GBK" w:hAnsi="方正仿宋_GBK" w:eastAsia="方正仿宋_GBK" w:cs="方正仿宋_GBK"/>
          <w:sz w:val="32"/>
          <w:szCs w:val="32"/>
          <w:shd w:val="clear" w:color="auto" w:fill="FFFFFF"/>
        </w:rPr>
        <w:t>万元，与2023年度相比，增加3486.05万元，增长163.9%，主要原因是机构合并</w:t>
      </w:r>
      <w:r>
        <w:rPr>
          <w:rFonts w:hint="eastAsia" w:ascii="方正仿宋_GBK" w:hAnsi="方正仿宋_GBK" w:eastAsia="方正仿宋_GBK" w:cs="方正仿宋_GBK"/>
          <w:sz w:val="32"/>
          <w:szCs w:val="32"/>
          <w:shd w:val="clear" w:color="auto" w:fill="FFFFFF"/>
        </w:rPr>
        <w:t>原垫江县城市管理局合并入垫江县住房和城乡建设委员会，系统</w:t>
      </w:r>
      <w:r>
        <w:rPr>
          <w:rFonts w:ascii="方正仿宋_GBK" w:hAnsi="方正仿宋_GBK" w:eastAsia="方正仿宋_GBK" w:cs="方正仿宋_GBK"/>
          <w:sz w:val="32"/>
          <w:szCs w:val="32"/>
          <w:shd w:val="clear" w:color="auto" w:fill="FFFFFF"/>
        </w:rPr>
        <w:t>未提取合并单位上年度数据。人员经费用途主要包括</w:t>
      </w:r>
      <w:r>
        <w:rPr>
          <w:rFonts w:hint="eastAsia" w:eastAsia="方正仿宋_GBK" w:cs="宋体"/>
          <w:sz w:val="32"/>
          <w:shd w:val="clear" w:color="auto" w:fill="FFFFFF"/>
        </w:rPr>
        <w:t>基本工资、津贴补贴、奖金、社会保障缴费等。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806.34</w:t>
      </w:r>
      <w:r>
        <w:rPr>
          <w:rFonts w:ascii="方正仿宋_GBK" w:hAnsi="方正仿宋_GBK" w:eastAsia="方正仿宋_GBK" w:cs="方正仿宋_GBK"/>
          <w:sz w:val="32"/>
          <w:szCs w:val="32"/>
          <w:shd w:val="clear" w:color="auto" w:fill="FFFFFF"/>
        </w:rPr>
        <w:t>万元，与2023年度相比，增加452.51万元，增长127.9%，主要原因是机构合并</w:t>
      </w:r>
      <w:r>
        <w:rPr>
          <w:rFonts w:hint="eastAsia" w:ascii="方正仿宋_GBK" w:hAnsi="方正仿宋_GBK" w:eastAsia="方正仿宋_GBK" w:cs="方正仿宋_GBK"/>
          <w:sz w:val="32"/>
          <w:szCs w:val="32"/>
          <w:shd w:val="clear" w:color="auto" w:fill="FFFFFF"/>
        </w:rPr>
        <w:t>原垫江县城市管理局合并入垫江县住房和城乡建设委员会，系统</w:t>
      </w:r>
      <w:r>
        <w:rPr>
          <w:rFonts w:ascii="方正仿宋_GBK" w:hAnsi="方正仿宋_GBK" w:eastAsia="方正仿宋_GBK" w:cs="方正仿宋_GBK"/>
          <w:sz w:val="32"/>
          <w:szCs w:val="32"/>
          <w:shd w:val="clear" w:color="auto" w:fill="FFFFFF"/>
        </w:rPr>
        <w:t>未提取合并单位上年度数据。公用经费用途主要包括</w:t>
      </w:r>
      <w:r>
        <w:rPr>
          <w:rFonts w:hint="eastAsia" w:eastAsia="方正仿宋_GBK" w:cs="宋体"/>
          <w:sz w:val="32"/>
          <w:shd w:val="clear" w:color="auto" w:fill="FFFFFF"/>
        </w:rPr>
        <w:t>办公费、差旅费、印刷费、水电费、劳务费、委托业务费等公用经费。</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14038.23</w:t>
      </w:r>
      <w:r>
        <w:rPr>
          <w:rFonts w:ascii="方正仿宋_GBK" w:hAnsi="方正仿宋_GBK" w:eastAsia="方正仿宋_GBK" w:cs="方正仿宋_GBK"/>
          <w:sz w:val="32"/>
          <w:szCs w:val="32"/>
          <w:shd w:val="clear" w:color="auto" w:fill="FFFFFF"/>
        </w:rPr>
        <w:t>万元，与2023年度相比，增加13664.25万元，增长3653.7%，主要原因是机构合并原垫江县城市管理局合并入垫江县住房和城乡建设委员会，系统未提取合并单位上年度数据。本年支出</w:t>
      </w:r>
      <w:r>
        <w:rPr>
          <w:rFonts w:ascii="方正仿宋_GBK" w:hAnsi="方正仿宋_GBK" w:eastAsia="方正仿宋_GBK" w:cs="方正仿宋_GBK"/>
          <w:sz w:val="32"/>
          <w:szCs w:val="32"/>
        </w:rPr>
        <w:t>14038.23</w:t>
      </w:r>
      <w:r>
        <w:rPr>
          <w:rFonts w:ascii="方正仿宋_GBK" w:hAnsi="方正仿宋_GBK" w:eastAsia="方正仿宋_GBK" w:cs="方正仿宋_GBK"/>
          <w:sz w:val="32"/>
          <w:szCs w:val="32"/>
          <w:shd w:val="clear" w:color="auto" w:fill="FFFFFF"/>
        </w:rPr>
        <w:t>万元，与2023年度相比，增加13664.25万元，增长3653.7%，主要原因是机构合并原垫江县城市管理局合并入垫江县住房和城乡建设委员会，系统未提取合并单位上年度数据。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127.02</w:t>
      </w:r>
      <w:r>
        <w:rPr>
          <w:rFonts w:ascii="方正仿宋_GBK" w:hAnsi="方正仿宋_GBK" w:eastAsia="方正仿宋_GBK" w:cs="方正仿宋_GBK"/>
          <w:sz w:val="32"/>
          <w:szCs w:val="32"/>
          <w:shd w:val="clear" w:color="auto" w:fill="FFFFFF"/>
        </w:rPr>
        <w:t>万元，较年初预算数减少126.48万元，下降49.9%，主要原因是本部门</w:t>
      </w:r>
      <w:r>
        <w:rPr>
          <w:rFonts w:hint="default" w:ascii="方正仿宋_GBK" w:hAnsi="方正仿宋_GBK" w:eastAsia="方正仿宋_GBK" w:cs="方正仿宋_GBK"/>
          <w:sz w:val="32"/>
          <w:szCs w:val="32"/>
          <w:shd w:val="clear" w:color="auto" w:fill="FFFFFF"/>
          <w:lang w:bidi="ar"/>
        </w:rPr>
        <w:t>认真贯彻落实中央八项规定精神，按照只减不增的要求从严控制“ 三公”经费</w:t>
      </w:r>
      <w:r>
        <w:rPr>
          <w:rFonts w:ascii="方正仿宋_GBK" w:hAnsi="方正仿宋_GBK" w:eastAsia="方正仿宋_GBK" w:cs="方正仿宋_GBK"/>
          <w:sz w:val="32"/>
          <w:szCs w:val="32"/>
          <w:shd w:val="clear" w:color="auto" w:fill="FFFFFF"/>
        </w:rPr>
        <w:t>。较上年支出数增加57.12万元，增长81.7%，主要原因是机构合并原垫江县城市管理局合并入垫江县住房和城乡建设委员会，系统未提取合并单位上年度数据。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88.47</w:t>
      </w:r>
      <w:r>
        <w:rPr>
          <w:rFonts w:ascii="方正仿宋_GBK" w:hAnsi="方正仿宋_GBK" w:eastAsia="方正仿宋_GBK" w:cs="方正仿宋_GBK"/>
          <w:sz w:val="32"/>
          <w:szCs w:val="32"/>
          <w:shd w:val="clear" w:color="auto" w:fill="FFFFFF"/>
        </w:rPr>
        <w:t>万元，主要用于</w:t>
      </w:r>
      <w:r>
        <w:rPr>
          <w:rFonts w:eastAsia="方正仿宋_GBK" w:cs="宋体"/>
          <w:sz w:val="32"/>
          <w:shd w:val="clear" w:color="auto" w:fill="FFFFFF"/>
        </w:rPr>
        <w:t>日常公务发生的燃料费、维修费、过路过桥、保险费用等。</w:t>
      </w:r>
      <w:r>
        <w:rPr>
          <w:rFonts w:ascii="方正仿宋_GBK" w:hAnsi="方正仿宋_GBK" w:eastAsia="方正仿宋_GBK" w:cs="方正仿宋_GBK"/>
          <w:sz w:val="32"/>
          <w:szCs w:val="32"/>
          <w:shd w:val="clear" w:color="auto" w:fill="FFFFFF"/>
        </w:rPr>
        <w:t>费用支出较年初预算数减少91.53万元，下降50.9%，主要原因是</w:t>
      </w:r>
      <w:r>
        <w:rPr>
          <w:rFonts w:eastAsia="方正仿宋_GBK" w:cs="宋体"/>
          <w:sz w:val="32"/>
          <w:shd w:val="clear" w:color="auto" w:fill="FFFFFF"/>
        </w:rPr>
        <w:t>厉行节约，严控“三公”经费支出。认真贯彻落实中央八项规定精神，按照只减不增的要求从严控制“三公”经费，严格落实公车使用规定。</w:t>
      </w:r>
      <w:r>
        <w:rPr>
          <w:rFonts w:ascii="方正仿宋_GBK" w:hAnsi="方正仿宋_GBK" w:eastAsia="方正仿宋_GBK" w:cs="方正仿宋_GBK"/>
          <w:sz w:val="32"/>
          <w:szCs w:val="32"/>
          <w:shd w:val="clear" w:color="auto" w:fill="FFFFFF"/>
        </w:rPr>
        <w:t>较上年支出数增加43.47万元，增长96.6%，主要原因是机构合并原垫江县城市管理局合并入垫江县住房和城乡建设委员会，系统未提取合并单位上年度数据。</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38.54</w:t>
      </w:r>
      <w:r>
        <w:rPr>
          <w:rFonts w:ascii="方正仿宋_GBK" w:hAnsi="方正仿宋_GBK" w:eastAsia="方正仿宋_GBK" w:cs="方正仿宋_GBK"/>
          <w:sz w:val="32"/>
          <w:szCs w:val="32"/>
          <w:shd w:val="clear" w:color="auto" w:fill="FFFFFF"/>
        </w:rPr>
        <w:t>万元，主要用于接待公务接待生活费支出。费用支出较年初预算数减少34.96万元，下降47.6%，主要原因是</w:t>
      </w:r>
      <w:r>
        <w:rPr>
          <w:rFonts w:hint="default" w:ascii="Times New Roman" w:hAnsi="Times New Roman" w:eastAsia="方正仿宋_GBK"/>
          <w:sz w:val="32"/>
          <w:szCs w:val="32"/>
          <w:shd w:val="clear" w:color="auto" w:fill="FFFFFF"/>
        </w:rPr>
        <w:t>认真贯彻落实中央八项规定精神，强化公务接待支出管理，严格遵守公务接待开支范围和开支标准，严格控制陪餐人数</w:t>
      </w:r>
      <w:r>
        <w:rPr>
          <w:rFonts w:eastAsia="方正仿宋_GBK" w:cs="宋体"/>
          <w:sz w:val="32"/>
          <w:shd w:val="clear" w:color="auto" w:fill="FFFFFF"/>
        </w:rPr>
        <w:t>。</w:t>
      </w:r>
      <w:r>
        <w:rPr>
          <w:rFonts w:ascii="方正仿宋_GBK" w:hAnsi="方正仿宋_GBK" w:eastAsia="方正仿宋_GBK" w:cs="方正仿宋_GBK"/>
          <w:sz w:val="32"/>
          <w:szCs w:val="32"/>
          <w:shd w:val="clear" w:color="auto" w:fill="FFFFFF"/>
        </w:rPr>
        <w:t>较上年支出数增加13.64万元，增长54.8%，主要原因是系统未提取合并单位上年度数据。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882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4969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77.57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w:t>
      </w:r>
    </w:p>
    <w:p>
      <w:pPr>
        <w:pStyle w:val="9"/>
        <w:shd w:val="clear" w:color="auto" w:fill="FFFFFF"/>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万元，与2023年度相比，减少17.40万元，下降81.3%，主要原因减少建筑产业工业化、数字化、绿色化发展论坛会议费。本年度培训费支出</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万元，与2023年度相比，增加8.39万元，增长143.2%，主要原因是增加培训经费。</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357.98</w:t>
      </w:r>
      <w:r>
        <w:rPr>
          <w:rFonts w:ascii="方正仿宋_GBK" w:hAnsi="方正仿宋_GBK" w:eastAsia="方正仿宋_GBK" w:cs="方正仿宋_GBK"/>
          <w:sz w:val="32"/>
          <w:szCs w:val="32"/>
          <w:shd w:val="clear" w:color="auto" w:fill="FFFFFF"/>
        </w:rPr>
        <w:t>万元，机关运行经费主要用于开支办公费、水电费、邮电费、差旅费、维护费、会议费、劳务费、公务用车运行维护费、公务接待等费用。机关运行经费较上年支出数增加241.55万元，增长207.5%，主要原因是系统未提取合并单位上年度数据。</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45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14</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3056.01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3055.77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67.80万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67.80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 xml:space="preserve"> %。主要用于</w:t>
      </w:r>
      <w:r>
        <w:rPr>
          <w:rFonts w:ascii="Times New Roman" w:hAnsi="Times New Roman" w:eastAsia="方正仿宋_GBK"/>
          <w:sz w:val="32"/>
          <w:szCs w:val="32"/>
        </w:rPr>
        <w:t>城市环卫作业服务费项目</w:t>
      </w:r>
      <w:r>
        <w:rPr>
          <w:rFonts w:ascii="方正仿宋_GBK" w:hAnsi="方正仿宋_GBK" w:eastAsia="方正仿宋_GBK" w:cs="方正仿宋_GBK"/>
          <w:sz w:val="32"/>
          <w:szCs w:val="32"/>
          <w:shd w:val="clear" w:color="auto" w:fill="FFFFFF"/>
        </w:rPr>
        <w:t>。</w:t>
      </w: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5"/>
        <w:autoSpaceDE w:val="0"/>
        <w:spacing w:before="0" w:beforeAutospacing="0" w:line="600" w:lineRule="exact"/>
        <w:ind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根据预算绩效管理要求，我部门对部门37个二级项目开展了绩效自评，涉及财政拨款项目支出资金24455.98万元。</w:t>
      </w:r>
    </w:p>
    <w:p>
      <w:pPr>
        <w:pStyle w:val="15"/>
        <w:autoSpaceDE w:val="0"/>
        <w:spacing w:before="0" w:before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部门整体绩效自评表</w:t>
      </w:r>
    </w:p>
    <w:p>
      <w:pPr>
        <w:pStyle w:val="15"/>
        <w:spacing w:before="0" w:beforeAutospacing="0"/>
      </w:pPr>
      <w:r>
        <w:drawing>
          <wp:inline distT="0" distB="0" distL="114300" distR="114300">
            <wp:extent cx="5678170" cy="4457065"/>
            <wp:effectExtent l="0" t="0" r="1778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678170" cy="4457065"/>
                    </a:xfrm>
                    <a:prstGeom prst="rect">
                      <a:avLst/>
                    </a:prstGeom>
                    <a:noFill/>
                    <a:ln>
                      <a:noFill/>
                    </a:ln>
                  </pic:spPr>
                </pic:pic>
              </a:graphicData>
            </a:graphic>
          </wp:inline>
        </w:drawing>
      </w:r>
    </w:p>
    <w:p>
      <w:pPr>
        <w:pStyle w:val="15"/>
        <w:shd w:val="clear" w:color="auto" w:fill="FFFFFF"/>
        <w:autoSpaceDE w:val="0"/>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我部门对</w:t>
      </w:r>
      <w:r>
        <w:rPr>
          <w:rFonts w:ascii="方正仿宋_GBK" w:hAnsi="方正仿宋_GBK" w:eastAsia="方正仿宋_GBK" w:cs="方正仿宋_GBK"/>
          <w:sz w:val="32"/>
          <w:szCs w:val="32"/>
          <w:shd w:val="clear" w:color="auto" w:fill="FFFFFF"/>
        </w:rPr>
        <w:t>中央财政城镇保障性安居工程（老旧小区改造）</w:t>
      </w:r>
      <w:r>
        <w:rPr>
          <w:rFonts w:hint="eastAsia" w:ascii="方正仿宋_GBK" w:hAnsi="方正仿宋_GBK" w:eastAsia="方正仿宋_GBK" w:cs="方正仿宋_GBK"/>
          <w:sz w:val="32"/>
          <w:szCs w:val="32"/>
          <w:shd w:val="clear" w:color="auto" w:fill="FFFFFF"/>
        </w:rPr>
        <w:t>开展了绩效评价，涉及财政拨款项目资金268.82万元，评价得分100分，评价等次为优，从评价情况来看，我委项目专项工作均已完成当年计划，完成了年度绩效目标。所有项目的日常管理工作均按照我委相关管理制度执行，建立了工作有计划、实施有方案、日常有监督的管理机制，工作取得了较好的成效，效能得到了提高。下一步加大项目绩效目标管理，合理提高资金使用效率。</w:t>
      </w:r>
    </w:p>
    <w:p>
      <w:pPr>
        <w:pStyle w:val="15"/>
        <w:spacing w:before="0" w:beforeAutospacing="0"/>
      </w:pPr>
    </w:p>
    <w:p>
      <w:pPr>
        <w:pStyle w:val="15"/>
        <w:spacing w:before="0" w:beforeAutospacing="0"/>
      </w:pPr>
    </w:p>
    <w:p>
      <w:pPr>
        <w:pStyle w:val="15"/>
        <w:spacing w:before="0" w:beforeAutospacing="0"/>
      </w:pPr>
    </w:p>
    <w:p>
      <w:pPr>
        <w:pStyle w:val="15"/>
        <w:spacing w:before="0" w:beforeAutospacing="0"/>
      </w:pPr>
      <w:r>
        <w:drawing>
          <wp:inline distT="0" distB="0" distL="114300" distR="114300">
            <wp:extent cx="5222240" cy="3399790"/>
            <wp:effectExtent l="0" t="0" r="1651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22240" cy="3399790"/>
                    </a:xfrm>
                    <a:prstGeom prst="rect">
                      <a:avLst/>
                    </a:prstGeom>
                    <a:noFill/>
                    <a:ln>
                      <a:noFill/>
                    </a:ln>
                  </pic:spPr>
                </pic:pic>
              </a:graphicData>
            </a:graphic>
          </wp:inline>
        </w:drawing>
      </w:r>
    </w:p>
    <w:p>
      <w:pPr>
        <w:pStyle w:val="19"/>
        <w:autoSpaceDE w:val="0"/>
        <w:spacing w:line="596" w:lineRule="exact"/>
        <w:ind w:firstLine="643"/>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lang w:bidi="ar"/>
        </w:rPr>
        <w:t>（二）</w:t>
      </w:r>
      <w:r>
        <w:rPr>
          <w:rFonts w:ascii="楷体" w:hAnsi="楷体" w:eastAsia="楷体" w:cs="楷体"/>
          <w:b/>
          <w:bCs/>
          <w:sz w:val="32"/>
          <w:szCs w:val="32"/>
          <w:shd w:val="clear" w:color="auto" w:fill="FFFFFF"/>
        </w:rPr>
        <w:t>部门绩效评价情况</w:t>
      </w:r>
    </w:p>
    <w:p>
      <w:pPr>
        <w:pStyle w:val="19"/>
        <w:autoSpaceDE w:val="0"/>
        <w:spacing w:line="596" w:lineRule="exact"/>
        <w:ind w:firstLine="640"/>
        <w:rPr>
          <w:rFonts w:hint="default" w:ascii="楷体" w:hAnsi="楷体" w:eastAsia="楷体" w:cs="楷体"/>
          <w:bCs/>
          <w:sz w:val="32"/>
          <w:szCs w:val="32"/>
          <w:shd w:val="clear" w:color="auto" w:fill="FFFFFF"/>
        </w:rPr>
      </w:pPr>
      <w:r>
        <w:rPr>
          <w:rFonts w:ascii="楷体" w:hAnsi="楷体" w:eastAsia="楷体" w:cs="楷体"/>
          <w:bCs/>
          <w:sz w:val="32"/>
          <w:szCs w:val="32"/>
          <w:shd w:val="clear" w:color="auto" w:fill="FFFFFF"/>
        </w:rPr>
        <w:t>我</w:t>
      </w:r>
      <w:r>
        <w:rPr>
          <w:rFonts w:hint="default" w:ascii="楷体" w:hAnsi="楷体" w:eastAsia="楷体" w:cs="楷体"/>
          <w:bCs/>
          <w:sz w:val="32"/>
          <w:szCs w:val="32"/>
          <w:shd w:val="clear" w:color="auto" w:fill="FFFFFF"/>
        </w:rPr>
        <w:t>部门未组织开展绩效</w:t>
      </w:r>
      <w:r>
        <w:rPr>
          <w:rFonts w:ascii="楷体" w:hAnsi="楷体" w:eastAsia="楷体" w:cs="楷体"/>
          <w:bCs/>
          <w:sz w:val="32"/>
          <w:szCs w:val="32"/>
          <w:shd w:val="clear" w:color="auto" w:fill="FFFFFF"/>
        </w:rPr>
        <w:t>评价</w:t>
      </w:r>
      <w:r>
        <w:rPr>
          <w:rFonts w:hint="default" w:ascii="楷体" w:hAnsi="楷体" w:eastAsia="楷体" w:cs="楷体"/>
          <w:bCs/>
          <w:sz w:val="32"/>
          <w:szCs w:val="32"/>
          <w:shd w:val="clear" w:color="auto" w:fill="FFFFFF"/>
        </w:rPr>
        <w:t>。</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3"/>
        <w:keepNext/>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40" w:firstLineChars="200"/>
        <w:jc w:val="left"/>
        <w:textAlignment w:val="auto"/>
        <w:outlineLvl w:val="1"/>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县财政局委托第三方对我单位创建市级生态园林项目开展了重点绩效评价，涉及财政拨款项目资金73.27万元，评价得分87.5分，评价等次为</w:t>
      </w:r>
      <w:r>
        <w:rPr>
          <w:rFonts w:hint="eastAsia" w:ascii="方正仿宋_GBK" w:hAnsi="方正仿宋_GBK" w:eastAsia="方正仿宋_GBK" w:cs="方正仿宋_GBK"/>
          <w:sz w:val="32"/>
          <w:szCs w:val="32"/>
          <w:shd w:val="clear" w:color="auto" w:fill="FFFFFF"/>
          <w:lang w:val="en-US" w:eastAsia="zh-CN" w:bidi="ar-SA"/>
        </w:rPr>
        <w:t>“良”</w:t>
      </w:r>
      <w:r>
        <w:rPr>
          <w:rFonts w:ascii="方正仿宋_GBK" w:hAnsi="方正仿宋_GBK" w:eastAsia="方正仿宋_GBK" w:cs="方正仿宋_GBK"/>
          <w:sz w:val="32"/>
          <w:szCs w:val="32"/>
          <w:shd w:val="clear" w:color="auto" w:fill="FFFFFF"/>
        </w:rPr>
        <w:t>，绩效评价发现了绩效目标存在缺陷，绩效指标设置不规范等主要问题，提出完善项目绩效目标，优化绩效指标设置等下一步工作建议。</w:t>
      </w:r>
      <w:r>
        <w:rPr>
          <w:rFonts w:hint="eastAsia" w:ascii="方正仿宋_GBK" w:hAnsi="方正仿宋_GBK" w:eastAsia="方正仿宋_GBK" w:cs="方正仿宋_GBK"/>
          <w:sz w:val="32"/>
          <w:szCs w:val="32"/>
          <w:shd w:val="clear" w:color="auto" w:fill="FFFFFF"/>
          <w:lang w:eastAsia="zh-CN"/>
        </w:rPr>
        <w:t>对</w:t>
      </w: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农村生活垃圾收运服务</w:t>
      </w:r>
      <w:r>
        <w:rPr>
          <w:rFonts w:hint="eastAsia" w:ascii="方正仿宋_GBK" w:hAnsi="方正仿宋_GBK" w:eastAsia="方正仿宋_GBK" w:cs="方正仿宋_GBK"/>
          <w:kern w:val="0"/>
          <w:sz w:val="32"/>
          <w:szCs w:val="32"/>
          <w:shd w:val="clear" w:fill="FFFFFF"/>
          <w:lang w:eastAsia="zh-CN"/>
        </w:rPr>
        <w:t>费</w:t>
      </w:r>
      <w:r>
        <w:rPr>
          <w:rFonts w:hint="eastAsia" w:ascii="方正仿宋_GBK" w:hAnsi="方正仿宋_GBK" w:eastAsia="方正仿宋_GBK" w:cs="方正仿宋_GBK"/>
          <w:kern w:val="0"/>
          <w:sz w:val="32"/>
          <w:szCs w:val="32"/>
          <w:shd w:val="clear" w:fill="FFFFFF"/>
        </w:rPr>
        <w:t>开展了绩效评价，涉及财政拨款项目资金</w:t>
      </w:r>
      <w:r>
        <w:rPr>
          <w:rFonts w:hint="default" w:ascii="方正仿宋_GBK" w:hAnsi="方正仿宋_GBK" w:eastAsia="方正仿宋_GBK" w:cs="方正仿宋_GBK"/>
          <w:kern w:val="0"/>
          <w:sz w:val="32"/>
          <w:szCs w:val="32"/>
          <w:shd w:val="clear" w:fill="FFFFFF"/>
        </w:rPr>
        <w:t>1480</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eastAsia="zh-CN"/>
        </w:rPr>
        <w:t>分别为</w:t>
      </w:r>
      <w:r>
        <w:rPr>
          <w:rFonts w:hint="eastAsia" w:ascii="方正仿宋_GBK" w:hAnsi="方正仿宋_GBK" w:eastAsia="方正仿宋_GBK" w:cs="方正仿宋_GBK"/>
          <w:kern w:val="0"/>
          <w:sz w:val="32"/>
          <w:szCs w:val="32"/>
          <w:shd w:val="clear" w:fill="FFFFFF"/>
          <w:lang w:val="en-US" w:eastAsia="zh-CN"/>
        </w:rPr>
        <w:t>86</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sz w:val="32"/>
          <w:szCs w:val="32"/>
          <w:shd w:val="clear" w:color="auto" w:fill="FFFFFF"/>
          <w:lang w:val="en-US" w:eastAsia="zh-CN" w:bidi="ar-SA"/>
        </w:rPr>
        <w:t>“良”</w:t>
      </w:r>
      <w:r>
        <w:rPr>
          <w:rFonts w:hint="eastAsia" w:ascii="方正仿宋_GBK" w:hAnsi="方正仿宋_GBK" w:eastAsia="方正仿宋_GBK" w:cs="方正仿宋_GBK"/>
          <w:kern w:val="0"/>
          <w:sz w:val="32"/>
          <w:szCs w:val="32"/>
          <w:shd w:val="clear" w:fill="FFFFFF"/>
        </w:rPr>
        <w:t>，绩效评价发现了</w:t>
      </w:r>
      <w:r>
        <w:rPr>
          <w:rFonts w:hint="eastAsia" w:ascii="方正仿宋_GBK" w:hAnsi="方正仿宋_GBK" w:eastAsia="方正仿宋_GBK" w:cs="方正仿宋_GBK"/>
          <w:kern w:val="0"/>
          <w:sz w:val="32"/>
          <w:szCs w:val="32"/>
          <w:shd w:val="clear" w:fill="FFFFFF"/>
          <w:lang w:eastAsia="zh-CN"/>
        </w:rPr>
        <w:t>绩效目标量化不足，绩效指标可操作性欠缺</w:t>
      </w:r>
      <w:r>
        <w:rPr>
          <w:rFonts w:hint="eastAsia" w:ascii="方正仿宋_GBK" w:hAnsi="方正仿宋_GBK" w:eastAsia="方正仿宋_GBK" w:cs="方正仿宋_GBK"/>
          <w:kern w:val="0"/>
          <w:sz w:val="32"/>
          <w:szCs w:val="32"/>
          <w:shd w:val="clear" w:fill="FFFFFF"/>
        </w:rPr>
        <w:t>等主要问题，提出</w:t>
      </w:r>
      <w:r>
        <w:rPr>
          <w:rFonts w:hint="eastAsia" w:ascii="方正仿宋_GBK" w:hAnsi="方正仿宋_GBK" w:eastAsia="方正仿宋_GBK" w:cs="方正仿宋_GBK"/>
          <w:kern w:val="0"/>
          <w:sz w:val="32"/>
          <w:szCs w:val="32"/>
          <w:shd w:val="clear" w:fill="FFFFFF"/>
          <w:lang w:eastAsia="zh-CN"/>
        </w:rPr>
        <w:t>完善绩效目标设置，提升绩效指标可操作性；优化预算编制方法，加强预算执行监管</w:t>
      </w:r>
      <w:r>
        <w:rPr>
          <w:rFonts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kern w:val="0"/>
          <w:sz w:val="32"/>
          <w:szCs w:val="32"/>
          <w:shd w:val="clear" w:fill="FFFFFF"/>
          <w:lang w:eastAsia="zh-CN"/>
        </w:rPr>
        <w:t>。对生活垃圾处置费（垃圾焚烧发电项目）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default" w:ascii="方正仿宋_GBK" w:hAnsi="方正仿宋_GBK" w:eastAsia="方正仿宋_GBK" w:cs="方正仿宋_GBK"/>
          <w:kern w:val="0"/>
          <w:sz w:val="32"/>
          <w:szCs w:val="32"/>
          <w:shd w:val="clear" w:fill="FFFFFF"/>
        </w:rPr>
        <w:t>1852</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85.84分</w:t>
      </w:r>
      <w:r>
        <w:rPr>
          <w:rFonts w:hint="eastAsia" w:ascii="方正仿宋_GBK" w:hAnsi="方正仿宋_GBK" w:eastAsia="方正仿宋_GBK" w:cs="方正仿宋_GBK"/>
          <w:kern w:val="0"/>
          <w:sz w:val="32"/>
          <w:szCs w:val="32"/>
          <w:shd w:val="clear" w:fill="FFFFFF"/>
        </w:rPr>
        <w:t>，评价等次为</w:t>
      </w:r>
      <w:r>
        <w:rPr>
          <w:rFonts w:hint="eastAsia" w:ascii="方正仿宋_GBK" w:hAnsi="方正仿宋_GBK" w:eastAsia="方正仿宋_GBK" w:cs="方正仿宋_GBK"/>
          <w:sz w:val="32"/>
          <w:szCs w:val="32"/>
          <w:shd w:val="clear" w:color="auto" w:fill="FFFFFF"/>
          <w:lang w:val="en-US" w:eastAsia="zh-CN" w:bidi="ar-SA"/>
        </w:rPr>
        <w:t>“良”</w:t>
      </w:r>
      <w:r>
        <w:rPr>
          <w:rFonts w:hint="eastAsia" w:ascii="方正仿宋_GBK" w:hAnsi="方正仿宋_GBK" w:eastAsia="方正仿宋_GBK" w:cs="方正仿宋_GBK"/>
          <w:kern w:val="0"/>
          <w:sz w:val="32"/>
          <w:szCs w:val="32"/>
          <w:shd w:val="clear" w:fill="FFFFFF"/>
        </w:rPr>
        <w:t>，绩效评价发现了</w:t>
      </w:r>
      <w:r>
        <w:rPr>
          <w:rFonts w:hint="eastAsia" w:ascii="方正仿宋_GBK" w:hAnsi="方正仿宋_GBK" w:eastAsia="方正仿宋_GBK" w:cs="方正仿宋_GBK"/>
          <w:kern w:val="0"/>
          <w:sz w:val="32"/>
          <w:szCs w:val="32"/>
          <w:shd w:val="clear" w:fill="FFFFFF"/>
          <w:lang w:eastAsia="zh-CN"/>
        </w:rPr>
        <w:t>绩效目标</w:t>
      </w:r>
      <w:r>
        <w:rPr>
          <w:rFonts w:hint="default" w:ascii="方正仿宋_GBK" w:hAnsi="方正仿宋_GBK" w:eastAsia="方正仿宋_GBK" w:cs="方正仿宋_GBK"/>
          <w:kern w:val="0"/>
          <w:sz w:val="32"/>
          <w:szCs w:val="32"/>
          <w:shd w:val="clear" w:fill="FFFFFF"/>
          <w:lang w:eastAsia="zh-CN"/>
        </w:rPr>
        <w:t>明确性</w:t>
      </w:r>
      <w:r>
        <w:rPr>
          <w:rFonts w:hint="eastAsia" w:ascii="方正仿宋_GBK" w:hAnsi="方正仿宋_GBK" w:eastAsia="方正仿宋_GBK" w:cs="方正仿宋_GBK"/>
          <w:kern w:val="0"/>
          <w:sz w:val="32"/>
          <w:szCs w:val="32"/>
          <w:shd w:val="clear" w:fill="FFFFFF"/>
          <w:lang w:eastAsia="zh-CN"/>
        </w:rPr>
        <w:t>不足，指标</w:t>
      </w:r>
      <w:r>
        <w:rPr>
          <w:rFonts w:hint="default" w:ascii="方正仿宋_GBK" w:hAnsi="方正仿宋_GBK" w:eastAsia="方正仿宋_GBK" w:cs="方正仿宋_GBK"/>
          <w:kern w:val="0"/>
          <w:sz w:val="32"/>
          <w:szCs w:val="32"/>
          <w:shd w:val="clear" w:fill="FFFFFF"/>
          <w:lang w:eastAsia="zh-CN"/>
        </w:rPr>
        <w:t>设置存在瑕疵</w:t>
      </w:r>
      <w:r>
        <w:rPr>
          <w:rFonts w:hint="eastAsia" w:ascii="方正仿宋_GBK" w:hAnsi="方正仿宋_GBK" w:eastAsia="方正仿宋_GBK" w:cs="方正仿宋_GBK"/>
          <w:kern w:val="0"/>
          <w:sz w:val="32"/>
          <w:szCs w:val="32"/>
          <w:shd w:val="clear" w:fill="FFFFFF"/>
          <w:lang w:val="en-US" w:eastAsia="zh-CN"/>
        </w:rPr>
        <w:t>等主要问题，提</w:t>
      </w:r>
      <w:r>
        <w:rPr>
          <w:rFonts w:hint="eastAsia" w:ascii="方正仿宋_GBK" w:hAnsi="方正仿宋_GBK" w:eastAsia="方正仿宋_GBK" w:cs="方正仿宋_GBK"/>
          <w:kern w:val="0"/>
          <w:sz w:val="32"/>
          <w:szCs w:val="32"/>
          <w:shd w:val="clear" w:fill="FFFFFF"/>
        </w:rPr>
        <w:t>出</w:t>
      </w:r>
      <w:r>
        <w:rPr>
          <w:rFonts w:hint="eastAsia" w:ascii="方正仿宋_GBK" w:hAnsi="方正仿宋_GBK" w:eastAsia="方正仿宋_GBK" w:cs="方正仿宋_GBK"/>
          <w:kern w:val="0"/>
          <w:sz w:val="32"/>
          <w:szCs w:val="32"/>
          <w:shd w:val="clear" w:fill="FFFFFF"/>
          <w:lang w:eastAsia="zh-CN"/>
        </w:rPr>
        <w:t>完善绩效目标</w:t>
      </w:r>
      <w:r>
        <w:rPr>
          <w:rFonts w:hint="default" w:ascii="方正仿宋_GBK" w:hAnsi="方正仿宋_GBK" w:eastAsia="方正仿宋_GBK" w:cs="方正仿宋_GBK"/>
          <w:kern w:val="0"/>
          <w:sz w:val="32"/>
          <w:szCs w:val="32"/>
          <w:shd w:val="clear" w:fill="FFFFFF"/>
          <w:lang w:val="en-US" w:eastAsia="zh-CN"/>
        </w:rPr>
        <w:t>编制工作，细化绩效指标设置</w:t>
      </w:r>
      <w:r>
        <w:rPr>
          <w:rFonts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kern w:val="0"/>
          <w:sz w:val="32"/>
          <w:szCs w:val="32"/>
          <w:shd w:val="clear" w:fill="FFFFFF"/>
          <w:lang w:val="en-US" w:eastAsia="zh-CN"/>
        </w:rPr>
        <w:t>。</w:t>
      </w:r>
      <w:r>
        <w:rPr>
          <w:rFonts w:hint="eastAsia" w:ascii="方正仿宋_GBK" w:hAnsi="方正仿宋_GBK" w:eastAsia="方正仿宋_GBK" w:cs="方正仿宋_GBK"/>
          <w:sz w:val="32"/>
          <w:szCs w:val="32"/>
          <w:shd w:val="clear" w:color="auto" w:fill="FFFFFF"/>
          <w:lang w:val="en-US" w:eastAsia="zh-CN" w:bidi="ar-SA"/>
        </w:rPr>
        <w:t>对县城排水设施运行维护项目开展了绩效评价，涉及财政拨款项目资金</w:t>
      </w:r>
      <w:r>
        <w:rPr>
          <w:rFonts w:hint="default" w:ascii="方正仿宋_GBK" w:hAnsi="方正仿宋_GBK" w:eastAsia="方正仿宋_GBK" w:cs="方正仿宋_GBK"/>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万元，评价得分83.50分，评价等次为“良”，绩效评价发现了项目未制定实施方案，项目实施内容需进一步完善等主要问题，提出制定细化实施方案，完善项目实施指导内容等下一步工作建议。</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方正仿宋_GBK" w:hAnsi="方正仿宋_GBK" w:eastAsia="方正仿宋_GBK" w:cs="方正仿宋_GBK"/>
          <w:kern w:val="0"/>
          <w:sz w:val="32"/>
          <w:szCs w:val="32"/>
          <w:shd w:val="clear" w:fill="FFFFFF"/>
          <w:lang w:val="en-US" w:eastAsia="zh-CN"/>
        </w:rPr>
      </w:pPr>
    </w:p>
    <w:p>
      <w:pPr>
        <w:pStyle w:val="19"/>
        <w:autoSpaceDE w:val="0"/>
        <w:spacing w:line="596" w:lineRule="exact"/>
        <w:ind w:firstLine="640"/>
        <w:rPr>
          <w:rFonts w:hint="eastAsia" w:ascii="方正仿宋_GBK" w:hAnsi="方正仿宋_GBK" w:eastAsia="方正仿宋_GBK" w:cs="方正仿宋_GBK"/>
          <w:sz w:val="32"/>
          <w:szCs w:val="32"/>
          <w:shd w:val="clear" w:color="auto" w:fill="FFFFFF"/>
          <w:lang w:val="en-US" w:eastAsia="zh-CN"/>
        </w:rPr>
      </w:pP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hint="default"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七、决算公开联系方式及信息反馈渠道</w:t>
      </w:r>
    </w:p>
    <w:p>
      <w:pPr>
        <w:pStyle w:val="15"/>
        <w:shd w:val="clear" w:color="auto" w:fill="FFFFFF"/>
        <w:autoSpaceDE w:val="0"/>
        <w:spacing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本单位决算公开信息反馈和联系方式：联系电话023-74513038</w:t>
      </w:r>
    </w:p>
    <w:p>
      <w:pPr>
        <w:pStyle w:val="14"/>
        <w:autoSpaceDE w:val="0"/>
        <w:ind w:firstLine="0" w:firstLineChars="0"/>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垫江县住房和城乡建设委员会</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26,349.07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14,038.23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35,012.38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2,780.55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40,684.82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42,953.17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2,268.35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42,953.17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42,953.17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垫江县住房和城乡建设委员会</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40,684.82</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40,387.30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297.52</w:t>
            </w:r>
            <w:r>
              <w:rPr>
                <w:rFonts w:ascii="Times New Roman" w:hAnsi="Times New Roman"/>
                <w:b/>
                <w:color w:val="000000"/>
                <w:sz w:val="20"/>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1,193.01</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1,193.01</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1,171.17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1,171.17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565.68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565.68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287.94</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287.94</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220.49</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32,755.12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32,457.60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297.52</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7,288.08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6,990.56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297.52</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1,513.87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1,513.87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5,768.78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5,471.26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297.52</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12,162.80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12,162.80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公共租赁住房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抗疫特别国债安排的支出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2340199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垫江县住房和城乡建设委员会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42,953.17</w:t>
            </w:r>
            <w:r>
              <w:rPr>
                <w:rFonts w:ascii="Times New Roman" w:hAnsi="Times New Roman"/>
                <w:b/>
                <w:color w:val="000000"/>
                <w:sz w:val="20"/>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6,716.95</w:t>
            </w:r>
            <w:r>
              <w:rPr>
                <w:rFonts w:ascii="Times New Roman" w:hAnsi="Times New Roman"/>
                <w:b/>
                <w:color w:val="000000"/>
                <w:sz w:val="20"/>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36,236.22</w:t>
            </w:r>
            <w:r>
              <w:rPr>
                <w:rFonts w:ascii="Times New Roman" w:hAnsi="Times New Roman"/>
                <w:b/>
                <w:color w:val="000000"/>
                <w:sz w:val="20"/>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1,201.01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35,012.38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4,560.65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30,451.74</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9,441.21</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4,560.65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4,880.56</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7,907.25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3,037.77</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4,869.48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21298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2129801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476.06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430.67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476.06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430.67</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公共租赁住房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抗疫特别国债安排的支出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23401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2340199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垫江县住房和城乡建设委员会</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26,349.07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14,038.23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1,201.01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1,644.95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34,709.21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21,404.98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13,304.23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2,780.55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40,387.30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28,611.68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14,038.23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2,262.61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2,262.61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42,649.91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42,649.91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28,611.68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14,038.23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垫江县住房和城乡建设委员会</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28,611.68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6,419.35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22,192.33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1,201.01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1,179.17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570.68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317.55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120.27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1,644.95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21,404.98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4,263.13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17,141.85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9,138.03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4,263.13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4,874.91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1,522.87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7,609.73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2,740.26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4,869.48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12,166.20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12,162.80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475.98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2,472.50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公共租赁住房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1,216.82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垫江县住房和城乡建设委员会</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5,287.28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5,613.00</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806.34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垫江县住房和城乡建设委员会</w:t>
            </w: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14,038.23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14,038.23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14,038.23</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13,304.23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13,304.23</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13,304.23</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9,522.80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9,516.80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516.25</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城市公共设施</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污水处理费安排的支出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污水处理设施建设和运营</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21298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3,129.17</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2129801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城乡社区公共设施</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3,129.17</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234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抗疫特别国债安排的支出</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23401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基础设施建设</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734.00</w:t>
            </w:r>
            <w:r>
              <w:rPr>
                <w:rFonts w:ascii="Times New Roman" w:hAnsi="Times New Roman"/>
                <w:b/>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2340199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其他基础设施建设</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734.00</w:t>
            </w:r>
            <w:r>
              <w:rPr>
                <w:rFonts w:ascii="Times New Roman" w:hAnsi="Times New Roman"/>
                <w:color w:val="000000"/>
                <w:sz w:val="20"/>
              </w:rPr>
              <w:t xml:space="preserve"> </w:t>
            </w:r>
          </w:p>
        </w:tc>
        <w:tc>
          <w:tcPr>
            <w:tcW w:w="1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垫江县住房和城乡建设委员会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垫江县住房和城乡建设委员会</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357.98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127.02</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127.02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107.16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88.47</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38.54</w:t>
            </w:r>
            <w:r>
              <w:rPr>
                <w:rFonts w:ascii="Times New Roman" w:hAnsi="Times New Roman"/>
                <w:color w:val="000000"/>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38.54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38.54</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882</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3,056.01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4,969</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3,055.77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14.25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94.45</w:t>
            </w:r>
            <w:r>
              <w:rPr>
                <w:rFonts w:ascii="Times New Roman" w:hAnsi="Times New Roman"/>
                <w:color w:val="000000"/>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C01CC"/>
    <w:rsid w:val="000D7702"/>
    <w:rsid w:val="000F6721"/>
    <w:rsid w:val="00125B85"/>
    <w:rsid w:val="001632EC"/>
    <w:rsid w:val="0023135E"/>
    <w:rsid w:val="00261065"/>
    <w:rsid w:val="002D0E5A"/>
    <w:rsid w:val="002D71F4"/>
    <w:rsid w:val="002E5443"/>
    <w:rsid w:val="0032196C"/>
    <w:rsid w:val="004852DA"/>
    <w:rsid w:val="004C12FF"/>
    <w:rsid w:val="004D0390"/>
    <w:rsid w:val="0051110B"/>
    <w:rsid w:val="00550ABE"/>
    <w:rsid w:val="00565892"/>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8A1E33"/>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A74AA"/>
    <w:rsid w:val="00BF5A85"/>
    <w:rsid w:val="00C307F6"/>
    <w:rsid w:val="00C56C4D"/>
    <w:rsid w:val="00C60663"/>
    <w:rsid w:val="00C96B11"/>
    <w:rsid w:val="00C97747"/>
    <w:rsid w:val="00CC6B99"/>
    <w:rsid w:val="00DD26EB"/>
    <w:rsid w:val="00DF7706"/>
    <w:rsid w:val="00E05175"/>
    <w:rsid w:val="00E654E2"/>
    <w:rsid w:val="00E76362"/>
    <w:rsid w:val="00E86B80"/>
    <w:rsid w:val="00E92075"/>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400CA1"/>
    <w:rsid w:val="075678DB"/>
    <w:rsid w:val="079D7CC7"/>
    <w:rsid w:val="08051BCA"/>
    <w:rsid w:val="086C12F4"/>
    <w:rsid w:val="08BA052C"/>
    <w:rsid w:val="08DB07BA"/>
    <w:rsid w:val="0969353F"/>
    <w:rsid w:val="098305D0"/>
    <w:rsid w:val="098A0877"/>
    <w:rsid w:val="0A5C4B69"/>
    <w:rsid w:val="0A86124A"/>
    <w:rsid w:val="0AB54CC0"/>
    <w:rsid w:val="0B9335CE"/>
    <w:rsid w:val="0C394841"/>
    <w:rsid w:val="0C7927C4"/>
    <w:rsid w:val="0C9B098C"/>
    <w:rsid w:val="0D673E11"/>
    <w:rsid w:val="0D8E6618"/>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8F0EE3"/>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1762433"/>
    <w:rsid w:val="52234D33"/>
    <w:rsid w:val="52261ABA"/>
    <w:rsid w:val="522F6E0C"/>
    <w:rsid w:val="52463BA1"/>
    <w:rsid w:val="5298794F"/>
    <w:rsid w:val="52F163D4"/>
    <w:rsid w:val="531A2DB4"/>
    <w:rsid w:val="53C0244D"/>
    <w:rsid w:val="53DD4D4E"/>
    <w:rsid w:val="53E578CE"/>
    <w:rsid w:val="541330F0"/>
    <w:rsid w:val="54272666"/>
    <w:rsid w:val="542C5575"/>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B10DDE"/>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5B3272"/>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7B7698"/>
    <w:rsid w:val="7CBE2F89"/>
    <w:rsid w:val="7D7406BB"/>
    <w:rsid w:val="7DE94331"/>
    <w:rsid w:val="7F446A19"/>
    <w:rsid w:val="7F6E7935"/>
    <w:rsid w:val="7F7452B9"/>
    <w:rsid w:val="7F8401D1"/>
    <w:rsid w:val="7FAC32D7"/>
    <w:rsid w:val="8ACEC659"/>
    <w:rsid w:val="E31A98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paragraph" w:styleId="3">
    <w:name w:val="heading 2"/>
    <w:basedOn w:val="1"/>
    <w:next w:val="1"/>
    <w:autoRedefine/>
    <w:unhideWhenUsed/>
    <w:qFormat/>
    <w:uiPriority w:val="0"/>
    <w:pPr>
      <w:keepNext/>
      <w:keepLines w:val="0"/>
      <w:spacing w:beforeLines="0" w:beforeAutospacing="0" w:afterLines="0" w:afterAutospacing="0" w:line="600" w:lineRule="exact"/>
      <w:outlineLvl w:val="1"/>
    </w:pPr>
    <w:rPr>
      <w:rFonts w:ascii="Times New Roman" w:hAnsi="Times New Roman" w:eastAsia="楷体"/>
      <w:sz w:val="30"/>
      <w:szCs w:val="30"/>
    </w:rPr>
  </w:style>
  <w:style w:type="character" w:default="1" w:styleId="12">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3"/>
    <w:basedOn w:val="1"/>
    <w:next w:val="1"/>
    <w:autoRedefine/>
    <w:qFormat/>
    <w:uiPriority w:val="0"/>
    <w:pPr>
      <w:ind w:left="840" w:leftChars="400"/>
    </w:pPr>
    <w:rPr>
      <w:rFonts w:ascii="Calibri" w:hAnsi="Calibri"/>
    </w:rPr>
  </w:style>
  <w:style w:type="paragraph" w:styleId="4">
    <w:name w:val="Body Text"/>
    <w:basedOn w:val="1"/>
    <w:semiHidden/>
    <w:qFormat/>
    <w:uiPriority w:val="0"/>
    <w:rPr>
      <w:rFonts w:ascii="方正仿宋_GBK" w:hAnsi="方正仿宋_GBK" w:eastAsia="方正仿宋_GBK" w:cs="方正仿宋_GBK"/>
      <w:sz w:val="31"/>
      <w:szCs w:val="31"/>
      <w:lang w:eastAsia="en-US"/>
    </w:rPr>
  </w:style>
  <w:style w:type="paragraph" w:styleId="5">
    <w:name w:val="Balloon Text"/>
    <w:basedOn w:val="1"/>
    <w:link w:val="18"/>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autoRedefine/>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autoRedefine/>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autoRedefine/>
    <w:qFormat/>
    <w:uiPriority w:val="0"/>
    <w:rPr>
      <w:rFonts w:ascii="宋体" w:hAnsi="宋体"/>
      <w:sz w:val="18"/>
      <w:szCs w:val="18"/>
    </w:rPr>
  </w:style>
  <w:style w:type="paragraph" w:customStyle="1" w:styleId="19">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3949</Words>
  <Characters>22513</Characters>
  <Lines>187</Lines>
  <Paragraphs>52</Paragraphs>
  <TotalTime>2</TotalTime>
  <ScaleCrop>false</ScaleCrop>
  <LinksUpToDate>false</LinksUpToDate>
  <CharactersWithSpaces>26410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WPS_1664260647</cp:lastModifiedBy>
  <dcterms:modified xsi:type="dcterms:W3CDTF">2025-09-24T08:10:13Z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