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垫江县园林绿化发展中心</w:t>
      </w:r>
    </w:p>
    <w:p>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bookmarkStart w:id="0" w:name="_GoBack"/>
      <w:bookmarkEnd w:id="0"/>
    </w:p>
    <w:p>
      <w:pPr>
        <w:pStyle w:val="2"/>
        <w:shd w:val="clear" w:color="auto" w:fill="FFFFFF" w:themeFill="background1"/>
        <w:spacing w:before="159" w:line="310" w:lineRule="auto"/>
        <w:ind w:left="34" w:right="126" w:firstLine="640"/>
        <w:jc w:val="both"/>
        <w:rPr>
          <w:snapToGrid/>
          <w:color w:val="auto"/>
          <w:sz w:val="32"/>
          <w:szCs w:val="32"/>
          <w:shd w:val="clear" w:color="auto" w:fill="FFFFFF"/>
          <w:lang w:eastAsia="zh-CN"/>
        </w:rPr>
      </w:pPr>
      <w:r>
        <w:rPr>
          <w:snapToGrid/>
          <w:color w:val="auto"/>
          <w:sz w:val="32"/>
          <w:szCs w:val="32"/>
          <w:shd w:val="clear" w:color="auto" w:fill="FFFFFF"/>
          <w:lang w:eastAsia="zh-CN"/>
        </w:rPr>
        <w:t>宗旨：加强城市园林绿化规划、建设和管理。主要职责任务：城市园林绿地管护；城市园林苗圃管护；园林绿化行业发展；园林科技创新。具体职责任务：</w:t>
      </w:r>
    </w:p>
    <w:p>
      <w:pPr>
        <w:pStyle w:val="2"/>
        <w:shd w:val="clear" w:color="auto" w:fill="FFFFFF" w:themeFill="background1"/>
        <w:spacing w:before="34" w:line="235" w:lineRule="auto"/>
        <w:ind w:firstLine="640" w:firstLineChars="200"/>
        <w:rPr>
          <w:snapToGrid/>
          <w:color w:val="auto"/>
          <w:sz w:val="32"/>
          <w:szCs w:val="32"/>
          <w:shd w:val="clear" w:color="auto" w:fill="FFFFFF"/>
          <w:lang w:eastAsia="zh-CN"/>
        </w:rPr>
      </w:pPr>
      <w:r>
        <w:rPr>
          <w:snapToGrid/>
          <w:color w:val="auto"/>
          <w:sz w:val="32"/>
          <w:szCs w:val="32"/>
          <w:shd w:val="clear" w:color="auto" w:fill="FFFFFF"/>
          <w:lang w:eastAsia="zh-CN"/>
        </w:rPr>
        <w:t>（1）承担城市园林绿化管护工作。</w:t>
      </w:r>
    </w:p>
    <w:p>
      <w:pPr>
        <w:pStyle w:val="2"/>
        <w:shd w:val="clear" w:color="auto" w:fill="FFFFFF" w:themeFill="background1"/>
        <w:spacing w:before="152" w:line="234" w:lineRule="auto"/>
        <w:ind w:firstLine="640" w:firstLineChars="200"/>
        <w:rPr>
          <w:snapToGrid/>
          <w:color w:val="auto"/>
          <w:sz w:val="32"/>
          <w:szCs w:val="32"/>
          <w:shd w:val="clear" w:color="auto" w:fill="FFFFFF"/>
          <w:lang w:eastAsia="zh-CN"/>
        </w:rPr>
      </w:pPr>
      <w:r>
        <w:rPr>
          <w:snapToGrid/>
          <w:color w:val="auto"/>
          <w:sz w:val="32"/>
          <w:szCs w:val="32"/>
          <w:shd w:val="clear" w:color="auto" w:fill="FFFFFF"/>
          <w:lang w:eastAsia="zh-CN"/>
        </w:rPr>
        <w:t>（2）承担城市古树名木保护工作。</w:t>
      </w:r>
    </w:p>
    <w:p>
      <w:pPr>
        <w:pStyle w:val="2"/>
        <w:shd w:val="clear" w:color="auto" w:fill="FFFFFF" w:themeFill="background1"/>
        <w:spacing w:before="154" w:line="274" w:lineRule="auto"/>
        <w:ind w:left="37" w:firstLine="640"/>
        <w:rPr>
          <w:snapToGrid/>
          <w:color w:val="auto"/>
          <w:sz w:val="32"/>
          <w:szCs w:val="32"/>
          <w:shd w:val="clear" w:color="auto" w:fill="FFFFFF"/>
          <w:lang w:eastAsia="zh-CN"/>
        </w:rPr>
      </w:pPr>
      <w:r>
        <w:rPr>
          <w:snapToGrid/>
          <w:color w:val="auto"/>
          <w:sz w:val="32"/>
          <w:szCs w:val="32"/>
          <w:shd w:val="clear" w:color="auto" w:fill="FFFFFF"/>
          <w:lang w:eastAsia="zh-CN"/>
        </w:rPr>
        <w:t>（3）负责城市绿化苗木产业规划 ，指导各类苗木储备、 繁殖、苗圃常态管理维护等工作。</w:t>
      </w:r>
    </w:p>
    <w:p>
      <w:pPr>
        <w:pStyle w:val="2"/>
        <w:shd w:val="clear" w:color="auto" w:fill="FFFFFF" w:themeFill="background1"/>
        <w:spacing w:before="160" w:line="275" w:lineRule="auto"/>
        <w:ind w:left="40" w:right="124" w:firstLine="640"/>
        <w:rPr>
          <w:snapToGrid/>
          <w:color w:val="auto"/>
          <w:sz w:val="32"/>
          <w:szCs w:val="32"/>
          <w:shd w:val="clear" w:color="auto" w:fill="FFFFFF"/>
          <w:lang w:eastAsia="zh-CN"/>
        </w:rPr>
      </w:pPr>
      <w:r>
        <w:rPr>
          <w:snapToGrid/>
          <w:color w:val="auto"/>
          <w:sz w:val="32"/>
          <w:szCs w:val="32"/>
          <w:shd w:val="clear" w:color="auto" w:fill="FFFFFF"/>
          <w:lang w:eastAsia="zh-CN"/>
        </w:rPr>
        <w:t>（4）开展园林绿化业务知识培训、技术指导、科普教 育和绿化科技服务。</w:t>
      </w:r>
    </w:p>
    <w:p>
      <w:pPr>
        <w:pStyle w:val="2"/>
        <w:shd w:val="clear" w:color="auto" w:fill="FFFFFF" w:themeFill="background1"/>
        <w:spacing w:before="154" w:line="236" w:lineRule="auto"/>
        <w:ind w:firstLine="640" w:firstLineChars="200"/>
        <w:rPr>
          <w:snapToGrid/>
          <w:color w:val="auto"/>
          <w:sz w:val="32"/>
          <w:szCs w:val="32"/>
          <w:shd w:val="clear" w:color="auto" w:fill="FFFFFF"/>
          <w:lang w:eastAsia="zh-CN"/>
        </w:rPr>
      </w:pPr>
      <w:r>
        <w:rPr>
          <w:snapToGrid/>
          <w:color w:val="auto"/>
          <w:sz w:val="32"/>
          <w:szCs w:val="32"/>
          <w:shd w:val="clear" w:color="auto" w:fill="FFFFFF"/>
          <w:lang w:eastAsia="zh-CN"/>
        </w:rPr>
        <w:t>（5）负责城市园林绿化经费预算编制。</w:t>
      </w:r>
    </w:p>
    <w:p>
      <w:pPr>
        <w:pStyle w:val="2"/>
        <w:shd w:val="clear" w:color="auto" w:fill="FFFFFF" w:themeFill="background1"/>
        <w:spacing w:before="153" w:line="235" w:lineRule="auto"/>
        <w:ind w:firstLine="640" w:firstLineChars="200"/>
        <w:rPr>
          <w:snapToGrid/>
          <w:color w:val="auto"/>
          <w:sz w:val="32"/>
          <w:szCs w:val="32"/>
          <w:shd w:val="clear" w:color="auto" w:fill="FFFFFF"/>
          <w:lang w:eastAsia="zh-CN"/>
        </w:rPr>
      </w:pPr>
      <w:r>
        <w:rPr>
          <w:snapToGrid/>
          <w:color w:val="auto"/>
          <w:sz w:val="32"/>
          <w:szCs w:val="32"/>
          <w:shd w:val="clear" w:color="auto" w:fill="FFFFFF"/>
          <w:lang w:eastAsia="zh-CN"/>
        </w:rPr>
        <w:t>（6）协助编制园林建设、管护技术标准和规范。</w:t>
      </w:r>
    </w:p>
    <w:p>
      <w:pPr>
        <w:pStyle w:val="2"/>
        <w:shd w:val="clear" w:color="auto" w:fill="FFFFFF" w:themeFill="background1"/>
        <w:spacing w:before="153" w:line="235" w:lineRule="auto"/>
        <w:ind w:firstLine="640" w:firstLineChars="200"/>
        <w:rPr>
          <w:snapToGrid/>
          <w:color w:val="auto"/>
          <w:sz w:val="32"/>
          <w:szCs w:val="32"/>
          <w:shd w:val="clear" w:color="auto" w:fill="FFFFFF"/>
          <w:lang w:eastAsia="zh-CN"/>
        </w:rPr>
      </w:pPr>
      <w:r>
        <w:rPr>
          <w:snapToGrid/>
          <w:color w:val="auto"/>
          <w:sz w:val="32"/>
          <w:szCs w:val="32"/>
          <w:shd w:val="clear" w:color="auto" w:fill="FFFFFF"/>
          <w:lang w:eastAsia="zh-CN"/>
        </w:rPr>
        <w:t>（7）参与组织实施园林创建活动。</w:t>
      </w:r>
    </w:p>
    <w:p>
      <w:pPr>
        <w:pStyle w:val="2"/>
        <w:shd w:val="clear" w:color="auto" w:fill="FFFFFF" w:themeFill="background1"/>
        <w:spacing w:before="151" w:line="223" w:lineRule="auto"/>
        <w:ind w:firstLine="640" w:firstLineChars="200"/>
        <w:rPr>
          <w:snapToGrid/>
          <w:color w:val="auto"/>
          <w:sz w:val="32"/>
          <w:szCs w:val="32"/>
          <w:shd w:val="clear" w:color="auto" w:fill="FFFFFF"/>
          <w:lang w:eastAsia="zh-CN"/>
        </w:rPr>
      </w:pPr>
      <w:r>
        <w:rPr>
          <w:rFonts w:hint="eastAsia"/>
          <w:snapToGrid/>
          <w:color w:val="auto"/>
          <w:sz w:val="32"/>
          <w:szCs w:val="32"/>
          <w:shd w:val="clear" w:color="auto" w:fill="FFFFFF"/>
          <w:lang w:eastAsia="zh-CN"/>
        </w:rPr>
        <w:t>（8）</w:t>
      </w:r>
      <w:r>
        <w:rPr>
          <w:snapToGrid/>
          <w:color w:val="auto"/>
          <w:sz w:val="32"/>
          <w:szCs w:val="32"/>
          <w:shd w:val="clear" w:color="auto" w:fill="FFFFFF"/>
          <w:lang w:eastAsia="zh-CN"/>
        </w:rPr>
        <w:t>负责城市园林绿化资源的普查和建档工作。</w:t>
      </w:r>
    </w:p>
    <w:p>
      <w:pPr>
        <w:pStyle w:val="2"/>
        <w:shd w:val="clear" w:color="auto" w:fill="FFFFFF" w:themeFill="background1"/>
        <w:spacing w:before="177" w:line="276" w:lineRule="auto"/>
        <w:ind w:left="30" w:right="124" w:firstLine="640"/>
        <w:rPr>
          <w:sz w:val="32"/>
          <w:szCs w:val="32"/>
          <w:shd w:val="clear" w:color="auto" w:fill="FFFFFF"/>
          <w:lang w:eastAsia="zh-CN"/>
        </w:rPr>
      </w:pPr>
      <w:r>
        <w:rPr>
          <w:snapToGrid/>
          <w:color w:val="auto"/>
          <w:sz w:val="32"/>
          <w:szCs w:val="32"/>
          <w:shd w:val="clear" w:color="auto" w:fill="FFFFFF"/>
          <w:lang w:eastAsia="zh-CN"/>
        </w:rPr>
        <w:t>（9）指导城镇绿化生态修复，开展园林绿化的基础调 研和应用研究。</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2"/>
        <w:spacing w:before="208" w:line="313" w:lineRule="auto"/>
        <w:ind w:left="34" w:right="16" w:firstLine="640"/>
        <w:rPr>
          <w:snapToGrid/>
          <w:color w:val="auto"/>
          <w:sz w:val="32"/>
          <w:szCs w:val="32"/>
          <w:shd w:val="clear" w:color="auto" w:fill="FFFFFF"/>
          <w:lang w:eastAsia="zh-CN"/>
        </w:rPr>
      </w:pPr>
      <w:r>
        <w:rPr>
          <w:snapToGrid/>
          <w:color w:val="auto"/>
          <w:sz w:val="32"/>
          <w:szCs w:val="32"/>
          <w:shd w:val="clear" w:color="auto" w:fill="FFFFFF"/>
          <w:lang w:eastAsia="zh-CN"/>
        </w:rPr>
        <w:t>根据上述职责，本单位设立办公室、公园管理科、园林发展服务科、市街绿化管理科等4个内设机构。园林中心事业编制3</w:t>
      </w:r>
      <w:r>
        <w:rPr>
          <w:rFonts w:hint="eastAsia"/>
          <w:snapToGrid/>
          <w:color w:val="auto"/>
          <w:sz w:val="32"/>
          <w:szCs w:val="32"/>
          <w:shd w:val="clear" w:color="auto" w:fill="FFFFFF"/>
          <w:lang w:eastAsia="zh-CN"/>
        </w:rPr>
        <w:t>0</w:t>
      </w:r>
      <w:r>
        <w:rPr>
          <w:snapToGrid/>
          <w:color w:val="auto"/>
          <w:sz w:val="32"/>
          <w:szCs w:val="32"/>
          <w:shd w:val="clear" w:color="auto" w:fill="FFFFFF"/>
          <w:lang w:eastAsia="zh-CN"/>
        </w:rPr>
        <w:t>名。设主任1名，副主任2名。内设机构领导职 数 4 名。</w:t>
      </w:r>
    </w:p>
    <w:p>
      <w:pPr>
        <w:pStyle w:val="7"/>
        <w:shd w:val="clear" w:color="auto" w:fill="FFFFFF"/>
        <w:ind w:firstLine="643" w:firstLineChars="200"/>
        <w:rPr>
          <w:rFonts w:hint="default" w:ascii="黑体" w:hAnsi="黑体" w:eastAsia="黑体" w:cs="黑体"/>
          <w:b/>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napToGrid w:val="0"/>
        <w:spacing w:line="520" w:lineRule="exact"/>
        <w:ind w:firstLine="643" w:firstLineChars="200"/>
        <w:rPr>
          <w:rFonts w:hint="default" w:eastAsia="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2024年度收入总计1924.06万元，支出总计</w:t>
      </w:r>
      <w:r>
        <w:rPr>
          <w:rFonts w:ascii="方正仿宋_GBK" w:hAnsi="方正仿宋_GBK" w:eastAsia="方正仿宋_GBK" w:cs="方正仿宋_GBK"/>
          <w:sz w:val="32"/>
          <w:szCs w:val="32"/>
        </w:rPr>
        <w:t>1924.06</w:t>
      </w:r>
      <w:r>
        <w:rPr>
          <w:rFonts w:ascii="方正仿宋_GBK" w:hAnsi="方正仿宋_GBK" w:eastAsia="方正仿宋_GBK" w:cs="方正仿宋_GBK"/>
          <w:sz w:val="32"/>
          <w:szCs w:val="32"/>
          <w:shd w:val="clear" w:color="auto" w:fill="FFFFFF"/>
        </w:rPr>
        <w:t>万元。收、支与2023年度相比，减少182.29万元，下降8.65%，主要原因</w:t>
      </w:r>
      <w:r>
        <w:rPr>
          <w:rFonts w:eastAsia="方正仿宋_GBK"/>
          <w:sz w:val="32"/>
          <w:szCs w:val="32"/>
        </w:rPr>
        <w:t>本年度退休1人、本年减少更新提质项目及补植补栽苗木民工劳务费。</w:t>
      </w:r>
    </w:p>
    <w:p>
      <w:pPr>
        <w:snapToGrid w:val="0"/>
        <w:spacing w:line="520" w:lineRule="exact"/>
        <w:ind w:firstLine="643" w:firstLineChars="200"/>
        <w:rPr>
          <w:rFonts w:hint="default" w:eastAsia="方正仿宋_GBK"/>
          <w:sz w:val="32"/>
          <w:szCs w:val="32"/>
        </w:rPr>
      </w:pPr>
      <w:r>
        <w:rPr>
          <w:rStyle w:val="11"/>
          <w:rFonts w:ascii="方正仿宋_GBK" w:hAnsi="方正仿宋_GBK" w:eastAsia="方正仿宋_GBK" w:cs="方正仿宋_GBK"/>
          <w:sz w:val="32"/>
          <w:szCs w:val="32"/>
          <w:shd w:val="clear" w:color="auto" w:fill="FFFFFF"/>
        </w:rPr>
        <w:t xml:space="preserve"> 2.收入情况。</w:t>
      </w:r>
      <w:r>
        <w:rPr>
          <w:rFonts w:ascii="方正仿宋_GBK" w:hAnsi="方正仿宋_GBK" w:eastAsia="方正仿宋_GBK" w:cs="方正仿宋_GBK"/>
          <w:sz w:val="32"/>
          <w:szCs w:val="32"/>
          <w:shd w:val="clear" w:color="auto" w:fill="FFFFFF"/>
        </w:rPr>
        <w:t>2024年度收入合计1823.32万元，与2023年度相比，减少283.03万元，下降13.44%，主要原因是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1823.32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100.75</w:t>
      </w:r>
      <w:r>
        <w:rPr>
          <w:rFonts w:ascii="方正仿宋_GBK" w:hAnsi="方正仿宋_GBK" w:eastAsia="方正仿宋_GBK" w:cs="方正仿宋_GBK"/>
          <w:sz w:val="32"/>
          <w:szCs w:val="32"/>
          <w:shd w:val="clear" w:color="auto" w:fill="FFFFFF"/>
        </w:rPr>
        <w:t>万元。</w:t>
      </w:r>
    </w:p>
    <w:p>
      <w:pPr>
        <w:snapToGrid w:val="0"/>
        <w:spacing w:line="520" w:lineRule="exact"/>
        <w:ind w:firstLine="643" w:firstLineChars="200"/>
        <w:rPr>
          <w:rFonts w:hint="default" w:eastAsia="方正仿宋_GBK"/>
          <w:sz w:val="32"/>
          <w:szCs w:val="32"/>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1924.06</w:t>
      </w:r>
      <w:r>
        <w:rPr>
          <w:rFonts w:ascii="方正仿宋_GBK" w:hAnsi="方正仿宋_GBK" w:eastAsia="方正仿宋_GBK" w:cs="方正仿宋_GBK"/>
          <w:sz w:val="32"/>
          <w:szCs w:val="32"/>
          <w:shd w:val="clear" w:color="auto" w:fill="FFFFFF"/>
        </w:rPr>
        <w:t>万元，与2023年度相比，减少182.29万元，下降8.65%，主要原因是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976.05</w:t>
      </w:r>
      <w:r>
        <w:rPr>
          <w:rFonts w:ascii="方正仿宋_GBK" w:hAnsi="方正仿宋_GBK" w:eastAsia="方正仿宋_GBK" w:cs="方正仿宋_GBK"/>
          <w:sz w:val="32"/>
          <w:szCs w:val="32"/>
          <w:shd w:val="clear" w:color="auto" w:fill="FFFFFF"/>
        </w:rPr>
        <w:t>万元，占50.73%；项目支出</w:t>
      </w:r>
      <w:r>
        <w:rPr>
          <w:rFonts w:ascii="方正仿宋_GBK" w:hAnsi="方正仿宋_GBK" w:eastAsia="方正仿宋_GBK" w:cs="方正仿宋_GBK"/>
          <w:sz w:val="32"/>
          <w:szCs w:val="32"/>
        </w:rPr>
        <w:t>948.02</w:t>
      </w:r>
      <w:r>
        <w:rPr>
          <w:rFonts w:ascii="方正仿宋_GBK" w:hAnsi="方正仿宋_GBK" w:eastAsia="方正仿宋_GBK" w:cs="方正仿宋_GBK"/>
          <w:sz w:val="32"/>
          <w:szCs w:val="32"/>
          <w:shd w:val="clear" w:color="auto" w:fill="FFFFFF"/>
        </w:rPr>
        <w:t>万元，占49.27%；经营支出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万元，与2023年度相比，无增减，主要原因是按财政预决算合理规划本单位收支，无结转结余。</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snapToGrid w:val="0"/>
        <w:spacing w:line="520" w:lineRule="exact"/>
        <w:ind w:firstLine="640" w:firstLineChars="200"/>
        <w:rPr>
          <w:rFonts w:hint="default" w:eastAsia="方正仿宋_GBK"/>
          <w:sz w:val="32"/>
          <w:szCs w:val="32"/>
        </w:rPr>
      </w:pPr>
      <w:r>
        <w:rPr>
          <w:rFonts w:ascii="方正仿宋_GBK" w:hAnsi="方正仿宋_GBK" w:eastAsia="方正仿宋_GBK" w:cs="方正仿宋_GBK"/>
          <w:sz w:val="32"/>
          <w:szCs w:val="32"/>
          <w:shd w:val="clear" w:color="auto" w:fill="FFFFFF"/>
        </w:rPr>
        <w:t>2024年度财政拨款收、支总计1924.06万元。与2023年相比，财政拨款收、支总计各减少182.29万元，下降8.65%。主要原因是原因</w:t>
      </w:r>
      <w:r>
        <w:rPr>
          <w:rFonts w:eastAsia="方正仿宋_GBK"/>
          <w:sz w:val="32"/>
          <w:szCs w:val="32"/>
        </w:rPr>
        <w:t>本年度较退休1人、本年减少更新提质项目及补植补栽苗木民工劳务费。</w:t>
      </w:r>
    </w:p>
    <w:p>
      <w:pPr>
        <w:pStyle w:val="7"/>
        <w:shd w:val="clear" w:color="auto" w:fill="FFFFFF"/>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snapToGrid w:val="0"/>
        <w:spacing w:line="520" w:lineRule="exact"/>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1133.32</w:t>
      </w:r>
      <w:r>
        <w:rPr>
          <w:rFonts w:ascii="方正仿宋_GBK" w:hAnsi="方正仿宋_GBK" w:eastAsia="方正仿宋_GBK" w:cs="方正仿宋_GBK"/>
          <w:sz w:val="32"/>
          <w:szCs w:val="32"/>
          <w:shd w:val="clear" w:color="auto" w:fill="FFFFFF"/>
        </w:rPr>
        <w:t>万元，与2023年度相比，减少82.27万元，下降6.77%。主要原因是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较年初预算数增加127.09万元，增长12.63%。主要原因是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100.75</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eastAsia="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1234.06</w:t>
      </w:r>
      <w:r>
        <w:rPr>
          <w:rFonts w:ascii="方正仿宋_GBK" w:hAnsi="方正仿宋_GBK" w:eastAsia="方正仿宋_GBK" w:cs="方正仿宋_GBK"/>
          <w:sz w:val="32"/>
          <w:szCs w:val="32"/>
          <w:shd w:val="clear" w:color="auto" w:fill="FFFFFF"/>
        </w:rPr>
        <w:t>万元，与2023年度相比，增加18.47万元，增长1.52%。主要原因是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较年初预算数增加227.83万元，增长22.64%。主要原因是</w:t>
      </w:r>
      <w:r>
        <w:rPr>
          <w:rFonts w:eastAsia="方正仿宋_GBK"/>
          <w:sz w:val="32"/>
          <w:szCs w:val="32"/>
        </w:rPr>
        <w:t>本年度退休1人、本年减少更新提质项目及补植补栽苗木民工劳务费。</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万元，与2023年度相比，无增减，主要原因是严格执行预算执行无结转结余。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0.18</w:t>
      </w:r>
      <w:r>
        <w:rPr>
          <w:rFonts w:ascii="方正仿宋_GBK" w:hAnsi="方正仿宋_GBK" w:eastAsia="方正仿宋_GBK" w:cs="方正仿宋_GBK"/>
          <w:sz w:val="32"/>
          <w:szCs w:val="32"/>
          <w:shd w:val="clear" w:color="auto" w:fill="FFFFFF"/>
        </w:rPr>
        <w:t>%，较年初预算数无增减，主要原因是按财政预算合理计划支出。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211.33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17.12</w:t>
      </w:r>
      <w:r>
        <w:rPr>
          <w:rFonts w:ascii="方正仿宋_GBK" w:hAnsi="方正仿宋_GBK" w:eastAsia="方正仿宋_GBK" w:cs="方正仿宋_GBK"/>
          <w:sz w:val="32"/>
          <w:szCs w:val="32"/>
          <w:shd w:val="clear" w:color="auto" w:fill="FFFFFF"/>
        </w:rPr>
        <w:t>%，较年初预算数增加76.41万元，增长56.63%，主要原因是追加2022及2023年度养老保险及人员工资调整，社保基数增加，导致支出增加。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36.43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2.95</w:t>
      </w:r>
      <w:r>
        <w:rPr>
          <w:rFonts w:ascii="方正仿宋_GBK" w:hAnsi="方正仿宋_GBK" w:eastAsia="方正仿宋_GBK" w:cs="方正仿宋_GBK"/>
          <w:sz w:val="32"/>
          <w:szCs w:val="32"/>
          <w:shd w:val="clear" w:color="auto" w:fill="FFFFFF"/>
        </w:rPr>
        <w:t>%，较年初预算数增加10.00万元，增长37.84%，主要原因是基数增加，导致支出增加。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934.60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75.73</w:t>
      </w:r>
      <w:r>
        <w:rPr>
          <w:rFonts w:ascii="方正仿宋_GBK" w:hAnsi="方正仿宋_GBK" w:eastAsia="方正仿宋_GBK" w:cs="方正仿宋_GBK"/>
          <w:sz w:val="32"/>
          <w:szCs w:val="32"/>
          <w:shd w:val="clear" w:color="auto" w:fill="FFFFFF"/>
        </w:rPr>
        <w:t>%，较年初预算数增加123.65万元，增长15.25%，主要原因是年中追加工资、绩效和人员经费等，用于保障在职人员工资福利及社会保险缴费，保障单位正常运转的各项商品服务支出。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住房保障支出49.49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4.01</w:t>
      </w:r>
      <w:r>
        <w:rPr>
          <w:rFonts w:ascii="方正仿宋_GBK" w:hAnsi="方正仿宋_GBK" w:eastAsia="方正仿宋_GBK" w:cs="方正仿宋_GBK"/>
          <w:sz w:val="32"/>
          <w:szCs w:val="32"/>
          <w:shd w:val="clear" w:color="auto" w:fill="FFFFFF"/>
        </w:rPr>
        <w:t>%，较年初预算数增加17.78万元，增长56.07%，主要原因是工资基数调增及变更增加支出。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eastAsia="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976.05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872.28</w:t>
      </w:r>
      <w:r>
        <w:rPr>
          <w:rFonts w:ascii="方正仿宋_GBK" w:hAnsi="方正仿宋_GBK" w:eastAsia="方正仿宋_GBK" w:cs="方正仿宋_GBK"/>
          <w:sz w:val="32"/>
          <w:szCs w:val="32"/>
          <w:shd w:val="clear" w:color="auto" w:fill="FFFFFF"/>
        </w:rPr>
        <w:t>万元，与2023年度相比，增加18.35万元，增长2.15%，主要原因是按人员实际支出压缩开支。人员经费用途主要支付在编职工基本工资绩效工资、养老年金医疗缴费、公积金缴费以及退休职工健康休养费。公用经费</w:t>
      </w:r>
      <w:r>
        <w:rPr>
          <w:rFonts w:ascii="方正仿宋_GBK" w:hAnsi="方正仿宋_GBK" w:eastAsia="方正仿宋_GBK" w:cs="方正仿宋_GBK"/>
          <w:sz w:val="32"/>
          <w:szCs w:val="32"/>
        </w:rPr>
        <w:t>103.77</w:t>
      </w:r>
      <w:r>
        <w:rPr>
          <w:rFonts w:ascii="方正仿宋_GBK" w:hAnsi="方正仿宋_GBK" w:eastAsia="方正仿宋_GBK" w:cs="方正仿宋_GBK"/>
          <w:sz w:val="32"/>
          <w:szCs w:val="32"/>
          <w:shd w:val="clear" w:color="auto" w:fill="FFFFFF"/>
        </w:rPr>
        <w:t>万元，与2023年度相比，减少33.04万元，下降24.15%，主要原因是</w:t>
      </w:r>
      <w:r>
        <w:rPr>
          <w:rFonts w:eastAsia="方正仿宋_GBK"/>
          <w:sz w:val="32"/>
          <w:szCs w:val="32"/>
        </w:rPr>
        <w:t>本年度退休1人、本年减少更新提质项目及补植补栽苗木民工劳务费。</w:t>
      </w:r>
      <w:r>
        <w:rPr>
          <w:rFonts w:ascii="方正仿宋_GBK" w:hAnsi="方正仿宋_GBK" w:eastAsia="方正仿宋_GBK" w:cs="方正仿宋_GBK"/>
          <w:sz w:val="32"/>
          <w:szCs w:val="32"/>
          <w:shd w:val="clear" w:color="auto" w:fill="FFFFFF"/>
        </w:rPr>
        <w:t>公用经费用途主要包括支付办公费、水电费、差旅费、邮电费、公务用车加油维修保险费及在编人员工作餐费。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690.00</w:t>
      </w:r>
      <w:r>
        <w:rPr>
          <w:rFonts w:ascii="方正仿宋_GBK" w:hAnsi="方正仿宋_GBK" w:eastAsia="方正仿宋_GBK" w:cs="方正仿宋_GBK"/>
          <w:sz w:val="32"/>
          <w:szCs w:val="32"/>
          <w:shd w:val="clear" w:color="auto" w:fill="FFFFFF"/>
        </w:rPr>
        <w:t>万元，与2023年度相比，减少200.75万元，下降22.54%，主要原因是本年减少更新提质项目及补植补栽苗木民工劳务费、退休1人。本年支出</w:t>
      </w:r>
      <w:r>
        <w:rPr>
          <w:rFonts w:ascii="方正仿宋_GBK" w:hAnsi="方正仿宋_GBK" w:eastAsia="方正仿宋_GBK" w:cs="方正仿宋_GBK"/>
          <w:sz w:val="32"/>
          <w:szCs w:val="32"/>
        </w:rPr>
        <w:t>690.00</w:t>
      </w:r>
      <w:r>
        <w:rPr>
          <w:rFonts w:ascii="方正仿宋_GBK" w:hAnsi="方正仿宋_GBK" w:eastAsia="方正仿宋_GBK" w:cs="方正仿宋_GBK"/>
          <w:sz w:val="32"/>
          <w:szCs w:val="32"/>
          <w:shd w:val="clear" w:color="auto" w:fill="FFFFFF"/>
        </w:rPr>
        <w:t>万元，与2023年度相比，减少200.75万元，下降22.54%，主要原因是本年减少更新提质项目及补植补栽苗木民工劳务费、退休1人。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7"/>
        <w:shd w:val="clear" w:color="auto" w:fill="FFFFFF"/>
        <w:ind w:firstLine="964" w:firstLineChars="3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20.51</w:t>
      </w:r>
      <w:r>
        <w:rPr>
          <w:rFonts w:ascii="方正仿宋_GBK" w:hAnsi="方正仿宋_GBK" w:eastAsia="方正仿宋_GBK" w:cs="方正仿宋_GBK"/>
          <w:sz w:val="32"/>
          <w:szCs w:val="32"/>
          <w:shd w:val="clear" w:color="auto" w:fill="FFFFFF"/>
        </w:rPr>
        <w:t>万元，较年初预算数减少13.99万元，下降40.55%，本单位按照要求从严控制</w:t>
      </w:r>
      <w:r>
        <w:rPr>
          <w:rFonts w:eastAsia="方正仿宋_GBK"/>
          <w:sz w:val="32"/>
          <w:szCs w:val="32"/>
        </w:rPr>
        <w:t>。</w:t>
      </w:r>
      <w:r>
        <w:rPr>
          <w:rFonts w:ascii="方正仿宋_GBK" w:hAnsi="方正仿宋_GBK" w:eastAsia="方正仿宋_GBK" w:cs="方正仿宋_GBK"/>
          <w:sz w:val="32"/>
          <w:szCs w:val="32"/>
          <w:shd w:val="clear" w:color="auto" w:fill="FFFFFF"/>
        </w:rPr>
        <w:t>较上年支出数无增减，主要原因是本单位按照要求从严控制。</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万元，主要是用于本单位未发生因公出国（境）支出。费用支出较年初预算数无增减，较上年支出数无增减，主要原因是本单位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年度未发生因公出国（境）支出。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万元，主要是用于本单位未发生公务车购置费。费用支出较年初预算数无增减，主要原因是本单位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年度未发生公务车购置费。</w:t>
      </w:r>
      <w:r>
        <w:rPr>
          <w:rFonts w:ascii="方正仿宋_GBK" w:hAnsi="方正仿宋_GBK" w:eastAsia="方正仿宋_GBK" w:cs="方正仿宋_GBK"/>
          <w:sz w:val="32"/>
          <w:szCs w:val="32"/>
          <w:shd w:val="clear" w:color="auto" w:fill="FFFFFF"/>
        </w:rPr>
        <w:t>较上年支出数无增减，主要原因是本单位按照要求从严控制。</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19.01</w:t>
      </w:r>
      <w:r>
        <w:rPr>
          <w:rFonts w:ascii="方正仿宋_GBK" w:hAnsi="方正仿宋_GBK" w:eastAsia="方正仿宋_GBK" w:cs="方正仿宋_GBK"/>
          <w:sz w:val="32"/>
          <w:szCs w:val="32"/>
          <w:shd w:val="clear" w:color="auto" w:fill="FFFFFF"/>
        </w:rPr>
        <w:t>万元，主要用于在编辆公务用车作业用车加油及保险费。费用支出较年初预算数减少13.99万元，下降42.39%，主要原因是本单位按照要求从严控制。较上年支出数无增减，主要原因是本单位按照要求从严控制。</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万元，主要用于接待公务接待生活费支出。费用支出较年初预算数无增减，主要原因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按财政预算合理计划支出。较上年支出数无增减，主要原因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sz w:val="32"/>
          <w:szCs w:val="32"/>
          <w:shd w:val="clear" w:color="auto" w:fill="FFFFFF"/>
        </w:rPr>
        <w:t>按财政预算合理计划支出。</w:t>
      </w:r>
    </w:p>
    <w:p>
      <w:pPr>
        <w:pStyle w:val="7"/>
        <w:snapToGrid w:val="0"/>
        <w:spacing w:before="0" w:beforeAutospacing="0" w:after="0" w:afterAutospacing="0" w:line="600"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231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64.94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1.73</w:t>
      </w:r>
      <w:r>
        <w:rPr>
          <w:rFonts w:ascii="方正仿宋_GBK" w:hAnsi="方正仿宋_GBK" w:eastAsia="方正仿宋_GBK" w:cs="方正仿宋_GBK"/>
          <w:sz w:val="32"/>
          <w:szCs w:val="32"/>
          <w:shd w:val="clear" w:color="auto" w:fill="FFFFFF"/>
        </w:rPr>
        <w:t>万元。</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万元，与2023年度相比，无增减，主要原因是我单位无会议费支出。本年度培训费支出</w:t>
      </w:r>
      <w:r>
        <w:rPr>
          <w:rFonts w:ascii="方正仿宋_GBK" w:hAnsi="方正仿宋_GBK" w:eastAsia="方正仿宋_GBK" w:cs="方正仿宋_GBK"/>
          <w:sz w:val="32"/>
          <w:szCs w:val="32"/>
        </w:rPr>
        <w:t>2.22</w:t>
      </w:r>
      <w:r>
        <w:rPr>
          <w:rFonts w:ascii="方正仿宋_GBK" w:hAnsi="方正仿宋_GBK" w:eastAsia="方正仿宋_GBK" w:cs="方正仿宋_GBK"/>
          <w:sz w:val="32"/>
          <w:szCs w:val="32"/>
          <w:shd w:val="clear" w:color="auto" w:fill="FFFFFF"/>
        </w:rPr>
        <w:t>万元，与2023年度相比，减少0.04万元，下降1.77%，主要原因是本年度厉行节约压缩开支，培训费减少。</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3"/>
        <w:shd w:val="clear" w:color="auto" w:fill="FFFFFF"/>
        <w:autoSpaceDE w:val="0"/>
        <w:spacing w:line="594"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shd w:val="clear" w:color="auto" w:fill="FFFFFF"/>
        <w:autoSpaceDE w:val="0"/>
        <w:spacing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根据预算绩效管理要求，我单位对3个</w:t>
      </w:r>
      <w:r>
        <w:rPr>
          <w:rFonts w:ascii="方正仿宋_GBK" w:hAnsi="方正仿宋_GBK" w:eastAsia="方正仿宋_GBK" w:cs="方正仿宋_GBK"/>
          <w:sz w:val="32"/>
          <w:szCs w:val="32"/>
          <w:shd w:val="clear" w:color="auto" w:fill="FFFFFF"/>
        </w:rPr>
        <w:t>二级项目开展了绩效自评，</w:t>
      </w:r>
      <w:r>
        <w:rPr>
          <w:rFonts w:hint="eastAsia" w:ascii="方正仿宋_GBK" w:hAnsi="方正仿宋_GBK" w:eastAsia="方正仿宋_GBK" w:cs="方正仿宋_GBK"/>
          <w:sz w:val="32"/>
          <w:szCs w:val="32"/>
          <w:shd w:val="clear" w:color="auto" w:fill="FFFFFF"/>
        </w:rPr>
        <w:t>涉及财政拨款项目支出资金660万元。</w:t>
      </w:r>
    </w:p>
    <w:tbl>
      <w:tblPr>
        <w:tblStyle w:val="8"/>
        <w:tblW w:w="8454" w:type="dxa"/>
        <w:tblInd w:w="93" w:type="dxa"/>
        <w:tblLayout w:type="fixed"/>
        <w:tblCellMar>
          <w:top w:w="0" w:type="dxa"/>
          <w:left w:w="108" w:type="dxa"/>
          <w:bottom w:w="0" w:type="dxa"/>
          <w:right w:w="108" w:type="dxa"/>
        </w:tblCellMar>
      </w:tblPr>
      <w:tblGrid>
        <w:gridCol w:w="1621"/>
        <w:gridCol w:w="740"/>
        <w:gridCol w:w="550"/>
        <w:gridCol w:w="801"/>
        <w:gridCol w:w="670"/>
        <w:gridCol w:w="694"/>
        <w:gridCol w:w="777"/>
        <w:gridCol w:w="584"/>
        <w:gridCol w:w="611"/>
        <w:gridCol w:w="726"/>
        <w:gridCol w:w="680"/>
      </w:tblGrid>
      <w:tr>
        <w:tblPrEx>
          <w:tblCellMar>
            <w:top w:w="0" w:type="dxa"/>
            <w:left w:w="108" w:type="dxa"/>
            <w:bottom w:w="0" w:type="dxa"/>
            <w:right w:w="108" w:type="dxa"/>
          </w:tblCellMar>
        </w:tblPrEx>
        <w:trPr>
          <w:trHeight w:val="253" w:hRule="atLeast"/>
        </w:trPr>
        <w:tc>
          <w:tcPr>
            <w:tcW w:w="845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rPr>
              <w:t>2024年度二级项目绩效自评表</w:t>
            </w:r>
          </w:p>
        </w:tc>
      </w:tr>
      <w:tr>
        <w:tblPrEx>
          <w:tblCellMar>
            <w:top w:w="0" w:type="dxa"/>
            <w:left w:w="108" w:type="dxa"/>
            <w:bottom w:w="0" w:type="dxa"/>
            <w:right w:w="108" w:type="dxa"/>
          </w:tblCellMar>
        </w:tblPrEx>
        <w:trPr>
          <w:trHeight w:val="90" w:hRule="atLeast"/>
        </w:trPr>
        <w:tc>
          <w:tcPr>
            <w:tcW w:w="845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110" w:firstLineChars="100"/>
              <w:jc w:val="right"/>
              <w:rPr>
                <w:rFonts w:hint="default" w:cs="宋体"/>
                <w:b/>
                <w:bCs/>
                <w:color w:val="DA3232"/>
                <w:sz w:val="11"/>
                <w:szCs w:val="11"/>
              </w:rPr>
            </w:pPr>
            <w:r>
              <w:rPr>
                <w:rFonts w:cs="宋体"/>
                <w:b/>
                <w:bCs/>
                <w:color w:val="DA3232"/>
                <w:sz w:val="11"/>
                <w:szCs w:val="11"/>
              </w:rPr>
              <w:t>状态：绩效审核已审</w:t>
            </w:r>
          </w:p>
        </w:tc>
      </w:tr>
      <w:tr>
        <w:tblPrEx>
          <w:tblCellMar>
            <w:top w:w="0" w:type="dxa"/>
            <w:left w:w="108" w:type="dxa"/>
            <w:bottom w:w="0" w:type="dxa"/>
            <w:right w:w="108" w:type="dxa"/>
          </w:tblCellMar>
        </w:tblPrEx>
        <w:trPr>
          <w:trHeight w:val="490"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项目名称：</w:t>
            </w:r>
          </w:p>
        </w:tc>
        <w:tc>
          <w:tcPr>
            <w:tcW w:w="1290"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园林绿化管护经费</w:t>
            </w:r>
          </w:p>
        </w:tc>
        <w:tc>
          <w:tcPr>
            <w:tcW w:w="80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项目编码：</w:t>
            </w:r>
          </w:p>
        </w:tc>
        <w:tc>
          <w:tcPr>
            <w:tcW w:w="136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50023123T000003120807</w:t>
            </w:r>
          </w:p>
        </w:tc>
        <w:tc>
          <w:tcPr>
            <w:tcW w:w="77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自评总分：</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100.00</w:t>
            </w:r>
          </w:p>
        </w:tc>
        <w:tc>
          <w:tcPr>
            <w:tcW w:w="72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　</w:t>
            </w:r>
          </w:p>
        </w:tc>
        <w:tc>
          <w:tcPr>
            <w:tcW w:w="680" w:type="dxa"/>
            <w:tcBorders>
              <w:top w:val="nil"/>
              <w:left w:val="nil"/>
              <w:bottom w:val="single" w:color="auto" w:sz="4" w:space="0"/>
              <w:right w:val="single" w:color="auto" w:sz="4" w:space="0"/>
            </w:tcBorders>
            <w:shd w:val="clear" w:color="auto" w:fill="auto"/>
            <w:vAlign w:val="center"/>
          </w:tcPr>
          <w:p>
            <w:pPr>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418"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项目主管部门：</w:t>
            </w:r>
          </w:p>
        </w:tc>
        <w:tc>
          <w:tcPr>
            <w:tcW w:w="1290"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1550798</w:t>
            </w:r>
          </w:p>
        </w:tc>
        <w:tc>
          <w:tcPr>
            <w:tcW w:w="801"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财政归口处室：</w:t>
            </w:r>
          </w:p>
        </w:tc>
        <w:tc>
          <w:tcPr>
            <w:tcW w:w="1364"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005-经建科</w:t>
            </w:r>
          </w:p>
        </w:tc>
        <w:tc>
          <w:tcPr>
            <w:tcW w:w="777"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部门联系人：</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何江霞</w:t>
            </w:r>
          </w:p>
        </w:tc>
        <w:tc>
          <w:tcPr>
            <w:tcW w:w="726" w:type="dxa"/>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11"/>
                <w:szCs w:val="11"/>
              </w:rPr>
            </w:pPr>
            <w:r>
              <w:rPr>
                <w:rFonts w:cs="宋体"/>
                <w:b/>
                <w:bCs/>
                <w:color w:val="000000"/>
                <w:sz w:val="11"/>
                <w:szCs w:val="11"/>
              </w:rPr>
              <w:t>联系电话：</w:t>
            </w:r>
          </w:p>
        </w:tc>
        <w:tc>
          <w:tcPr>
            <w:tcW w:w="680" w:type="dxa"/>
            <w:tcBorders>
              <w:top w:val="nil"/>
              <w:left w:val="nil"/>
              <w:bottom w:val="single" w:color="auto" w:sz="4" w:space="0"/>
              <w:right w:val="single" w:color="auto" w:sz="4" w:space="0"/>
            </w:tcBorders>
            <w:shd w:val="clear" w:color="auto" w:fill="auto"/>
            <w:vAlign w:val="center"/>
          </w:tcPr>
          <w:p>
            <w:pPr>
              <w:rPr>
                <w:rFonts w:hint="default" w:cs="宋体"/>
                <w:color w:val="000000"/>
                <w:sz w:val="11"/>
                <w:szCs w:val="11"/>
              </w:rPr>
            </w:pPr>
            <w:r>
              <w:rPr>
                <w:rFonts w:cs="宋体"/>
                <w:color w:val="000000"/>
                <w:sz w:val="11"/>
                <w:szCs w:val="11"/>
              </w:rPr>
              <w:t>17783125053</w:t>
            </w:r>
          </w:p>
        </w:tc>
      </w:tr>
      <w:tr>
        <w:tblPrEx>
          <w:tblCellMar>
            <w:top w:w="0" w:type="dxa"/>
            <w:left w:w="108" w:type="dxa"/>
            <w:bottom w:w="0" w:type="dxa"/>
            <w:right w:w="108" w:type="dxa"/>
          </w:tblCellMar>
        </w:tblPrEx>
        <w:trPr>
          <w:trHeight w:val="169" w:hRule="atLeast"/>
        </w:trPr>
        <w:tc>
          <w:tcPr>
            <w:tcW w:w="845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11"/>
                <w:szCs w:val="11"/>
              </w:rPr>
            </w:pPr>
            <w:r>
              <w:rPr>
                <w:rFonts w:ascii="微软雅黑" w:hAnsi="微软雅黑" w:eastAsia="微软雅黑" w:cs="宋体"/>
                <w:b/>
                <w:bCs/>
                <w:color w:val="808080"/>
                <w:sz w:val="11"/>
                <w:szCs w:val="11"/>
              </w:rPr>
              <w:t>资金情况</w:t>
            </w:r>
          </w:p>
        </w:tc>
      </w:tr>
      <w:tr>
        <w:tblPrEx>
          <w:tblCellMar>
            <w:top w:w="0" w:type="dxa"/>
            <w:left w:w="108" w:type="dxa"/>
            <w:bottom w:w="0" w:type="dxa"/>
            <w:right w:w="108" w:type="dxa"/>
          </w:tblCellMar>
        </w:tblPrEx>
        <w:trPr>
          <w:trHeight w:val="253" w:hRule="atLeast"/>
        </w:trPr>
        <w:tc>
          <w:tcPr>
            <w:tcW w:w="23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11"/>
                <w:szCs w:val="11"/>
              </w:rPr>
            </w:pPr>
            <w:r>
              <w:rPr>
                <w:rFonts w:cs="宋体"/>
                <w:color w:val="000000"/>
                <w:sz w:val="11"/>
                <w:szCs w:val="11"/>
              </w:rPr>
              <w:t>　</w:t>
            </w:r>
          </w:p>
        </w:tc>
        <w:tc>
          <w:tcPr>
            <w:tcW w:w="1351"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年初预算数</w:t>
            </w:r>
          </w:p>
        </w:tc>
        <w:tc>
          <w:tcPr>
            <w:tcW w:w="1364"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全年（调整）预算数</w:t>
            </w:r>
          </w:p>
        </w:tc>
        <w:tc>
          <w:tcPr>
            <w:tcW w:w="1361"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全年执行数</w:t>
            </w:r>
          </w:p>
        </w:tc>
        <w:tc>
          <w:tcPr>
            <w:tcW w:w="61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执行率</w:t>
            </w:r>
          </w:p>
        </w:tc>
        <w:tc>
          <w:tcPr>
            <w:tcW w:w="726" w:type="dxa"/>
            <w:tcBorders>
              <w:top w:val="nil"/>
              <w:left w:val="nil"/>
              <w:bottom w:val="single" w:color="auto" w:sz="4" w:space="0"/>
              <w:right w:val="single" w:color="auto" w:sz="4" w:space="0"/>
            </w:tcBorders>
            <w:shd w:val="clear" w:color="auto" w:fill="auto"/>
            <w:noWrap/>
            <w:vAlign w:val="center"/>
          </w:tcPr>
          <w:p>
            <w:pPr>
              <w:rPr>
                <w:rFonts w:hint="default" w:cs="宋体"/>
                <w:b/>
                <w:bCs/>
                <w:color w:val="000000"/>
                <w:sz w:val="11"/>
                <w:szCs w:val="11"/>
              </w:rPr>
            </w:pPr>
            <w:r>
              <w:rPr>
                <w:rFonts w:cs="宋体"/>
                <w:b/>
                <w:bCs/>
                <w:color w:val="000000"/>
                <w:sz w:val="11"/>
                <w:szCs w:val="11"/>
              </w:rPr>
              <w:t>执行率权重</w:t>
            </w:r>
          </w:p>
        </w:tc>
        <w:tc>
          <w:tcPr>
            <w:tcW w:w="68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执行率得分</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nil"/>
            </w:tcBorders>
            <w:shd w:val="clear" w:color="auto" w:fill="auto"/>
            <w:vAlign w:val="center"/>
          </w:tcPr>
          <w:p>
            <w:pPr>
              <w:rPr>
                <w:rFonts w:hint="default" w:cs="宋体"/>
                <w:color w:val="000000"/>
                <w:sz w:val="11"/>
                <w:szCs w:val="11"/>
              </w:rPr>
            </w:pPr>
            <w:r>
              <w:rPr>
                <w:rFonts w:cs="宋体"/>
                <w:color w:val="000000"/>
                <w:sz w:val="11"/>
                <w:szCs w:val="11"/>
              </w:rPr>
              <w:t>年度总金额</w:t>
            </w:r>
          </w:p>
        </w:tc>
        <w:tc>
          <w:tcPr>
            <w:tcW w:w="74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5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80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6,600,000.00 </w:t>
            </w:r>
          </w:p>
        </w:tc>
        <w:tc>
          <w:tcPr>
            <w:tcW w:w="67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69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11"/>
                <w:szCs w:val="11"/>
              </w:rPr>
            </w:pPr>
            <w:r>
              <w:rPr>
                <w:rFonts w:cs="宋体"/>
                <w:color w:val="000000"/>
                <w:sz w:val="11"/>
                <w:szCs w:val="11"/>
              </w:rPr>
              <w:t xml:space="preserve">6,600,000.00 </w:t>
            </w:r>
          </w:p>
        </w:tc>
        <w:tc>
          <w:tcPr>
            <w:tcW w:w="777"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8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6,600,000.00 </w:t>
            </w:r>
          </w:p>
        </w:tc>
        <w:tc>
          <w:tcPr>
            <w:tcW w:w="611"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72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sz w:val="11"/>
                <w:szCs w:val="11"/>
              </w:rPr>
            </w:pPr>
            <w:r>
              <w:rPr>
                <w:rFonts w:cs="宋体"/>
                <w:sz w:val="11"/>
                <w:szCs w:val="11"/>
              </w:rPr>
              <w:t>　</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nil"/>
            </w:tcBorders>
            <w:shd w:val="clear" w:color="auto" w:fill="auto"/>
            <w:vAlign w:val="center"/>
          </w:tcPr>
          <w:p>
            <w:pPr>
              <w:rPr>
                <w:rFonts w:hint="default" w:cs="宋体"/>
                <w:color w:val="000000"/>
                <w:sz w:val="11"/>
                <w:szCs w:val="11"/>
              </w:rPr>
            </w:pPr>
            <w:r>
              <w:rPr>
                <w:rFonts w:cs="宋体"/>
                <w:color w:val="000000"/>
                <w:sz w:val="11"/>
                <w:szCs w:val="11"/>
              </w:rPr>
              <w:t>其中：财政拨款</w:t>
            </w:r>
          </w:p>
        </w:tc>
        <w:tc>
          <w:tcPr>
            <w:tcW w:w="74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5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80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6,600,000.00 </w:t>
            </w:r>
          </w:p>
        </w:tc>
        <w:tc>
          <w:tcPr>
            <w:tcW w:w="67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69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11"/>
                <w:szCs w:val="11"/>
              </w:rPr>
            </w:pPr>
            <w:r>
              <w:rPr>
                <w:rFonts w:cs="宋体"/>
                <w:color w:val="000000"/>
                <w:sz w:val="11"/>
                <w:szCs w:val="11"/>
              </w:rPr>
              <w:t xml:space="preserve">6,600,000.00 </w:t>
            </w:r>
          </w:p>
        </w:tc>
        <w:tc>
          <w:tcPr>
            <w:tcW w:w="777"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8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6,600,000.00 </w:t>
            </w:r>
          </w:p>
        </w:tc>
        <w:tc>
          <w:tcPr>
            <w:tcW w:w="61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100</w:t>
            </w:r>
          </w:p>
        </w:tc>
        <w:tc>
          <w:tcPr>
            <w:tcW w:w="72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10.00</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sz w:val="11"/>
                <w:szCs w:val="11"/>
              </w:rPr>
            </w:pPr>
            <w:r>
              <w:rPr>
                <w:rFonts w:cs="宋体"/>
                <w:sz w:val="11"/>
                <w:szCs w:val="11"/>
              </w:rPr>
              <w:t xml:space="preserve">10.00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nil"/>
            </w:tcBorders>
            <w:shd w:val="clear" w:color="auto" w:fill="auto"/>
            <w:vAlign w:val="center"/>
          </w:tcPr>
          <w:p>
            <w:pPr>
              <w:rPr>
                <w:rFonts w:hint="default" w:cs="宋体"/>
                <w:color w:val="000000"/>
                <w:sz w:val="11"/>
                <w:szCs w:val="11"/>
              </w:rPr>
            </w:pPr>
            <w:r>
              <w:rPr>
                <w:rFonts w:cs="宋体"/>
                <w:color w:val="000000"/>
                <w:sz w:val="11"/>
                <w:szCs w:val="11"/>
              </w:rPr>
              <w:t>一般公共预算</w:t>
            </w:r>
          </w:p>
        </w:tc>
        <w:tc>
          <w:tcPr>
            <w:tcW w:w="740"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5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80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0.00 </w:t>
            </w:r>
          </w:p>
        </w:tc>
        <w:tc>
          <w:tcPr>
            <w:tcW w:w="670"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694"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11"/>
                <w:szCs w:val="11"/>
              </w:rPr>
            </w:pPr>
            <w:r>
              <w:rPr>
                <w:rFonts w:cs="宋体"/>
                <w:color w:val="000000"/>
                <w:sz w:val="11"/>
                <w:szCs w:val="11"/>
              </w:rPr>
              <w:t xml:space="preserve">0.00 </w:t>
            </w:r>
          </w:p>
        </w:tc>
        <w:tc>
          <w:tcPr>
            <w:tcW w:w="777" w:type="dxa"/>
            <w:tcBorders>
              <w:top w:val="nil"/>
              <w:left w:val="nil"/>
              <w:bottom w:val="single" w:color="auto" w:sz="4" w:space="0"/>
              <w:right w:val="nil"/>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584"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 xml:space="preserve">0.00 </w:t>
            </w:r>
          </w:p>
        </w:tc>
        <w:tc>
          <w:tcPr>
            <w:tcW w:w="611" w:type="dxa"/>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11"/>
                <w:szCs w:val="11"/>
              </w:rPr>
            </w:pPr>
            <w:r>
              <w:rPr>
                <w:rFonts w:cs="宋体"/>
                <w:color w:val="000000"/>
                <w:sz w:val="11"/>
                <w:szCs w:val="11"/>
              </w:rPr>
              <w:t>100</w:t>
            </w:r>
          </w:p>
        </w:tc>
        <w:tc>
          <w:tcPr>
            <w:tcW w:w="72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11"/>
                <w:szCs w:val="11"/>
              </w:rPr>
            </w:pPr>
            <w:r>
              <w:rPr>
                <w:rFonts w:cs="宋体"/>
                <w:color w:val="000000"/>
                <w:sz w:val="11"/>
                <w:szCs w:val="11"/>
              </w:rPr>
              <w:t>　</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sz w:val="11"/>
                <w:szCs w:val="11"/>
              </w:rPr>
            </w:pPr>
            <w:r>
              <w:rPr>
                <w:rFonts w:cs="宋体"/>
                <w:sz w:val="11"/>
                <w:szCs w:val="11"/>
              </w:rPr>
              <w:t>　</w:t>
            </w:r>
          </w:p>
        </w:tc>
      </w:tr>
      <w:tr>
        <w:tblPrEx>
          <w:tblCellMar>
            <w:top w:w="0" w:type="dxa"/>
            <w:left w:w="108" w:type="dxa"/>
            <w:bottom w:w="0" w:type="dxa"/>
            <w:right w:w="108" w:type="dxa"/>
          </w:tblCellMar>
        </w:tblPrEx>
        <w:trPr>
          <w:trHeight w:val="169" w:hRule="atLeast"/>
        </w:trPr>
        <w:tc>
          <w:tcPr>
            <w:tcW w:w="845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11"/>
                <w:szCs w:val="11"/>
              </w:rPr>
            </w:pPr>
            <w:r>
              <w:rPr>
                <w:rFonts w:ascii="微软雅黑" w:hAnsi="微软雅黑" w:eastAsia="微软雅黑" w:cs="宋体"/>
                <w:b/>
                <w:bCs/>
                <w:color w:val="808080"/>
                <w:sz w:val="11"/>
                <w:szCs w:val="11"/>
              </w:rPr>
              <w:t>绩效目标</w:t>
            </w:r>
          </w:p>
        </w:tc>
      </w:tr>
      <w:tr>
        <w:tblPrEx>
          <w:tblCellMar>
            <w:top w:w="0" w:type="dxa"/>
            <w:left w:w="108" w:type="dxa"/>
            <w:bottom w:w="0" w:type="dxa"/>
            <w:right w:w="108" w:type="dxa"/>
          </w:tblCellMar>
        </w:tblPrEx>
        <w:trPr>
          <w:trHeight w:val="169" w:hRule="atLeast"/>
        </w:trPr>
        <w:tc>
          <w:tcPr>
            <w:tcW w:w="37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年初绩效目标</w:t>
            </w:r>
          </w:p>
        </w:tc>
        <w:tc>
          <w:tcPr>
            <w:tcW w:w="2725"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全年（调整）绩效目标</w:t>
            </w:r>
          </w:p>
        </w:tc>
        <w:tc>
          <w:tcPr>
            <w:tcW w:w="201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全年目标实际完成情况</w:t>
            </w:r>
          </w:p>
        </w:tc>
      </w:tr>
      <w:tr>
        <w:tblPrEx>
          <w:tblCellMar>
            <w:top w:w="0" w:type="dxa"/>
            <w:left w:w="108" w:type="dxa"/>
            <w:bottom w:w="0" w:type="dxa"/>
            <w:right w:w="108" w:type="dxa"/>
          </w:tblCellMar>
        </w:tblPrEx>
        <w:trPr>
          <w:trHeight w:val="2403" w:hRule="atLeast"/>
        </w:trPr>
        <w:tc>
          <w:tcPr>
            <w:tcW w:w="3712" w:type="dxa"/>
            <w:gridSpan w:val="4"/>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11"/>
                <w:szCs w:val="11"/>
              </w:rPr>
            </w:pPr>
            <w:r>
              <w:rPr>
                <w:rFonts w:cs="宋体"/>
                <w:color w:val="000000"/>
                <w:sz w:val="11"/>
                <w:szCs w:val="11"/>
              </w:rPr>
              <w:t>1、负责全县建城区232万平米的公共道路绿、公园游园绿地、苗圃生产绿地及3.1万株城市行道树及古树名木的养护工作，其中：县城区街道绿地73万平方米，公园及游园绿地142万方米，苗圃生产绿地17万平方米，县城行道树3.1万株，古树名木22株。    2、管护内容包括：绿地内的绿化养护和园林设施维护，对绿地内的乔木、灌木、草皮和地被植物进行整形、松土与施肥、除草、淋水、病虫害防治、苗木补栽等工作。</w:t>
            </w:r>
          </w:p>
        </w:tc>
        <w:tc>
          <w:tcPr>
            <w:tcW w:w="2725" w:type="dxa"/>
            <w:gridSpan w:val="4"/>
            <w:tcBorders>
              <w:top w:val="single" w:color="auto" w:sz="4" w:space="0"/>
              <w:left w:val="nil"/>
              <w:bottom w:val="single" w:color="auto" w:sz="4" w:space="0"/>
              <w:right w:val="single" w:color="auto" w:sz="4" w:space="0"/>
            </w:tcBorders>
            <w:shd w:val="clear" w:color="auto" w:fill="auto"/>
          </w:tcPr>
          <w:p>
            <w:pPr>
              <w:rPr>
                <w:rFonts w:hint="default" w:cs="宋体"/>
                <w:color w:val="000000"/>
                <w:sz w:val="11"/>
                <w:szCs w:val="11"/>
              </w:rPr>
            </w:pPr>
            <w:r>
              <w:rPr>
                <w:rFonts w:cs="宋体"/>
                <w:color w:val="000000"/>
                <w:sz w:val="11"/>
                <w:szCs w:val="11"/>
              </w:rPr>
              <w:t>　</w:t>
            </w:r>
          </w:p>
        </w:tc>
        <w:tc>
          <w:tcPr>
            <w:tcW w:w="2017" w:type="dxa"/>
            <w:gridSpan w:val="3"/>
            <w:tcBorders>
              <w:top w:val="single" w:color="auto" w:sz="4" w:space="0"/>
              <w:left w:val="nil"/>
              <w:bottom w:val="single" w:color="auto" w:sz="4" w:space="0"/>
              <w:right w:val="single" w:color="auto" w:sz="4" w:space="0"/>
            </w:tcBorders>
            <w:shd w:val="clear" w:color="auto" w:fill="auto"/>
          </w:tcPr>
          <w:p>
            <w:pPr>
              <w:rPr>
                <w:rFonts w:hint="default" w:cs="宋体"/>
                <w:color w:val="000000"/>
                <w:sz w:val="11"/>
                <w:szCs w:val="11"/>
              </w:rPr>
            </w:pPr>
            <w:r>
              <w:rPr>
                <w:rFonts w:cs="宋体"/>
                <w:color w:val="000000"/>
                <w:sz w:val="10"/>
                <w:szCs w:val="10"/>
              </w:rPr>
              <w:t>完成全县建城区232万平米的公共道路绿、公园游园绿地、苗圃生产绿地及3.1万株城市行道树及古树名木的养护工作。具体工作内容为：清除绿地内杂草约126.63万㎡，累计修剪绿篱约285.62万㎡，行道树修剪、疏枝、整形约3376株，补栽明月大道、三合大道、明月一路、文笔大道、玉鼎大道等道路天竺桂、黄葛树、香樟等乔木约394株，补栽金叶菖蒲、金森女贞、红叶石楠、红继木、麦冬、紫娇、葱兰、鸢尾等灌木地被5.85万㎡。城区公共绿地累计施肥约120万余平方米30余吨。防治病虫害10次，行道树和乔木病虫害防治6710株。联合重庆市风景园林科学研究院开展病虫害技术指导3次。</w:t>
            </w:r>
          </w:p>
        </w:tc>
      </w:tr>
      <w:tr>
        <w:tblPrEx>
          <w:tblCellMar>
            <w:top w:w="0" w:type="dxa"/>
            <w:left w:w="108" w:type="dxa"/>
            <w:bottom w:w="0" w:type="dxa"/>
            <w:right w:w="108" w:type="dxa"/>
          </w:tblCellMar>
        </w:tblPrEx>
        <w:trPr>
          <w:trHeight w:val="169" w:hRule="atLeast"/>
        </w:trPr>
        <w:tc>
          <w:tcPr>
            <w:tcW w:w="8454"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808080"/>
                <w:sz w:val="11"/>
                <w:szCs w:val="11"/>
              </w:rPr>
            </w:pPr>
            <w:r>
              <w:rPr>
                <w:rFonts w:ascii="微软雅黑" w:hAnsi="微软雅黑" w:eastAsia="微软雅黑" w:cs="宋体"/>
                <w:b/>
                <w:bCs/>
                <w:color w:val="808080"/>
                <w:sz w:val="11"/>
                <w:szCs w:val="11"/>
              </w:rPr>
              <w:t>绩效指标</w:t>
            </w:r>
          </w:p>
        </w:tc>
      </w:tr>
      <w:tr>
        <w:tblPrEx>
          <w:tblCellMar>
            <w:top w:w="0" w:type="dxa"/>
            <w:left w:w="108" w:type="dxa"/>
            <w:bottom w:w="0" w:type="dxa"/>
            <w:right w:w="108" w:type="dxa"/>
          </w:tblCellMar>
        </w:tblPrEx>
        <w:trPr>
          <w:trHeight w:val="41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指标名称</w:t>
            </w:r>
          </w:p>
        </w:tc>
        <w:tc>
          <w:tcPr>
            <w:tcW w:w="74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计量单位</w:t>
            </w:r>
          </w:p>
        </w:tc>
        <w:tc>
          <w:tcPr>
            <w:tcW w:w="55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指标性质</w:t>
            </w:r>
          </w:p>
        </w:tc>
        <w:tc>
          <w:tcPr>
            <w:tcW w:w="80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指标值</w:t>
            </w:r>
          </w:p>
        </w:tc>
        <w:tc>
          <w:tcPr>
            <w:tcW w:w="67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全年完成值</w:t>
            </w:r>
          </w:p>
        </w:tc>
        <w:tc>
          <w:tcPr>
            <w:tcW w:w="69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偏离度（%）</w:t>
            </w:r>
          </w:p>
        </w:tc>
        <w:tc>
          <w:tcPr>
            <w:tcW w:w="777"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得分系数（%）</w:t>
            </w:r>
          </w:p>
        </w:tc>
        <w:tc>
          <w:tcPr>
            <w:tcW w:w="58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指标权重</w:t>
            </w:r>
          </w:p>
        </w:tc>
        <w:tc>
          <w:tcPr>
            <w:tcW w:w="611"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指标得分</w:t>
            </w:r>
          </w:p>
        </w:tc>
        <w:tc>
          <w:tcPr>
            <w:tcW w:w="726"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是否核心指标</w:t>
            </w:r>
          </w:p>
        </w:tc>
        <w:tc>
          <w:tcPr>
            <w:tcW w:w="680"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11"/>
                <w:szCs w:val="11"/>
              </w:rPr>
            </w:pPr>
            <w:r>
              <w:rPr>
                <w:rFonts w:cs="宋体"/>
                <w:b/>
                <w:bCs/>
                <w:color w:val="000000"/>
                <w:sz w:val="11"/>
                <w:szCs w:val="11"/>
              </w:rPr>
              <w:t>说明</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繁育苗木</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苗</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200000</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231000</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15.5</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建成区行道树数量</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株</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30989</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32650</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5.36</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绿化维护面积</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平方米</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2323000</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2323000</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植物水肥管理次数</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次/年</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21</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21</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是</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植物修剪管理（灌木及草坪）次数</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次/月</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24</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24</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是</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16"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建成区绿化覆盖率</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50.89</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50.89</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绿化完好率</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园区设施设备完好率</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是</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169"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植物景观完好率</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95</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是</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50"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直属公园园区游客满意度</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98</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98</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是</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建成区绿地管护单位成本/年</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元/平方米</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2.67</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2.67</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r>
        <w:tblPrEx>
          <w:tblCellMar>
            <w:top w:w="0" w:type="dxa"/>
            <w:left w:w="108" w:type="dxa"/>
            <w:bottom w:w="0" w:type="dxa"/>
            <w:right w:w="108" w:type="dxa"/>
          </w:tblCellMar>
        </w:tblPrEx>
        <w:trPr>
          <w:trHeight w:val="253" w:hRule="atLeast"/>
        </w:trPr>
        <w:tc>
          <w:tcPr>
            <w:tcW w:w="1621" w:type="dxa"/>
            <w:tcBorders>
              <w:top w:val="nil"/>
              <w:left w:val="single" w:color="auto" w:sz="4" w:space="0"/>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行道树管护单位成本/年</w:t>
            </w:r>
          </w:p>
        </w:tc>
        <w:tc>
          <w:tcPr>
            <w:tcW w:w="74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元/株</w:t>
            </w:r>
          </w:p>
        </w:tc>
        <w:tc>
          <w:tcPr>
            <w:tcW w:w="55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w:t>
            </w:r>
          </w:p>
        </w:tc>
        <w:tc>
          <w:tcPr>
            <w:tcW w:w="80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12.83</w:t>
            </w:r>
          </w:p>
        </w:tc>
        <w:tc>
          <w:tcPr>
            <w:tcW w:w="670"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12.83</w:t>
            </w:r>
          </w:p>
        </w:tc>
        <w:tc>
          <w:tcPr>
            <w:tcW w:w="69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0</w:t>
            </w:r>
          </w:p>
        </w:tc>
        <w:tc>
          <w:tcPr>
            <w:tcW w:w="777"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100</w:t>
            </w:r>
          </w:p>
        </w:tc>
        <w:tc>
          <w:tcPr>
            <w:tcW w:w="584"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611" w:type="dxa"/>
            <w:tcBorders>
              <w:top w:val="nil"/>
              <w:left w:val="nil"/>
              <w:bottom w:val="single" w:color="auto" w:sz="4" w:space="0"/>
              <w:right w:val="single" w:color="auto" w:sz="4" w:space="0"/>
            </w:tcBorders>
            <w:shd w:val="clear" w:color="auto" w:fill="auto"/>
            <w:noWrap/>
            <w:vAlign w:val="center"/>
          </w:tcPr>
          <w:p>
            <w:pPr>
              <w:ind w:firstLine="110" w:firstLineChars="100"/>
              <w:jc w:val="right"/>
              <w:rPr>
                <w:rFonts w:hint="default" w:cs="宋体"/>
                <w:color w:val="000000"/>
                <w:sz w:val="11"/>
                <w:szCs w:val="11"/>
              </w:rPr>
            </w:pPr>
            <w:r>
              <w:rPr>
                <w:rFonts w:cs="宋体"/>
                <w:color w:val="000000"/>
                <w:sz w:val="11"/>
                <w:szCs w:val="11"/>
              </w:rPr>
              <w:t>5</w:t>
            </w:r>
          </w:p>
        </w:tc>
        <w:tc>
          <w:tcPr>
            <w:tcW w:w="726"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否</w:t>
            </w:r>
          </w:p>
        </w:tc>
        <w:tc>
          <w:tcPr>
            <w:tcW w:w="680" w:type="dxa"/>
            <w:tcBorders>
              <w:top w:val="nil"/>
              <w:left w:val="nil"/>
              <w:bottom w:val="single" w:color="auto" w:sz="4" w:space="0"/>
              <w:right w:val="single" w:color="auto" w:sz="4" w:space="0"/>
            </w:tcBorders>
            <w:shd w:val="clear" w:color="auto" w:fill="auto"/>
            <w:noWrap/>
            <w:vAlign w:val="center"/>
          </w:tcPr>
          <w:p>
            <w:pPr>
              <w:ind w:firstLine="110" w:firstLineChars="100"/>
              <w:rPr>
                <w:rFonts w:hint="default" w:cs="宋体"/>
                <w:color w:val="000000"/>
                <w:sz w:val="11"/>
                <w:szCs w:val="11"/>
              </w:rPr>
            </w:pPr>
            <w:r>
              <w:rPr>
                <w:rFonts w:cs="宋体"/>
                <w:color w:val="000000"/>
                <w:sz w:val="11"/>
                <w:szCs w:val="11"/>
              </w:rPr>
              <w:t>　</w:t>
            </w:r>
          </w:p>
        </w:tc>
      </w:tr>
    </w:tbl>
    <w:p>
      <w:pPr>
        <w:pStyle w:val="12"/>
        <w:autoSpaceDE w:val="0"/>
        <w:ind w:firstLine="0" w:firstLineChars="0"/>
        <w:rPr>
          <w:rFonts w:ascii="楷体" w:hAnsi="楷体" w:eastAsia="楷体" w:cs="楷体"/>
          <w:b/>
          <w:bCs/>
          <w:sz w:val="32"/>
          <w:szCs w:val="32"/>
          <w:shd w:val="clear" w:color="auto" w:fill="FFFFFF"/>
        </w:rPr>
      </w:pPr>
    </w:p>
    <w:p>
      <w:pPr>
        <w:pStyle w:val="13"/>
        <w:autoSpaceDE w:val="0"/>
        <w:spacing w:before="0" w:beforeAutospacing="0" w:line="600" w:lineRule="exact"/>
        <w:ind w:firstLine="630" w:firstLineChars="196"/>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5"/>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5"/>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Style w:val="11"/>
          <w:rFonts w:hint="default" w:ascii="方正小标宋_GBK" w:hAnsi="方正仿宋_GBK" w:eastAsia="方正小标宋_GBK" w:cs="方正仿宋_GBK"/>
          <w:b w:val="0"/>
          <w:sz w:val="32"/>
          <w:szCs w:val="32"/>
          <w:shd w:val="clear" w:color="auto" w:fill="FFFF00"/>
        </w:rPr>
      </w:pPr>
      <w:r>
        <w:rPr>
          <w:rFonts w:ascii="方正仿宋_GBK" w:hAnsi="方正仿宋_GBK" w:eastAsia="方正仿宋_GBK" w:cs="方正仿宋_GBK"/>
          <w:sz w:val="32"/>
          <w:szCs w:val="32"/>
          <w:shd w:val="clear" w:color="auto" w:fill="FFFFFF"/>
        </w:rPr>
        <w:t>本单位决算公开信息反馈和联系方式：</w:t>
      </w:r>
      <w:r>
        <w:rPr>
          <w:rFonts w:ascii="方正小标宋_GBK" w:hAnsi="方正仿宋_GBK" w:eastAsia="方正小标宋_GBK" w:cs="方正仿宋_GBK"/>
          <w:sz w:val="32"/>
          <w:szCs w:val="32"/>
          <w:shd w:val="clear" w:color="auto" w:fill="FFFFFF"/>
        </w:rPr>
        <w:t>023-74513038</w:t>
      </w:r>
    </w:p>
    <w:p>
      <w:pPr>
        <w:pStyle w:val="7"/>
        <w:snapToGrid w:val="0"/>
        <w:spacing w:before="0" w:beforeAutospacing="0" w:after="0" w:afterAutospacing="0" w:line="600" w:lineRule="exact"/>
        <w:ind w:firstLine="643" w:firstLineChars="200"/>
        <w:jc w:val="both"/>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垫江县园林绿化发展中心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690.00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1,823.32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1,924.06</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1,924.06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59" w:type="pct"/>
        <w:tblInd w:w="0" w:type="dxa"/>
        <w:tblLayout w:type="autofit"/>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垫江县园林绿化发展中心</w:t>
            </w: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1,823.32</w:t>
            </w:r>
            <w:r>
              <w:rPr>
                <w:rFonts w:ascii="Times New Roman" w:hAnsi="Times New Roman"/>
                <w:b/>
                <w:color w:val="000000"/>
                <w:sz w:val="20"/>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1,823.32</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1,523.85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1,523.85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833.85</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833.85</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833.85</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833.85</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tblLayout w:type="autofit"/>
        <w:tblCellMar>
          <w:top w:w="0" w:type="dxa"/>
          <w:left w:w="0" w:type="dxa"/>
          <w:bottom w:w="0" w:type="dxa"/>
          <w:right w:w="0" w:type="dxa"/>
        </w:tblCellMar>
      </w:tblPr>
      <w:tblGrid>
        <w:gridCol w:w="1637"/>
        <w:gridCol w:w="3630"/>
        <w:gridCol w:w="1637"/>
        <w:gridCol w:w="1686"/>
        <w:gridCol w:w="1619"/>
        <w:gridCol w:w="1552"/>
        <w:gridCol w:w="1687"/>
        <w:gridCol w:w="193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垫江县园林绿化发展中心 </w:t>
            </w: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1,924.06</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976.05</w:t>
            </w:r>
            <w:r>
              <w:rPr>
                <w:rFonts w:ascii="Times New Roman" w:hAnsi="Times New Roman"/>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948.02</w:t>
            </w:r>
            <w:r>
              <w:rPr>
                <w:rFonts w:ascii="Times New Roman" w:hAnsi="Times New Roman"/>
                <w:b/>
                <w:color w:val="000000"/>
                <w:sz w:val="20"/>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1,624.60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948.02</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833.85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676.58</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157.27</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833.85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676.58</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157.27</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城市环境卫生</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垫江县园林绿化发展中心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690.00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934.60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1,924.06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1,234.06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690.00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垫江县园林绿化发展中心</w:t>
            </w: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1,234.06</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976.05</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258.02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211.33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48.69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71.44</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36.43</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36.43</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934.60</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258.02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833.85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676.58</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833.85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676.58</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49.49</w:t>
            </w:r>
            <w:r>
              <w:rPr>
                <w:rFonts w:ascii="Times New Roman" w:hAnsi="Times New Roman"/>
                <w:b/>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49.49</w:t>
            </w:r>
            <w:r>
              <w:rPr>
                <w:rFonts w:ascii="Times New Roman" w:hAnsi="Times New Roman"/>
                <w:color w:val="000000"/>
                <w:sz w:val="20"/>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垫江县园林绿化发展中心</w:t>
            </w: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14.78</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312.91</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105.19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52.45</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49.49</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83.03</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71.44</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64.78</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8.13</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872.28</w:t>
            </w:r>
            <w:r>
              <w:rPr>
                <w:rFonts w:ascii="Times New Roman" w:hAnsi="Times New Roman"/>
                <w:color w:val="000000"/>
                <w:sz w:val="18"/>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103.77</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1594"/>
        <w:gridCol w:w="3630"/>
        <w:gridCol w:w="1659"/>
        <w:gridCol w:w="1659"/>
        <w:gridCol w:w="1659"/>
        <w:gridCol w:w="1660"/>
        <w:gridCol w:w="1725"/>
        <w:gridCol w:w="179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垫江县园林绿化发展中心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2121302</w:t>
            </w: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城市环境卫生</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垫江县园林绿化发展中心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4611" w:type="pct"/>
        <w:tblInd w:w="0" w:type="dxa"/>
        <w:tblLayout w:type="fixed"/>
        <w:tblCellMar>
          <w:top w:w="0" w:type="dxa"/>
          <w:left w:w="170" w:type="dxa"/>
          <w:bottom w:w="0" w:type="dxa"/>
          <w:right w:w="170" w:type="dxa"/>
        </w:tblCellMar>
      </w:tblPr>
      <w:tblGrid>
        <w:gridCol w:w="3188"/>
        <w:gridCol w:w="2425"/>
        <w:gridCol w:w="2383"/>
        <w:gridCol w:w="3684"/>
        <w:gridCol w:w="2502"/>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垫江县园林绿化发展中心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19.01</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6.24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239C6"/>
    <w:rsid w:val="000D192A"/>
    <w:rsid w:val="000F376B"/>
    <w:rsid w:val="001C5019"/>
    <w:rsid w:val="001D3BB7"/>
    <w:rsid w:val="002B254B"/>
    <w:rsid w:val="003A6066"/>
    <w:rsid w:val="004461A0"/>
    <w:rsid w:val="00463AFE"/>
    <w:rsid w:val="00466C9B"/>
    <w:rsid w:val="00493AE5"/>
    <w:rsid w:val="00502CDF"/>
    <w:rsid w:val="00550ABE"/>
    <w:rsid w:val="00551F3E"/>
    <w:rsid w:val="00586028"/>
    <w:rsid w:val="00591FBA"/>
    <w:rsid w:val="005D7F59"/>
    <w:rsid w:val="005F46BB"/>
    <w:rsid w:val="00647407"/>
    <w:rsid w:val="006904EA"/>
    <w:rsid w:val="0071447D"/>
    <w:rsid w:val="00770383"/>
    <w:rsid w:val="007819D4"/>
    <w:rsid w:val="007B419D"/>
    <w:rsid w:val="007B7C4B"/>
    <w:rsid w:val="007D3D39"/>
    <w:rsid w:val="0098441C"/>
    <w:rsid w:val="00994AF7"/>
    <w:rsid w:val="009B67B8"/>
    <w:rsid w:val="009D2B67"/>
    <w:rsid w:val="00A566F9"/>
    <w:rsid w:val="00AF2751"/>
    <w:rsid w:val="00AF77DD"/>
    <w:rsid w:val="00B03CCD"/>
    <w:rsid w:val="00B16417"/>
    <w:rsid w:val="00B61C47"/>
    <w:rsid w:val="00BC3405"/>
    <w:rsid w:val="00BE2B89"/>
    <w:rsid w:val="00BF431B"/>
    <w:rsid w:val="00C10E9E"/>
    <w:rsid w:val="00C15C05"/>
    <w:rsid w:val="00C20C3E"/>
    <w:rsid w:val="00C661BF"/>
    <w:rsid w:val="00CA6E93"/>
    <w:rsid w:val="00CE36D5"/>
    <w:rsid w:val="00CF2ACF"/>
    <w:rsid w:val="00D30CF3"/>
    <w:rsid w:val="00D56CCF"/>
    <w:rsid w:val="00E51237"/>
    <w:rsid w:val="00F73A4B"/>
    <w:rsid w:val="00F73F90"/>
    <w:rsid w:val="00F977EA"/>
    <w:rsid w:val="00FB4B3B"/>
    <w:rsid w:val="01474EBF"/>
    <w:rsid w:val="01B54667"/>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CB6F2D"/>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80911E5"/>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7FD6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7"/>
    <w:qFormat/>
    <w:uiPriority w:val="0"/>
    <w:pPr>
      <w:kinsoku w:val="0"/>
      <w:autoSpaceDE w:val="0"/>
      <w:autoSpaceDN w:val="0"/>
      <w:adjustRightInd w:val="0"/>
      <w:snapToGrid w:val="0"/>
      <w:textAlignment w:val="baseline"/>
    </w:pPr>
    <w:rPr>
      <w:rFonts w:hint="default" w:ascii="方正仿宋_GBK" w:hAnsi="方正仿宋_GBK" w:eastAsia="方正仿宋_GBK" w:cs="方正仿宋_GBK"/>
      <w:snapToGrid w:val="0"/>
      <w:color w:val="000000"/>
      <w:sz w:val="31"/>
      <w:szCs w:val="31"/>
      <w:lang w:eastAsia="en-US"/>
    </w:rPr>
  </w:style>
  <w:style w:type="paragraph" w:styleId="3">
    <w:name w:val="Balloon Text"/>
    <w:basedOn w:val="1"/>
    <w:link w:val="16"/>
    <w:autoRedefine/>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 w:type="character" w:customStyle="1" w:styleId="17">
    <w:name w:val="正文文本 字符"/>
    <w:basedOn w:val="10"/>
    <w:link w:val="2"/>
    <w:qFormat/>
    <w:uiPriority w:val="0"/>
    <w:rPr>
      <w:rFonts w:ascii="方正仿宋_GBK" w:hAnsi="方正仿宋_GBK" w:eastAsia="方正仿宋_GBK" w:cs="方正仿宋_GBK"/>
      <w:snapToGrid w:val="0"/>
      <w:color w:val="000000"/>
      <w:sz w:val="31"/>
      <w:szCs w:val="3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2524</Words>
  <Characters>14387</Characters>
  <Lines>119</Lines>
  <Paragraphs>33</Paragraphs>
  <TotalTime>977</TotalTime>
  <ScaleCrop>false</ScaleCrop>
  <LinksUpToDate>false</LinksUpToDate>
  <CharactersWithSpaces>16878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2025-08-13T03:33:00Z</dcterms:created>
  <dc:creator>Administrator</dc:creator>
  <cp:lastModifiedBy>WPS_1664260647</cp:lastModifiedBy>
  <dcterms:modified xsi:type="dcterms:W3CDTF">2025-09-24T08:34:53Z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3B54799F311C4D1BBF87184515A8CA0B_13</vt:lpwstr>
  </property>
  <property fmtid="{D5CDD505-2E9C-101B-9397-08002B2CF9AE}" pid="4" name="KSOTemplateDocerSaveRecord">
    <vt:lpwstr>eyJoZGlkIjoiMDZhNTM3MzhmNTBlZGYzMzdhMjM4MGVhZDViYzYzMGQiLCJ1c2VySWQiOiI2OTUwNzQzMDUifQ==</vt:lpwstr>
  </property>
</Properties>
</file>