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垫江县房地产交易服务中心</w:t>
      </w:r>
    </w:p>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（一）职能职责</w:t>
      </w:r>
    </w:p>
    <w:p>
      <w:pPr>
        <w:spacing w:line="600"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1、承担全县房地产市场发展、交易监管提供政策咨询、技术服务和人才支撑；</w:t>
      </w:r>
    </w:p>
    <w:p>
      <w:pPr>
        <w:spacing w:line="600"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2、承担全县房地产交易市场统计分析、交易数据系统维护工作；</w:t>
      </w:r>
      <w:bookmarkStart w:id="0" w:name="_GoBack"/>
      <w:bookmarkEnd w:id="0"/>
    </w:p>
    <w:p>
      <w:pPr>
        <w:spacing w:line="600"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3、承担全县商品房交易服务具体事务性工作，以及与房地产登记工作相衔接的具体工作；为房地产交易市场监管、房屋面积管理等提供服务；</w:t>
      </w:r>
    </w:p>
    <w:p>
      <w:pPr>
        <w:spacing w:line="600"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4、承担城市基础设施配套费征收的辅助性工作；</w:t>
      </w:r>
    </w:p>
    <w:p>
      <w:pPr>
        <w:spacing w:line="600"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5、承办主管部门交办的其他事务性工作。</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本单位无下设机构</w:t>
      </w:r>
    </w:p>
    <w:p>
      <w:pPr>
        <w:pStyle w:val="6"/>
        <w:shd w:val="clear" w:color="auto" w:fill="FFFFFF"/>
        <w:ind w:firstLine="643" w:firstLineChars="200"/>
        <w:rPr>
          <w:rFonts w:hint="default"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2024年度收入总计89.63万元，支出总计</w:t>
      </w:r>
      <w:r>
        <w:rPr>
          <w:rFonts w:ascii="方正仿宋_GBK" w:hAnsi="方正仿宋_GBK" w:eastAsia="方正仿宋_GBK" w:cs="方正仿宋_GBK"/>
          <w:sz w:val="32"/>
          <w:szCs w:val="32"/>
        </w:rPr>
        <w:t>89.63</w:t>
      </w:r>
      <w:r>
        <w:rPr>
          <w:rFonts w:ascii="方正仿宋_GBK" w:hAnsi="方正仿宋_GBK" w:eastAsia="方正仿宋_GBK" w:cs="方正仿宋_GBK"/>
          <w:sz w:val="32"/>
          <w:szCs w:val="32"/>
          <w:shd w:val="clear" w:color="auto" w:fill="FFFFFF"/>
        </w:rPr>
        <w:t>万元。收、支与2023年度相比，增加48.11万元，增长115.87%，主要原因是因为人员增加及补缴社保。</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2024年度收入合计84.63万元，与2023年度相比，增加43.11万元，增长103.83%，主要原因是因为人员增加及补缴社保。其中：财政拨款收入</w:t>
      </w:r>
      <w:r>
        <w:rPr>
          <w:rFonts w:ascii="方正仿宋_GBK" w:hAnsi="方正仿宋_GBK" w:eastAsia="方正仿宋_GBK" w:cs="方正仿宋_GBK"/>
          <w:sz w:val="32"/>
          <w:szCs w:val="32"/>
        </w:rPr>
        <w:t>84.63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89.63</w:t>
      </w:r>
      <w:r>
        <w:rPr>
          <w:rFonts w:ascii="方正仿宋_GBK" w:hAnsi="方正仿宋_GBK" w:eastAsia="方正仿宋_GBK" w:cs="方正仿宋_GBK"/>
          <w:sz w:val="32"/>
          <w:szCs w:val="32"/>
          <w:shd w:val="clear" w:color="auto" w:fill="FFFFFF"/>
        </w:rPr>
        <w:t>万元，与2023年度相比，增加48.11万元，增长115.87%，主要原因是因为人员增加及补缴社保。其中：基本支出</w:t>
      </w:r>
      <w:r>
        <w:rPr>
          <w:rFonts w:ascii="方正仿宋_GBK" w:hAnsi="方正仿宋_GBK" w:eastAsia="方正仿宋_GBK" w:cs="方正仿宋_GBK"/>
          <w:sz w:val="32"/>
          <w:szCs w:val="32"/>
        </w:rPr>
        <w:t>84.63</w:t>
      </w:r>
      <w:r>
        <w:rPr>
          <w:rFonts w:ascii="方正仿宋_GBK" w:hAnsi="方正仿宋_GBK" w:eastAsia="方正仿宋_GBK" w:cs="方正仿宋_GBK"/>
          <w:sz w:val="32"/>
          <w:szCs w:val="32"/>
          <w:shd w:val="clear" w:color="auto" w:fill="FFFFFF"/>
        </w:rPr>
        <w:t>万元，占94.42%；项目支出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万元，占5.58%；经营支出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万元，与2023年度相比，无增减，主要原因是按财政预决算合理规划本单位收支，无结转结余。</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2024年度财政拨款收、支总计89.63万元。与2022年相比，财政拨款收、支总计各增加48.11万元，增长115.87%。主要原因是因为人员增加及补缴社保。</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84.63</w:t>
      </w:r>
      <w:r>
        <w:rPr>
          <w:rFonts w:ascii="方正仿宋_GBK" w:hAnsi="方正仿宋_GBK" w:eastAsia="方正仿宋_GBK" w:cs="方正仿宋_GBK"/>
          <w:sz w:val="32"/>
          <w:szCs w:val="32"/>
          <w:shd w:val="clear" w:color="auto" w:fill="FFFFFF"/>
        </w:rPr>
        <w:t>万元，与2023年度相比，增加43.11万元，增长103.83%。主要原因是因为人员增加及补缴社保。较年初预算数增加18.71万元，增长28.38%。主要原因是因为人员增加及补缴社保。此外，年初财政拨款结转和结余</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89.63</w:t>
      </w:r>
      <w:r>
        <w:rPr>
          <w:rFonts w:ascii="方正仿宋_GBK" w:hAnsi="方正仿宋_GBK" w:eastAsia="方正仿宋_GBK" w:cs="方正仿宋_GBK"/>
          <w:sz w:val="32"/>
          <w:szCs w:val="32"/>
          <w:shd w:val="clear" w:color="auto" w:fill="FFFFFF"/>
        </w:rPr>
        <w:t>万元，与2023年度相比，增加48.11万元，增长115.87%。主要原因是因为人员增加及补缴社保。较年初预算数增加23.71万元，增长35.97%。主要原因是因为人员增加及补缴社保。</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万元，与2023年度相比，无增减，主要原因是主要原因是严格执行预算执行无结转结余。</w:t>
      </w:r>
    </w:p>
    <w:p>
      <w:pPr>
        <w:pStyle w:val="6"/>
        <w:snapToGrid w:val="0"/>
        <w:spacing w:before="0" w:beforeAutospacing="0" w:after="0" w:afterAutospacing="0" w:line="600" w:lineRule="exact"/>
        <w:ind w:firstLine="321" w:firstLineChars="1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%，较年初预算数无增减，主要原因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按财政预算合理计划支出。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11.99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13.38</w:t>
      </w:r>
      <w:r>
        <w:rPr>
          <w:rFonts w:ascii="方正仿宋_GBK" w:hAnsi="方正仿宋_GBK" w:eastAsia="方正仿宋_GBK" w:cs="方正仿宋_GBK"/>
          <w:sz w:val="32"/>
          <w:szCs w:val="32"/>
          <w:shd w:val="clear" w:color="auto" w:fill="FFFFFF"/>
        </w:rPr>
        <w:t>%，较年初预算数增加5.66万元，增长89.42%，主要原因是人员增加，社保基数增加，导致支出增加。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2.94</w:t>
      </w:r>
      <w:r>
        <w:rPr>
          <w:rFonts w:ascii="方正仿宋_GBK" w:hAnsi="方正仿宋_GBK" w:eastAsia="方正仿宋_GBK" w:cs="方正仿宋_GBK"/>
          <w:sz w:val="32"/>
          <w:szCs w:val="32"/>
          <w:shd w:val="clear" w:color="auto" w:fill="FFFFFF"/>
        </w:rPr>
        <w:t>%，较年初预算数无增减，主要原因是按财政预算合理计划支出。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（4）城乡社区支出</w:t>
      </w:r>
      <w:r>
        <w:rPr>
          <w:rFonts w:ascii="方正仿宋_GBK" w:hAnsi="方正仿宋_GBK" w:eastAsia="方正仿宋_GBK" w:cs="方正仿宋_GBK"/>
          <w:sz w:val="32"/>
          <w:szCs w:val="32"/>
        </w:rPr>
        <w:t>70.96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79.18</w:t>
      </w:r>
      <w:r>
        <w:rPr>
          <w:rFonts w:ascii="方正仿宋_GBK" w:hAnsi="方正仿宋_GBK" w:eastAsia="方正仿宋_GBK" w:cs="方正仿宋_GBK"/>
          <w:sz w:val="32"/>
          <w:szCs w:val="32"/>
          <w:shd w:val="clear" w:color="auto" w:fill="FFFFFF"/>
        </w:rPr>
        <w:t>%，较年初预算数增加17.39万元，增长32.46%，主要原因是</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 xml:space="preserve"> 年中追加工资、绩效和人员经费等，用于保障在职人员工资福利及社会保险缴费，保障单位正常运转的各项商品服务支出。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住房保障支出3.17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3.53</w:t>
      </w:r>
      <w:r>
        <w:rPr>
          <w:rFonts w:ascii="方正仿宋_GBK" w:hAnsi="方正仿宋_GBK" w:eastAsia="方正仿宋_GBK" w:cs="方正仿宋_GBK"/>
          <w:sz w:val="32"/>
          <w:szCs w:val="32"/>
          <w:shd w:val="clear" w:color="auto" w:fill="FFFFFF"/>
        </w:rPr>
        <w:t>%，较年初预算数无增减，主要原因是工资基数调增及变更增加支出。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灾害防治及应急管理支出0.66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0.74</w:t>
      </w:r>
      <w:r>
        <w:rPr>
          <w:rFonts w:ascii="方正仿宋_GBK" w:hAnsi="方正仿宋_GBK" w:eastAsia="方正仿宋_GBK" w:cs="方正仿宋_GBK"/>
          <w:sz w:val="32"/>
          <w:szCs w:val="32"/>
          <w:shd w:val="clear" w:color="auto" w:fill="FFFFFF"/>
        </w:rPr>
        <w:t>%，较年初预算数增加0.66万元，增长100.00%，主要原因是人员增加。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84.63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76.19</w:t>
      </w:r>
      <w:r>
        <w:rPr>
          <w:rFonts w:ascii="方正仿宋_GBK" w:hAnsi="方正仿宋_GBK" w:eastAsia="方正仿宋_GBK" w:cs="方正仿宋_GBK"/>
          <w:sz w:val="32"/>
          <w:szCs w:val="32"/>
          <w:shd w:val="clear" w:color="auto" w:fill="FFFFFF"/>
        </w:rPr>
        <w:t>万元，与2023年度相比，增加37.76万元，增长98.26%，主要原因是因为人员增加。人员经费用途主要包括支付在编职工基本工资绩效工资、养老年金医疗缴费、公积金缴费以及退休职工健康休养费。公用经费</w:t>
      </w:r>
      <w:r>
        <w:rPr>
          <w:rFonts w:ascii="方正仿宋_GBK" w:hAnsi="方正仿宋_GBK" w:eastAsia="方正仿宋_GBK" w:cs="方正仿宋_GBK"/>
          <w:sz w:val="32"/>
          <w:szCs w:val="32"/>
        </w:rPr>
        <w:t>8.43</w:t>
      </w:r>
      <w:r>
        <w:rPr>
          <w:rFonts w:ascii="方正仿宋_GBK" w:hAnsi="方正仿宋_GBK" w:eastAsia="方正仿宋_GBK" w:cs="方正仿宋_GBK"/>
          <w:sz w:val="32"/>
          <w:szCs w:val="32"/>
          <w:shd w:val="clear" w:color="auto" w:fill="FFFFFF"/>
        </w:rPr>
        <w:t>万元，与2023年度相比，增加5.34万元，增长172.82%，主要原因是办公经水电维修费支出增加，公用经费用途主要包括支付办公费、水电费、差旅费、邮电费、公务用车加油维修保险费及在编人员工作餐费。</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万元，与2023年度相比，无增减，主要原因是按财政预算合理计划支出。本年支出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万元，与2023年度相比，无增减，主要原因是按财政预算合理计划支出。本单位2024年度无政府性基金预算财政拨款收支。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万元，主要是用于本单位未发生因公出国（境）支出。费用支出较年初预算数无增减，较上年支出数无增减，主要原因是本单位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年度未发生因公出国（境）支出。</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0.50</w:t>
      </w:r>
      <w:r>
        <w:rPr>
          <w:rFonts w:ascii="方正仿宋_GBK" w:hAnsi="方正仿宋_GBK" w:eastAsia="方正仿宋_GBK" w:cs="方正仿宋_GBK"/>
          <w:sz w:val="32"/>
          <w:szCs w:val="32"/>
          <w:shd w:val="clear" w:color="auto" w:fill="FFFFFF"/>
        </w:rPr>
        <w:t>万元，与2023年度相比，增加0.50万元，增长100.00%，主要原因是会议增多，增加相应的会议费。本年度培训费支出</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万元，与2023年度相比，增加0.15万元，增长250.00%，主要原因是项目培训增多，培训费相应增加。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6"/>
        <w:snapToGrid w:val="0"/>
        <w:spacing w:before="0" w:beforeAutospacing="0" w:after="0" w:afterAutospacing="0" w:line="600" w:lineRule="exact"/>
        <w:ind w:firstLine="643"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6"/>
        <w:spacing w:before="0" w:beforeAutospacing="0" w:after="0" w:afterAutospacing="0"/>
        <w:ind w:firstLine="640" w:firstLineChars="200"/>
        <w:rPr>
          <w:rFonts w:hint="default" w:ascii="方正仿宋_GBK" w:hAnsi="方正仿宋_GBK" w:eastAsia="方正仿宋_GBK" w:cs="方正仿宋_GBK"/>
          <w:sz w:val="32"/>
          <w:szCs w:val="32"/>
          <w:lang w:bidi="ar"/>
        </w:rPr>
      </w:pPr>
      <w:r>
        <w:rPr>
          <w:rFonts w:hint="default" w:ascii="方正仿宋_GBK" w:hAnsi="方正仿宋_GBK" w:eastAsia="方正仿宋_GBK" w:cs="方正仿宋_GBK"/>
          <w:sz w:val="32"/>
          <w:szCs w:val="32"/>
          <w:lang w:bidi="ar"/>
        </w:rPr>
        <w:t>根据预算绩效管理要求，我单位对1个二级项目开展了绩效自评，其中，以填报自评表形式开展自评1项，涉及资金5万元。</w:t>
      </w:r>
    </w:p>
    <w:p>
      <w:pPr>
        <w:pStyle w:val="6"/>
        <w:spacing w:before="0" w:beforeAutospacing="0" w:after="0" w:afterAutospacing="0"/>
        <w:ind w:firstLine="640" w:firstLineChars="200"/>
        <w:rPr>
          <w:rFonts w:hint="default" w:ascii="方正仿宋_GBK" w:hAnsi="方正仿宋_GBK" w:eastAsia="方正仿宋_GBK" w:cs="方正仿宋_GBK"/>
          <w:sz w:val="32"/>
          <w:szCs w:val="32"/>
          <w:lang w:bidi="ar"/>
        </w:rPr>
      </w:pPr>
    </w:p>
    <w:p>
      <w:pPr>
        <w:pStyle w:val="6"/>
        <w:spacing w:before="0" w:beforeAutospacing="0" w:after="0" w:afterAutospacing="0"/>
        <w:rPr>
          <w:rFonts w:hint="default" w:ascii="方正仿宋_GBK" w:hAnsi="方正仿宋_GBK" w:eastAsia="方正仿宋_GBK" w:cs="方正仿宋_GBK"/>
          <w:sz w:val="32"/>
          <w:szCs w:val="32"/>
          <w:lang w:bidi="ar"/>
        </w:rPr>
      </w:pPr>
      <w:r>
        <w:drawing>
          <wp:inline distT="0" distB="0" distL="114300" distR="114300">
            <wp:extent cx="5278755" cy="4074160"/>
            <wp:effectExtent l="0" t="0" r="1714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8755" cy="4074160"/>
                    </a:xfrm>
                    <a:prstGeom prst="rect">
                      <a:avLst/>
                    </a:prstGeom>
                    <a:noFill/>
                    <a:ln>
                      <a:noFill/>
                    </a:ln>
                  </pic:spPr>
                </pic:pic>
              </a:graphicData>
            </a:graphic>
          </wp:inline>
        </w:drawing>
      </w:r>
    </w:p>
    <w:p>
      <w:pPr>
        <w:pStyle w:val="6"/>
        <w:spacing w:before="0" w:beforeAutospacing="0" w:after="0" w:afterAutospacing="0"/>
        <w:ind w:firstLine="640" w:firstLineChars="200"/>
        <w:rPr>
          <w:rFonts w:hint="default" w:ascii="方正仿宋_GBK" w:hAnsi="方正仿宋_GBK" w:eastAsia="方正仿宋_GBK" w:cs="方正仿宋_GBK"/>
          <w:sz w:val="32"/>
          <w:szCs w:val="32"/>
          <w:lang w:bidi="ar"/>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4"/>
        <w:autoSpaceDE w:val="0"/>
        <w:ind w:firstLine="960" w:firstLineChars="3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640"/>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县财政局未委托第三方对我单位开展绩效评价。</w:t>
      </w:r>
    </w:p>
    <w:p>
      <w:pPr>
        <w:pStyle w:val="11"/>
        <w:autoSpaceDE w:val="0"/>
        <w:ind w:firstLine="964" w:firstLineChars="300"/>
        <w:rPr>
          <w:rStyle w:val="10"/>
          <w:rFonts w:ascii="楷体" w:hAnsi="楷体" w:eastAsia="楷体" w:cs="楷体"/>
          <w:bCs/>
          <w:sz w:val="32"/>
          <w:szCs w:val="32"/>
          <w:shd w:val="clear" w:color="auto" w:fill="FFFFFF"/>
        </w:rPr>
      </w:pP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本单位决算公开信息反馈和联系方式：023-74513038</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垫江县房地产交易服务中心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89.63</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垫江县房地产交易服务中心</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84.63</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84.63</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垫江县房地产交易服务中心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89.63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84.63</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垫江县房地产交易服务中心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垫江县房地产交易服务中心</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89.63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84.63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70.96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垫江县房地产交易服务中心</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76.19</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垫江县房地产交易服务中心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垫江县房地产交易服务中心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垫江县房地产交易服务中心</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0C6CE3"/>
    <w:rsid w:val="00101179"/>
    <w:rsid w:val="001D3BB7"/>
    <w:rsid w:val="00242F02"/>
    <w:rsid w:val="002B254B"/>
    <w:rsid w:val="003C05EC"/>
    <w:rsid w:val="00466C9B"/>
    <w:rsid w:val="00550ABE"/>
    <w:rsid w:val="00586D55"/>
    <w:rsid w:val="00725FEB"/>
    <w:rsid w:val="00746CD7"/>
    <w:rsid w:val="00770383"/>
    <w:rsid w:val="007819D4"/>
    <w:rsid w:val="007B2950"/>
    <w:rsid w:val="007B419D"/>
    <w:rsid w:val="007B7C4B"/>
    <w:rsid w:val="007D3D39"/>
    <w:rsid w:val="008232DC"/>
    <w:rsid w:val="008574C8"/>
    <w:rsid w:val="008935B1"/>
    <w:rsid w:val="0091475A"/>
    <w:rsid w:val="00994AF7"/>
    <w:rsid w:val="009B67B8"/>
    <w:rsid w:val="009D2B67"/>
    <w:rsid w:val="009F6CCE"/>
    <w:rsid w:val="00A17CCF"/>
    <w:rsid w:val="00A566F9"/>
    <w:rsid w:val="00AA7544"/>
    <w:rsid w:val="00AF2751"/>
    <w:rsid w:val="00B03CCD"/>
    <w:rsid w:val="00BE2B89"/>
    <w:rsid w:val="00C10E9E"/>
    <w:rsid w:val="00C20C3E"/>
    <w:rsid w:val="00C64393"/>
    <w:rsid w:val="00CB797B"/>
    <w:rsid w:val="00CF2ACF"/>
    <w:rsid w:val="00CF54A4"/>
    <w:rsid w:val="00D02713"/>
    <w:rsid w:val="00D5002A"/>
    <w:rsid w:val="00E25643"/>
    <w:rsid w:val="00E5600F"/>
    <w:rsid w:val="00F3305B"/>
    <w:rsid w:val="00F34C90"/>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276FAB"/>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FF46FB"/>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4D27AF"/>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E9F65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页眉 字符"/>
    <w:basedOn w:val="9"/>
    <w:link w:val="4"/>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2090</Words>
  <Characters>11914</Characters>
  <Lines>99</Lines>
  <Paragraphs>27</Paragraphs>
  <TotalTime>45</TotalTime>
  <ScaleCrop>false</ScaleCrop>
  <LinksUpToDate>false</LinksUpToDate>
  <CharactersWithSpaces>13977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2025-08-14T01:26:00Z</dcterms:created>
  <dc:creator>Administrator</dc:creator>
  <cp:lastModifiedBy>WPS_1664260647</cp:lastModifiedBy>
  <dcterms:modified xsi:type="dcterms:W3CDTF">2025-09-24T08:50:23Z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