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垫江县房地产交易服务中心</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（一）职能职责</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1、承担全县房地产市场发展、交易监管提供政策咨询、技术服务和人才支撑；</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2、承担全县房地产交易市场统计分析、交易数据系统维护工作；</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3、承担全县商品房交易服务具体事务性工作，以及与房地产登记工作相衔接的具体工作；为房地产交易市场监管、房屋面积管理等提供服务；</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4、承担城市基础设施配套费征收的辅助性工作；</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5、承办主管部门交办的其他事务性工作。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本单位无下设机构</w:t>
      </w:r>
    </w:p>
    <w:p>
      <w:pPr>
        <w:pStyle w:val="6"/>
        <w:shd w:val="clear" w:color="auto" w:fill="FFFFFF"/>
        <w:ind w:firstLine="643" w:firstLineChars="200"/>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2024年度收入总计89.63万元，支出总计</w:t>
      </w:r>
      <w:r>
        <w:rPr>
          <w:rFonts w:ascii="方正仿宋_GBK" w:hAnsi="方正仿宋_GBK" w:eastAsia="方正仿宋_GBK" w:cs="方正仿宋_GBK"/>
          <w:sz w:val="32"/>
          <w:szCs w:val="32"/>
        </w:rPr>
        <w:t>89.63</w:t>
      </w:r>
      <w:r>
        <w:rPr>
          <w:rFonts w:ascii="方正仿宋_GBK" w:hAnsi="方正仿宋_GBK" w:eastAsia="方正仿宋_GBK" w:cs="方正仿宋_GBK"/>
          <w:sz w:val="32"/>
          <w:szCs w:val="32"/>
          <w:shd w:val="clear" w:color="auto" w:fill="FFFFFF"/>
        </w:rPr>
        <w:t>万元。收、支与2023年度相比，增加48.11万元，增长115.87%，主要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人员增加及补缴社保。</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2024年度收入合计84.63万元，与2023年度相比，增加43.11万元，增长103.83%，主要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人员增加及补缴社保。其中：财政拨款收入</w:t>
      </w:r>
      <w:r>
        <w:rPr>
          <w:rFonts w:ascii="方正仿宋_GBK" w:hAnsi="方正仿宋_GBK" w:eastAsia="方正仿宋_GBK" w:cs="方正仿宋_GBK"/>
          <w:sz w:val="32"/>
          <w:szCs w:val="32"/>
        </w:rPr>
        <w:t>84.63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89.63</w:t>
      </w:r>
      <w:r>
        <w:rPr>
          <w:rFonts w:ascii="方正仿宋_GBK" w:hAnsi="方正仿宋_GBK" w:eastAsia="方正仿宋_GBK" w:cs="方正仿宋_GBK"/>
          <w:sz w:val="32"/>
          <w:szCs w:val="32"/>
          <w:shd w:val="clear" w:color="auto" w:fill="FFFFFF"/>
        </w:rPr>
        <w:t>万元，与2023年度相比，增加48.11万元，增长115.87%，主要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人员增加及补缴社保。其中：基本支出</w:t>
      </w:r>
      <w:r>
        <w:rPr>
          <w:rFonts w:ascii="方正仿宋_GBK" w:hAnsi="方正仿宋_GBK" w:eastAsia="方正仿宋_GBK" w:cs="方正仿宋_GBK"/>
          <w:sz w:val="32"/>
          <w:szCs w:val="32"/>
        </w:rPr>
        <w:t>84.63</w:t>
      </w:r>
      <w:r>
        <w:rPr>
          <w:rFonts w:ascii="方正仿宋_GBK" w:hAnsi="方正仿宋_GBK" w:eastAsia="方正仿宋_GBK" w:cs="方正仿宋_GBK"/>
          <w:sz w:val="32"/>
          <w:szCs w:val="32"/>
          <w:shd w:val="clear" w:color="auto" w:fill="FFFFFF"/>
        </w:rPr>
        <w:t>万元，占94.42%；项目支出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万元，占5.58%；经营支出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万元，与2023年度相比，无增减，主要原因是按财政预决算合理规划本单位收支，无结转结余。</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2024年度财政拨款收、支总计89.63万元。与2022年相比，财政拨款收、支总计各增加48.11万元，增长115.87%。主要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人员增加及补缴社保。</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84.63</w:t>
      </w:r>
      <w:r>
        <w:rPr>
          <w:rFonts w:ascii="方正仿宋_GBK" w:hAnsi="方正仿宋_GBK" w:eastAsia="方正仿宋_GBK" w:cs="方正仿宋_GBK"/>
          <w:sz w:val="32"/>
          <w:szCs w:val="32"/>
          <w:shd w:val="clear" w:color="auto" w:fill="FFFFFF"/>
        </w:rPr>
        <w:t>万元，与2023年度相比，增加43.11万元，增长103.83%。主要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人员增加及补缴社保。较年初预算数增加18.71万元，增长28.38%。主要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人员增加及补缴社保。此外，年初财政拨款结转和结余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89.63</w:t>
      </w:r>
      <w:r>
        <w:rPr>
          <w:rFonts w:ascii="方正仿宋_GBK" w:hAnsi="方正仿宋_GBK" w:eastAsia="方正仿宋_GBK" w:cs="方正仿宋_GBK"/>
          <w:sz w:val="32"/>
          <w:szCs w:val="32"/>
          <w:shd w:val="clear" w:color="auto" w:fill="FFFFFF"/>
        </w:rPr>
        <w:t>万元，与2023年度相比，增加48.11万元，增长115.87%。主要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人员增加及补缴社保。较年初预算数增加23.71万元，增长35.97%。主要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人员增加及补缴社保。</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万元，与2023年度相比，无增减，主要原因是主要原因是严格执行预算执行无结转结余。</w:t>
      </w:r>
    </w:p>
    <w:p>
      <w:pPr>
        <w:pStyle w:val="6"/>
        <w:snapToGrid w:val="0"/>
        <w:spacing w:before="0" w:beforeAutospacing="0" w:after="0" w:afterAutospacing="0" w:line="600" w:lineRule="exact"/>
        <w:ind w:firstLine="321" w:firstLineChars="1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%，较年初预算数无增减，主要原因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按财政预算合理计划支出。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11.99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13.38</w:t>
      </w:r>
      <w:r>
        <w:rPr>
          <w:rFonts w:ascii="方正仿宋_GBK" w:hAnsi="方正仿宋_GBK" w:eastAsia="方正仿宋_GBK" w:cs="方正仿宋_GBK"/>
          <w:sz w:val="32"/>
          <w:szCs w:val="32"/>
          <w:shd w:val="clear" w:color="auto" w:fill="FFFFFF"/>
        </w:rPr>
        <w:t>%，较年初预算数增加5.66万元，增长89.42%，主要原因是人员增加，社保基数增加，导致支出增加。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2.94</w:t>
      </w:r>
      <w:r>
        <w:rPr>
          <w:rFonts w:ascii="方正仿宋_GBK" w:hAnsi="方正仿宋_GBK" w:eastAsia="方正仿宋_GBK" w:cs="方正仿宋_GBK"/>
          <w:sz w:val="32"/>
          <w:szCs w:val="32"/>
          <w:shd w:val="clear" w:color="auto" w:fill="FFFFFF"/>
        </w:rPr>
        <w:t>%，较年初预算数无增减，主要原因是按财政预算合理计划支出。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70.96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79.18</w:t>
      </w:r>
      <w:r>
        <w:rPr>
          <w:rFonts w:ascii="方正仿宋_GBK" w:hAnsi="方正仿宋_GBK" w:eastAsia="方正仿宋_GBK" w:cs="方正仿宋_GBK"/>
          <w:sz w:val="32"/>
          <w:szCs w:val="32"/>
          <w:shd w:val="clear" w:color="auto" w:fill="FFFFFF"/>
        </w:rPr>
        <w:t>%，较年初预算数增加17.39万元，增长32.46%，主要原因是</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 xml:space="preserve"> 年中追加工资、绩效和人员经费等，用于保障在职人员工资福利及社会保险缴费，保障单位正常运转的各项商品服务支出。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住房保障支出3.17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3.53</w:t>
      </w:r>
      <w:r>
        <w:rPr>
          <w:rFonts w:ascii="方正仿宋_GBK" w:hAnsi="方正仿宋_GBK" w:eastAsia="方正仿宋_GBK" w:cs="方正仿宋_GBK"/>
          <w:sz w:val="32"/>
          <w:szCs w:val="32"/>
          <w:shd w:val="clear" w:color="auto" w:fill="FFFFFF"/>
        </w:rPr>
        <w:t>%，较年初预算数无增减，主要原因是工资基数调增及变更增加支出。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灾害防治及应急管理支出0.66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0.74</w:t>
      </w:r>
      <w:r>
        <w:rPr>
          <w:rFonts w:ascii="方正仿宋_GBK" w:hAnsi="方正仿宋_GBK" w:eastAsia="方正仿宋_GBK" w:cs="方正仿宋_GBK"/>
          <w:sz w:val="32"/>
          <w:szCs w:val="32"/>
          <w:shd w:val="clear" w:color="auto" w:fill="FFFFFF"/>
        </w:rPr>
        <w:t>%，较年初预算数增加0.66万元，增长100.00%，主要原因是人员增加。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84.63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76.19</w:t>
      </w:r>
      <w:r>
        <w:rPr>
          <w:rFonts w:ascii="方正仿宋_GBK" w:hAnsi="方正仿宋_GBK" w:eastAsia="方正仿宋_GBK" w:cs="方正仿宋_GBK"/>
          <w:sz w:val="32"/>
          <w:szCs w:val="32"/>
          <w:shd w:val="clear" w:color="auto" w:fill="FFFFFF"/>
        </w:rPr>
        <w:t>万元，与2023年度相比，增加37.76万元，增长98.26%，主要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人员增加。人员经费用途主要包括支付在编职工基本工资绩效工资、养老年金医疗缴费、公积金缴费以及退休职工健康休养费。公用经费</w:t>
      </w:r>
      <w:r>
        <w:rPr>
          <w:rFonts w:ascii="方正仿宋_GBK" w:hAnsi="方正仿宋_GBK" w:eastAsia="方正仿宋_GBK" w:cs="方正仿宋_GBK"/>
          <w:sz w:val="32"/>
          <w:szCs w:val="32"/>
        </w:rPr>
        <w:t>8.43</w:t>
      </w:r>
      <w:r>
        <w:rPr>
          <w:rFonts w:ascii="方正仿宋_GBK" w:hAnsi="方正仿宋_GBK" w:eastAsia="方正仿宋_GBK" w:cs="方正仿宋_GBK"/>
          <w:sz w:val="32"/>
          <w:szCs w:val="32"/>
          <w:shd w:val="clear" w:color="auto" w:fill="FFFFFF"/>
        </w:rPr>
        <w:t>万元，与2023年度相比，增加5.34万元，增长172.82%，主要原因是办公经水电维修费支出增加，公用经费用途主要包括支付办公费、水电费、差旅费、邮电费、公务用车加油维修保险费及在编人员工作餐费。</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万元，与2023年度相比，无增减，主要原因是按财政预算合理计划支出。本年支出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万元，与2023年度相比，无增减，主要原因是按财政预算合理计划支出。本单位2024年度无政府性基金预算财政拨款收支。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万元，主要是用于本单位未发生因公出国（境）支出。费用支出较年初预算数无增减，较上年支出数无增减，主要原因是本单位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年度未发生因公出国（境）支出。</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万元，与2023年度相比，增加0.50万元，增长100.00%，主要原因是会议增多，增加相应的会议费。本年度培训费支出</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万元，与2023年度相比，增加0.15万元，增长250.00%，主要原因是项目培训增多，培训费相应增加。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napToGrid w:val="0"/>
        <w:spacing w:before="0" w:beforeAutospacing="0" w:after="0" w:afterAutospacing="0" w:line="600" w:lineRule="exact"/>
        <w:ind w:firstLine="643"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6"/>
        <w:spacing w:before="0" w:beforeAutospacing="0" w:after="0" w:afterAutospacing="0"/>
        <w:ind w:firstLine="640" w:firstLineChars="200"/>
        <w:rPr>
          <w:rFonts w:hint="default" w:ascii="方正仿宋_GBK" w:hAnsi="方正仿宋_GBK" w:eastAsia="方正仿宋_GBK" w:cs="方正仿宋_GBK"/>
          <w:sz w:val="32"/>
          <w:szCs w:val="32"/>
          <w:lang w:bidi="ar"/>
        </w:rPr>
      </w:pPr>
      <w:r>
        <w:rPr>
          <w:rFonts w:hint="default" w:ascii="方正仿宋_GBK" w:hAnsi="方正仿宋_GBK" w:eastAsia="方正仿宋_GBK" w:cs="方正仿宋_GBK"/>
          <w:sz w:val="32"/>
          <w:szCs w:val="32"/>
          <w:lang w:bidi="ar"/>
        </w:rPr>
        <w:t>根据预算绩效管理要求，我单位对1个二级项目开展了绩效自评，其中，以填报自评表形式开展自评1项，涉及资金5万元。</w:t>
      </w:r>
    </w:p>
    <w:p>
      <w:pPr>
        <w:pStyle w:val="6"/>
        <w:spacing w:before="0" w:beforeAutospacing="0" w:after="0" w:afterAutospacing="0"/>
        <w:ind w:firstLine="640" w:firstLineChars="200"/>
        <w:rPr>
          <w:rFonts w:hint="default" w:ascii="方正仿宋_GBK" w:hAnsi="方正仿宋_GBK" w:eastAsia="方正仿宋_GBK" w:cs="方正仿宋_GBK"/>
          <w:sz w:val="32"/>
          <w:szCs w:val="32"/>
          <w:lang w:bidi="ar"/>
        </w:rPr>
      </w:pPr>
    </w:p>
    <w:p>
      <w:pPr>
        <w:pStyle w:val="6"/>
        <w:spacing w:before="0" w:beforeAutospacing="0" w:after="0" w:afterAutospacing="0"/>
        <w:rPr>
          <w:rFonts w:hint="default" w:ascii="方正仿宋_GBK" w:hAnsi="方正仿宋_GBK" w:eastAsia="方正仿宋_GBK" w:cs="方正仿宋_GBK"/>
          <w:sz w:val="32"/>
          <w:szCs w:val="32"/>
          <w:lang w:bidi="ar"/>
        </w:rPr>
      </w:pPr>
      <w:r>
        <w:drawing>
          <wp:inline distT="0" distB="0" distL="114300" distR="114300">
            <wp:extent cx="5278755" cy="4074160"/>
            <wp:effectExtent l="0" t="0" r="1714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8755" cy="4074160"/>
                    </a:xfrm>
                    <a:prstGeom prst="rect">
                      <a:avLst/>
                    </a:prstGeom>
                    <a:noFill/>
                    <a:ln>
                      <a:noFill/>
                    </a:ln>
                  </pic:spPr>
                </pic:pic>
              </a:graphicData>
            </a:graphic>
          </wp:inline>
        </w:drawing>
      </w:r>
    </w:p>
    <w:p>
      <w:pPr>
        <w:pStyle w:val="6"/>
        <w:spacing w:before="0" w:beforeAutospacing="0" w:after="0" w:afterAutospacing="0"/>
        <w:ind w:firstLine="640" w:firstLineChars="200"/>
        <w:rPr>
          <w:rFonts w:hint="default" w:ascii="方正仿宋_GBK" w:hAnsi="方正仿宋_GBK" w:eastAsia="方正仿宋_GBK" w:cs="方正仿宋_GBK"/>
          <w:sz w:val="32"/>
          <w:szCs w:val="32"/>
          <w:lang w:bidi="ar"/>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4"/>
        <w:autoSpaceDE w:val="0"/>
        <w:ind w:firstLine="960" w:firstLineChars="3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县财政局未委托第三方对我单位开展绩效评价。</w:t>
      </w:r>
    </w:p>
    <w:p>
      <w:pPr>
        <w:pStyle w:val="11"/>
        <w:autoSpaceDE w:val="0"/>
        <w:ind w:firstLine="964" w:firstLineChars="300"/>
        <w:rPr>
          <w:rStyle w:val="10"/>
          <w:rFonts w:ascii="楷体" w:hAnsi="楷体" w:eastAsia="楷体" w:cs="楷体"/>
          <w:bCs/>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本单位决算公开信息反馈和联系方式：023-74513038</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垫江县房地产交易服务中心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89.63</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垫江县房地产交易服务中心</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84.63</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84.63</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垫江县房地产交易服务中心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89.63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84.63</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垫江县房地产交易服务中心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垫江县房地产交易服务中心</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89.63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84.63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垫江县房地产交易服务中心</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76.19</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垫江县房地产交易服务中心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垫江县房地产交易服务中心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垫江县房地产交易服务中心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0C6CE3"/>
    <w:rsid w:val="00101179"/>
    <w:rsid w:val="001D3BB7"/>
    <w:rsid w:val="00242F02"/>
    <w:rsid w:val="002B254B"/>
    <w:rsid w:val="003C05EC"/>
    <w:rsid w:val="00466C9B"/>
    <w:rsid w:val="00550ABE"/>
    <w:rsid w:val="00586D55"/>
    <w:rsid w:val="00725FEB"/>
    <w:rsid w:val="00746CD7"/>
    <w:rsid w:val="00770383"/>
    <w:rsid w:val="007819D4"/>
    <w:rsid w:val="007B2950"/>
    <w:rsid w:val="007B419D"/>
    <w:rsid w:val="007B7C4B"/>
    <w:rsid w:val="007D3D39"/>
    <w:rsid w:val="008232DC"/>
    <w:rsid w:val="008574C8"/>
    <w:rsid w:val="008935B1"/>
    <w:rsid w:val="0091475A"/>
    <w:rsid w:val="00994AF7"/>
    <w:rsid w:val="009B67B8"/>
    <w:rsid w:val="009D2B67"/>
    <w:rsid w:val="009F6CCE"/>
    <w:rsid w:val="00A17CCF"/>
    <w:rsid w:val="00A566F9"/>
    <w:rsid w:val="00AA7544"/>
    <w:rsid w:val="00AF2751"/>
    <w:rsid w:val="00B03CCD"/>
    <w:rsid w:val="00BE2B89"/>
    <w:rsid w:val="00C10E9E"/>
    <w:rsid w:val="00C20C3E"/>
    <w:rsid w:val="00C64393"/>
    <w:rsid w:val="00CB797B"/>
    <w:rsid w:val="00CF2ACF"/>
    <w:rsid w:val="00CF54A4"/>
    <w:rsid w:val="00D02713"/>
    <w:rsid w:val="00D5002A"/>
    <w:rsid w:val="00E25643"/>
    <w:rsid w:val="00E5600F"/>
    <w:rsid w:val="00F3305B"/>
    <w:rsid w:val="00F34C90"/>
    <w:rsid w:val="00F73F90"/>
    <w:rsid w:val="00FB4B3B"/>
    <w:rsid w:val="01474EBF"/>
    <w:rsid w:val="01F3521E"/>
    <w:rsid w:val="02AD7341"/>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276FAB"/>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FF46FB"/>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4D27AF"/>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E9F65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2090</Words>
  <Characters>11914</Characters>
  <Lines>99</Lines>
  <Paragraphs>27</Paragraphs>
  <TotalTime>45</TotalTime>
  <ScaleCrop>false</ScaleCrop>
  <LinksUpToDate>false</LinksUpToDate>
  <CharactersWithSpaces>13977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2025-08-14T01:26:00Z</dcterms:created>
  <dc:creator>Administrator</dc:creator>
  <cp:lastModifiedBy>Administrator</cp:lastModifiedBy>
  <dcterms:modified xsi:type="dcterms:W3CDTF">2025-10-22T01:24:44Z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