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垫江县城市管理综合行政执法支队</w:t>
      </w:r>
    </w:p>
    <w:p>
      <w:pPr>
        <w:pStyle w:val="4"/>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4"/>
        <w:shd w:val="clear" w:color="auto" w:fill="FFFFFF"/>
        <w:spacing w:before="0" w:beforeAutospacing="0" w:after="0" w:afterAutospacing="0" w:line="596" w:lineRule="exact"/>
        <w:ind w:firstLine="643" w:firstLineChars="200"/>
        <w:rPr>
          <w:rStyle w:val="7"/>
          <w:rFonts w:hint="default" w:ascii="黑体" w:hAnsi="黑体" w:eastAsia="黑体" w:cs="黑体"/>
          <w:sz w:val="32"/>
          <w:szCs w:val="32"/>
          <w:shd w:val="clear" w:color="auto" w:fill="FFFFFF"/>
        </w:rPr>
      </w:pPr>
      <w:r>
        <w:rPr>
          <w:rStyle w:val="7"/>
          <w:rFonts w:ascii="黑体" w:hAnsi="黑体" w:eastAsia="黑体" w:cs="黑体"/>
          <w:sz w:val="32"/>
          <w:szCs w:val="32"/>
          <w:shd w:val="clear" w:color="auto" w:fill="FFFFFF"/>
        </w:rPr>
        <w:t>一、单位基本情况</w:t>
      </w:r>
    </w:p>
    <w:p>
      <w:pPr>
        <w:pStyle w:val="4"/>
        <w:shd w:val="clear" w:color="auto" w:fill="FFFFFF"/>
        <w:ind w:firstLine="420"/>
        <w:rPr>
          <w:rFonts w:hint="default" w:ascii="方正仿宋_GBK" w:hAnsi="方正仿宋_GBK" w:eastAsia="方正仿宋_GBK" w:cs="方正仿宋_GBK"/>
          <w:sz w:val="32"/>
          <w:szCs w:val="32"/>
        </w:rPr>
      </w:pPr>
      <w:r>
        <w:rPr>
          <w:rStyle w:val="7"/>
          <w:rFonts w:ascii="楷体" w:hAnsi="楷体" w:eastAsia="楷体" w:cs="楷体"/>
          <w:sz w:val="32"/>
          <w:szCs w:val="32"/>
          <w:shd w:val="clear" w:color="auto" w:fill="FFFFFF"/>
        </w:rPr>
        <w:t>（一）职能职责</w:t>
      </w:r>
    </w:p>
    <w:p>
      <w:pPr>
        <w:spacing w:line="600" w:lineRule="exact"/>
        <w:ind w:firstLine="640" w:firstLineChars="200"/>
        <w:rPr>
          <w:rFonts w:hint="default" w:ascii="方正仿宋_GBK" w:hAnsi="仿宋_GB2312" w:eastAsia="方正仿宋_GBK" w:cs="仿宋_GB2312"/>
          <w:sz w:val="32"/>
          <w:szCs w:val="32"/>
        </w:rPr>
      </w:pPr>
      <w:r>
        <w:rPr>
          <w:rFonts w:ascii="方正仿宋_GBK" w:hAnsi="方正仿宋_GBK" w:eastAsia="方正仿宋_GBK" w:cs="方正仿宋_GBK"/>
          <w:sz w:val="32"/>
          <w:szCs w:val="32"/>
          <w:lang w:bidi="ar"/>
        </w:rPr>
        <w:t>垫江县城市管理综合行政执法支队以县城市管理局的名义，统一行使城市管理领域行政处罚权及与之相关的行政检查、行政强制权等执法职能。</w:t>
      </w:r>
    </w:p>
    <w:p>
      <w:pPr>
        <w:spacing w:line="600" w:lineRule="exact"/>
        <w:ind w:firstLine="640" w:firstLineChars="200"/>
        <w:rPr>
          <w:rFonts w:hint="default" w:ascii="方正仿宋_GBK" w:hAnsi="仿宋_GB2312" w:eastAsia="方正仿宋_GBK" w:cs="仿宋_GB2312"/>
          <w:sz w:val="32"/>
          <w:szCs w:val="32"/>
        </w:rPr>
      </w:pPr>
      <w:r>
        <w:rPr>
          <w:rFonts w:ascii="方正仿宋_GBK" w:hAnsi="方正仿宋_GBK" w:eastAsia="方正仿宋_GBK" w:cs="方正仿宋_GBK"/>
          <w:sz w:val="32"/>
          <w:szCs w:val="32"/>
          <w:lang w:bidi="ar"/>
        </w:rPr>
        <w:t>（1）贯彻执行有关城市管理行政执法的法律、法规、规章和方针政策，依法接受委托集中行使县级城市管理综合行政执法范围内的行政处罚及相应的行政强制职能。</w:t>
      </w:r>
    </w:p>
    <w:p>
      <w:pPr>
        <w:spacing w:line="600" w:lineRule="exact"/>
        <w:ind w:firstLine="640" w:firstLineChars="200"/>
        <w:rPr>
          <w:rFonts w:hint="default" w:ascii="方正仿宋_GBK" w:hAnsi="仿宋_GB2312" w:eastAsia="方正仿宋_GBK" w:cs="仿宋_GB2312"/>
          <w:sz w:val="32"/>
          <w:szCs w:val="32"/>
        </w:rPr>
      </w:pPr>
      <w:r>
        <w:rPr>
          <w:rFonts w:ascii="方正仿宋_GBK" w:hAnsi="方正仿宋_GBK" w:eastAsia="方正仿宋_GBK" w:cs="方正仿宋_GBK"/>
          <w:sz w:val="32"/>
          <w:szCs w:val="32"/>
          <w:lang w:bidi="ar"/>
        </w:rPr>
        <w:t>（2）承担城市市政公用、市容环卫、园林绿化方面的各项行政处罚及相应的行政强制职能。</w:t>
      </w:r>
    </w:p>
    <w:p>
      <w:pPr>
        <w:spacing w:line="600" w:lineRule="exact"/>
        <w:ind w:firstLine="640" w:firstLineChars="200"/>
        <w:rPr>
          <w:rFonts w:hint="default" w:ascii="方正仿宋_GBK" w:hAnsi="仿宋_GB2312" w:eastAsia="方正仿宋_GBK" w:cs="仿宋_GB2312"/>
          <w:sz w:val="32"/>
          <w:szCs w:val="32"/>
        </w:rPr>
      </w:pPr>
      <w:r>
        <w:rPr>
          <w:rFonts w:ascii="方正仿宋_GBK" w:hAnsi="方正仿宋_GBK" w:eastAsia="方正仿宋_GBK" w:cs="方正仿宋_GBK"/>
          <w:sz w:val="32"/>
          <w:szCs w:val="32"/>
          <w:lang w:bidi="ar"/>
        </w:rPr>
        <w:t>（3）承担城市环境保护管理方面露天烧烤、城市焚烧沥青塑料垃圾等烟尘和恶臭污染、露天焚烧秸秆落叶的行政处罚及相应的行政强制职能。</w:t>
      </w:r>
    </w:p>
    <w:p>
      <w:pPr>
        <w:spacing w:line="600" w:lineRule="exact"/>
        <w:ind w:firstLine="640" w:firstLineChars="200"/>
        <w:rPr>
          <w:rFonts w:hint="default" w:ascii="方正仿宋_GBK" w:hAnsi="仿宋_GB2312" w:eastAsia="方正仿宋_GBK" w:cs="仿宋_GB2312"/>
          <w:sz w:val="32"/>
          <w:szCs w:val="32"/>
        </w:rPr>
      </w:pPr>
      <w:r>
        <w:rPr>
          <w:rFonts w:ascii="方正仿宋_GBK" w:hAnsi="方正仿宋_GBK" w:eastAsia="方正仿宋_GBK" w:cs="方正仿宋_GBK"/>
          <w:sz w:val="32"/>
          <w:szCs w:val="32"/>
          <w:lang w:bidi="ar"/>
        </w:rPr>
        <w:t>（4）承担市场监管有关工商管理方面户外公共场所无照经营、违规设置户外广告的行政处罚及相应的行政强制职能。</w:t>
      </w:r>
    </w:p>
    <w:p>
      <w:pPr>
        <w:spacing w:line="600" w:lineRule="exact"/>
        <w:ind w:firstLine="640" w:firstLineChars="200"/>
        <w:rPr>
          <w:rFonts w:hint="default" w:ascii="方正仿宋_GBK" w:hAnsi="仿宋_GB2312" w:eastAsia="方正仿宋_GBK" w:cs="仿宋_GB2312"/>
          <w:sz w:val="32"/>
          <w:szCs w:val="32"/>
        </w:rPr>
      </w:pPr>
      <w:r>
        <w:rPr>
          <w:rFonts w:ascii="方正仿宋_GBK" w:hAnsi="方正仿宋_GBK" w:eastAsia="方正仿宋_GBK" w:cs="方正仿宋_GBK"/>
          <w:sz w:val="32"/>
          <w:szCs w:val="32"/>
          <w:lang w:bidi="ar"/>
        </w:rPr>
        <w:t>（5）承担市场监管有关食品药品方面户外公共场所食品销售和餐饮摊点无证经营的行政处罚及相应的行政强制职能。</w:t>
      </w:r>
    </w:p>
    <w:p>
      <w:pPr>
        <w:spacing w:line="600" w:lineRule="exact"/>
        <w:ind w:firstLine="640" w:firstLineChars="200"/>
        <w:rPr>
          <w:rFonts w:hint="default" w:ascii="方正仿宋_GBK" w:hAnsi="仿宋_GB2312" w:eastAsia="方正仿宋_GBK" w:cs="仿宋_GB2312"/>
          <w:sz w:val="32"/>
          <w:szCs w:val="32"/>
        </w:rPr>
      </w:pPr>
      <w:r>
        <w:rPr>
          <w:rFonts w:ascii="方正仿宋_GBK" w:hAnsi="方正仿宋_GBK" w:eastAsia="方正仿宋_GBK" w:cs="方正仿宋_GBK"/>
          <w:sz w:val="32"/>
          <w:szCs w:val="32"/>
          <w:lang w:bidi="ar"/>
        </w:rPr>
        <w:t>（6）承担交通管理方面侵占城市道路的行政处罚及相应的行政强制职能。</w:t>
      </w:r>
    </w:p>
    <w:p>
      <w:pPr>
        <w:spacing w:line="600" w:lineRule="exact"/>
        <w:ind w:firstLine="640" w:firstLineChars="200"/>
        <w:rPr>
          <w:rFonts w:hint="default" w:ascii="方正仿宋_GBK" w:hAnsi="仿宋_GB2312" w:eastAsia="方正仿宋_GBK" w:cs="仿宋_GB2312"/>
          <w:sz w:val="32"/>
          <w:szCs w:val="32"/>
        </w:rPr>
      </w:pPr>
      <w:r>
        <w:rPr>
          <w:rFonts w:ascii="方正仿宋_GBK" w:hAnsi="方正仿宋_GBK" w:eastAsia="方正仿宋_GBK" w:cs="方正仿宋_GBK"/>
          <w:sz w:val="32"/>
          <w:szCs w:val="32"/>
          <w:lang w:bidi="ar"/>
        </w:rPr>
        <w:t>（7）承担水务管理方面向城市河道倾倒废弃物和垃圾的行政处罚及相应的行政强制职能。</w:t>
      </w:r>
    </w:p>
    <w:p>
      <w:pPr>
        <w:spacing w:line="600" w:lineRule="exact"/>
        <w:ind w:firstLine="640" w:firstLineChars="200"/>
        <w:rPr>
          <w:rFonts w:hint="default" w:ascii="方正仿宋_GBK" w:hAnsi="仿宋_GB2312" w:eastAsia="方正仿宋_GBK" w:cs="仿宋_GB2312"/>
          <w:sz w:val="32"/>
          <w:szCs w:val="32"/>
        </w:rPr>
      </w:pPr>
      <w:r>
        <w:rPr>
          <w:rFonts w:ascii="方正仿宋_GBK" w:hAnsi="方正仿宋_GBK" w:eastAsia="方正仿宋_GBK" w:cs="方正仿宋_GBK"/>
          <w:sz w:val="32"/>
          <w:szCs w:val="32"/>
          <w:lang w:bidi="ar"/>
        </w:rPr>
        <w:t>（8）负责城市管理综合行政执法队伍纠察工作，承办城市管理综合行政执法专项整治行动和执法活动。</w:t>
      </w:r>
    </w:p>
    <w:p>
      <w:pPr>
        <w:spacing w:line="600" w:lineRule="exact"/>
        <w:ind w:firstLine="640" w:firstLineChars="200"/>
        <w:rPr>
          <w:rFonts w:hint="default" w:ascii="方正仿宋_GBK" w:hAnsi="仿宋_GB2312" w:eastAsia="方正仿宋_GBK" w:cs="仿宋_GB2312"/>
          <w:sz w:val="32"/>
          <w:szCs w:val="32"/>
        </w:rPr>
      </w:pPr>
      <w:r>
        <w:rPr>
          <w:rFonts w:ascii="方正仿宋_GBK" w:hAnsi="方正仿宋_GBK" w:eastAsia="方正仿宋_GBK" w:cs="方正仿宋_GBK"/>
          <w:sz w:val="32"/>
          <w:szCs w:val="32"/>
          <w:lang w:bidi="ar"/>
        </w:rPr>
        <w:t>（9）组织推进城市管理综合行政执法信息化建设。</w:t>
      </w:r>
    </w:p>
    <w:p>
      <w:pPr>
        <w:pStyle w:val="4"/>
        <w:shd w:val="clear" w:color="auto" w:fill="FFFFFF"/>
        <w:ind w:firstLine="640" w:firstLineChars="200"/>
        <w:rPr>
          <w:rFonts w:hint="default" w:ascii="方正仿宋_GBK" w:hAnsi="方正仿宋_GBK" w:eastAsia="方正仿宋_GBK" w:cs="方正仿宋_GBK"/>
          <w:sz w:val="32"/>
          <w:szCs w:val="32"/>
          <w:lang w:bidi="ar"/>
        </w:rPr>
      </w:pPr>
      <w:r>
        <w:rPr>
          <w:rFonts w:ascii="方正仿宋_GBK" w:hAnsi="方正仿宋_GBK" w:eastAsia="方正仿宋_GBK" w:cs="方正仿宋_GBK"/>
          <w:sz w:val="32"/>
          <w:szCs w:val="32"/>
          <w:lang w:bidi="ar"/>
        </w:rPr>
        <w:t>（10）完成县委、县政府和县城管局交办的其他任务。</w:t>
      </w:r>
    </w:p>
    <w:p>
      <w:pPr>
        <w:pStyle w:val="4"/>
        <w:shd w:val="clear" w:color="auto" w:fill="FFFFFF"/>
        <w:ind w:firstLine="482" w:firstLineChars="150"/>
        <w:rPr>
          <w:rFonts w:hint="default" w:ascii="楷体" w:hAnsi="楷体" w:eastAsia="楷体" w:cs="楷体"/>
          <w:sz w:val="32"/>
          <w:szCs w:val="32"/>
        </w:rPr>
      </w:pPr>
      <w:r>
        <w:rPr>
          <w:rStyle w:val="7"/>
          <w:rFonts w:ascii="楷体" w:hAnsi="楷体" w:eastAsia="楷体" w:cs="楷体"/>
          <w:sz w:val="32"/>
          <w:szCs w:val="32"/>
          <w:shd w:val="clear" w:color="auto" w:fill="FFFFFF"/>
        </w:rPr>
        <w:t>（二）机构设置</w:t>
      </w:r>
    </w:p>
    <w:p>
      <w:pPr>
        <w:pStyle w:val="4"/>
        <w:shd w:val="clear" w:color="auto" w:fill="FFFFFF"/>
        <w:spacing w:before="0" w:beforeAutospacing="0" w:after="0" w:afterAutospacing="0"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垫江县城市管理综合行政执法支队为县城市管理局管理的行政执法机构，暂保留原有的副科级。根据上述职责，垫江县城市管理综合行政执法支队设下列内设机构：办公室、法制科、督查科、桂阳执法大队、桂溪执法大队、东部新区执法大队、户外广告执法大队、园林绿化执法大队、扬尘污染执法大队、市政环卫执法大队、应急特勤执法大队11个内设机构，事业编制50名。设支队长1名，教导员1名，副支队长3名。内设机构领导职数11名。</w:t>
      </w:r>
    </w:p>
    <w:p>
      <w:pPr>
        <w:pStyle w:val="4"/>
        <w:shd w:val="clear" w:color="auto" w:fill="FFFFFF"/>
        <w:spacing w:before="0" w:beforeAutospacing="0" w:after="0" w:afterAutospacing="0" w:line="596" w:lineRule="exact"/>
        <w:ind w:firstLine="643" w:firstLineChars="200"/>
        <w:rPr>
          <w:rStyle w:val="7"/>
          <w:rFonts w:hint="default" w:ascii="黑体" w:hAnsi="黑体" w:eastAsia="黑体" w:cs="黑体"/>
          <w:sz w:val="32"/>
          <w:szCs w:val="32"/>
          <w:shd w:val="clear" w:color="auto" w:fill="FFFFFF"/>
        </w:rPr>
      </w:pPr>
      <w:r>
        <w:rPr>
          <w:rStyle w:val="7"/>
          <w:rFonts w:ascii="黑体" w:hAnsi="黑体" w:eastAsia="黑体" w:cs="黑体"/>
          <w:sz w:val="32"/>
          <w:szCs w:val="32"/>
          <w:shd w:val="clear" w:color="auto" w:fill="FFFFFF"/>
        </w:rPr>
        <w:t>二、单位决算收支情况说明</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4"/>
        <w:shd w:val="clear" w:color="auto" w:fill="FFFFFF"/>
        <w:ind w:firstLine="643" w:firstLineChars="200"/>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2024年度收入总计2539.21万元，支出总计</w:t>
      </w:r>
      <w:r>
        <w:rPr>
          <w:rFonts w:ascii="方正仿宋_GBK" w:hAnsi="方正仿宋_GBK" w:eastAsia="方正仿宋_GBK" w:cs="方正仿宋_GBK"/>
          <w:sz w:val="32"/>
          <w:szCs w:val="32"/>
        </w:rPr>
        <w:t>2539.21</w:t>
      </w:r>
      <w:r>
        <w:rPr>
          <w:rFonts w:ascii="方正仿宋_GBK" w:hAnsi="方正仿宋_GBK" w:eastAsia="方正仿宋_GBK" w:cs="方正仿宋_GBK"/>
          <w:sz w:val="32"/>
          <w:szCs w:val="32"/>
          <w:shd w:val="clear" w:color="auto" w:fill="FFFFFF"/>
        </w:rPr>
        <w:t>万元。收、支与2023年度相比，增加700.63万元，增长38.11%，主要原因是机构改革合并，导致本年收入、支出增加。</w:t>
      </w:r>
    </w:p>
    <w:p>
      <w:pPr>
        <w:pStyle w:val="4"/>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2024年度收入合计2539.12万元，与2023年度相比，增加700.94万元，增长38.13%，主要原因是机构改革合并，导致本年收入增加。其中：财政拨款收入</w:t>
      </w:r>
      <w:r>
        <w:rPr>
          <w:rFonts w:ascii="方正仿宋_GBK" w:hAnsi="方正仿宋_GBK" w:eastAsia="方正仿宋_GBK" w:cs="方正仿宋_GBK"/>
          <w:sz w:val="32"/>
          <w:szCs w:val="32"/>
        </w:rPr>
        <w:t>2539.12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0.08</w:t>
      </w:r>
      <w:r>
        <w:rPr>
          <w:rFonts w:ascii="方正仿宋_GBK" w:hAnsi="方正仿宋_GBK" w:eastAsia="方正仿宋_GBK" w:cs="方正仿宋_GBK"/>
          <w:sz w:val="32"/>
          <w:szCs w:val="32"/>
          <w:shd w:val="clear" w:color="auto" w:fill="FFFFFF"/>
        </w:rPr>
        <w:t>万元。</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2539.21</w:t>
      </w:r>
      <w:r>
        <w:rPr>
          <w:rFonts w:ascii="方正仿宋_GBK" w:hAnsi="方正仿宋_GBK" w:eastAsia="方正仿宋_GBK" w:cs="方正仿宋_GBK"/>
          <w:sz w:val="32"/>
          <w:szCs w:val="32"/>
          <w:shd w:val="clear" w:color="auto" w:fill="FFFFFF"/>
        </w:rPr>
        <w:t>万元，与2023年度相比，增加700.63万元，增长38.11%，主要原因是机构改革合并，导致本年费用增加。其中：基本支出</w:t>
      </w:r>
      <w:r>
        <w:rPr>
          <w:rFonts w:ascii="方正仿宋_GBK" w:hAnsi="方正仿宋_GBK" w:eastAsia="方正仿宋_GBK" w:cs="方正仿宋_GBK"/>
          <w:sz w:val="32"/>
          <w:szCs w:val="32"/>
        </w:rPr>
        <w:t>1897.79</w:t>
      </w:r>
      <w:r>
        <w:rPr>
          <w:rFonts w:ascii="方正仿宋_GBK" w:hAnsi="方正仿宋_GBK" w:eastAsia="方正仿宋_GBK" w:cs="方正仿宋_GBK"/>
          <w:sz w:val="32"/>
          <w:szCs w:val="32"/>
          <w:shd w:val="clear" w:color="auto" w:fill="FFFFFF"/>
        </w:rPr>
        <w:t>万元，占74.74%；项目支出</w:t>
      </w:r>
      <w:r>
        <w:rPr>
          <w:rFonts w:ascii="方正仿宋_GBK" w:hAnsi="方正仿宋_GBK" w:eastAsia="方正仿宋_GBK" w:cs="方正仿宋_GBK"/>
          <w:sz w:val="32"/>
          <w:szCs w:val="32"/>
        </w:rPr>
        <w:t>641.42</w:t>
      </w:r>
      <w:r>
        <w:rPr>
          <w:rFonts w:ascii="方正仿宋_GBK" w:hAnsi="方正仿宋_GBK" w:eastAsia="方正仿宋_GBK" w:cs="方正仿宋_GBK"/>
          <w:sz w:val="32"/>
          <w:szCs w:val="32"/>
          <w:shd w:val="clear" w:color="auto" w:fill="FFFFFF"/>
        </w:rPr>
        <w:t>万元，占25.26%；经营支出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万元，与2023年度相比，无增减，主要原因是年末财政收回结存资金，收支平衡。</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2024年度财政拨款收、支总计2539.12万元。与2023年相比，财政拨款收、支总计各增加700.54万元，增长38.10%。主要原因是机构改革合并导致本年收入、支出增加。</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2474.28</w:t>
      </w:r>
      <w:r>
        <w:rPr>
          <w:rFonts w:ascii="方正仿宋_GBK" w:hAnsi="方正仿宋_GBK" w:eastAsia="方正仿宋_GBK" w:cs="方正仿宋_GBK"/>
          <w:sz w:val="32"/>
          <w:szCs w:val="32"/>
          <w:shd w:val="clear" w:color="auto" w:fill="FFFFFF"/>
        </w:rPr>
        <w:t>万元，与2023年度相比，增加736.10万元，增长42.35%。主要原因是机构改革合并导致收入增加。较年初预算数增加845.18万元，增长51.88%。主要原因是一是机构改革合并，二是职工工资晋级晋档，三是调整以前年度养老保险和职业年金等缴费基数，导致预算收入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2474.28</w:t>
      </w:r>
      <w:r>
        <w:rPr>
          <w:rFonts w:ascii="方正仿宋_GBK" w:hAnsi="方正仿宋_GBK" w:eastAsia="方正仿宋_GBK" w:cs="方正仿宋_GBK"/>
          <w:sz w:val="32"/>
          <w:szCs w:val="32"/>
          <w:shd w:val="clear" w:color="auto" w:fill="FFFFFF"/>
        </w:rPr>
        <w:t>万元，与2023年度相比，增加736.10万元，增长42.35%。主要原因是机构改革合并导致支出增加。较年初预算数增加845.18万元，增长51.88%。主要原因是一是机构改革合并，二是职工工资晋级晋档，三是调整以前年度养老保险和职业年金等缴费基数，导致费用增加。</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7"/>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万元，与2023年度相比，无增减，主要原因是年末财政收回结存资金，收支平衡。</w:t>
      </w:r>
    </w:p>
    <w:p>
      <w:pPr>
        <w:pStyle w:val="4"/>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7"/>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3.75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0.15</w:t>
      </w:r>
      <w:r>
        <w:rPr>
          <w:rFonts w:ascii="方正仿宋_GBK" w:hAnsi="方正仿宋_GBK" w:eastAsia="方正仿宋_GBK" w:cs="方正仿宋_GBK"/>
          <w:sz w:val="32"/>
          <w:szCs w:val="32"/>
          <w:shd w:val="clear" w:color="auto" w:fill="FFFFFF"/>
        </w:rPr>
        <w:t>%，较年初预算数增加1.95万元，增长108.33%，主要原因是机构改革合并导致费用增加。</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237.73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9.61</w:t>
      </w:r>
      <w:r>
        <w:rPr>
          <w:rFonts w:ascii="方正仿宋_GBK" w:hAnsi="方正仿宋_GBK" w:eastAsia="方正仿宋_GBK" w:cs="方正仿宋_GBK"/>
          <w:sz w:val="32"/>
          <w:szCs w:val="32"/>
          <w:shd w:val="clear" w:color="auto" w:fill="FFFFFF"/>
        </w:rPr>
        <w:t>%，较年初预算数增加137.15万元，增长136.36%，主要原因是一是机构改革合并，二是职工工资晋级晋档，三是调整以前年度养老保险和职业年金缴费基数。</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71.14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2.88</w:t>
      </w:r>
      <w:r>
        <w:rPr>
          <w:rFonts w:ascii="方正仿宋_GBK" w:hAnsi="方正仿宋_GBK" w:eastAsia="方正仿宋_GBK" w:cs="方正仿宋_GBK"/>
          <w:sz w:val="32"/>
          <w:szCs w:val="32"/>
          <w:shd w:val="clear" w:color="auto" w:fill="FFFFFF"/>
        </w:rPr>
        <w:t>%，较年初预算数增加36.38万元，增长104.66%，主要原因是一是机构改革合并，二是职工工资晋级晋档，三是调整以前年度养老保险和职业年金缴费基数。</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（4）城乡社区支出</w:t>
      </w:r>
      <w:r>
        <w:rPr>
          <w:rFonts w:ascii="方正仿宋_GBK" w:hAnsi="方正仿宋_GBK" w:eastAsia="方正仿宋_GBK" w:cs="方正仿宋_GBK"/>
          <w:sz w:val="32"/>
          <w:szCs w:val="32"/>
        </w:rPr>
        <w:t>1590.14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64.27</w:t>
      </w:r>
      <w:r>
        <w:rPr>
          <w:rFonts w:ascii="方正仿宋_GBK" w:hAnsi="方正仿宋_GBK" w:eastAsia="方正仿宋_GBK" w:cs="方正仿宋_GBK"/>
          <w:sz w:val="32"/>
          <w:szCs w:val="32"/>
          <w:shd w:val="clear" w:color="auto" w:fill="FFFFFF"/>
        </w:rPr>
        <w:t>%，较年初预算数增加145.83万元，增长10.10%，主要原因是一是机构改革合并，二是职工工资晋级晋档，三是调整以前年度养老保险和职业年金缴费基数。</w:t>
      </w:r>
    </w:p>
    <w:p>
      <w:pPr>
        <w:pStyle w:val="4"/>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自然资源海洋气象等支出475.00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19.20</w:t>
      </w:r>
      <w:r>
        <w:rPr>
          <w:rFonts w:ascii="方正仿宋_GBK" w:hAnsi="方正仿宋_GBK" w:eastAsia="方正仿宋_GBK" w:cs="方正仿宋_GBK"/>
          <w:sz w:val="32"/>
          <w:szCs w:val="32"/>
          <w:shd w:val="clear" w:color="auto" w:fill="FFFFFF"/>
        </w:rPr>
        <w:t>%，较年初预算数增加475.00万元，增长100.00%，主要原因是机构改革合并导致费用增加。</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rPr>
        <w:t>住房保障支出96.52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3.90</w:t>
      </w:r>
      <w:r>
        <w:rPr>
          <w:rFonts w:ascii="方正仿宋_GBK" w:hAnsi="方正仿宋_GBK" w:eastAsia="方正仿宋_GBK" w:cs="方正仿宋_GBK"/>
          <w:sz w:val="32"/>
          <w:szCs w:val="32"/>
          <w:shd w:val="clear" w:color="auto" w:fill="FFFFFF"/>
        </w:rPr>
        <w:t>%，较年初预算数增加48.87万元，增长102.56%，主要原因是一是机构改革合并，二是职工工资晋级晋档，三是调整以前年度养老保险和职业年金缴费基数。</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1897.70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1646.88</w:t>
      </w:r>
      <w:r>
        <w:rPr>
          <w:rFonts w:ascii="方正仿宋_GBK" w:hAnsi="方正仿宋_GBK" w:eastAsia="方正仿宋_GBK" w:cs="方正仿宋_GBK"/>
          <w:sz w:val="32"/>
          <w:szCs w:val="32"/>
          <w:shd w:val="clear" w:color="auto" w:fill="FFFFFF"/>
        </w:rPr>
        <w:t>万元，与2023年度相比，增加1031.43万元，增长167.59%，主要原因是一是机构改革合并，二是职工工资晋级晋档，三是调整以前年度养老保险和职业年金缴费基数。人员经费用途主要包括人员工资、津贴补贴、奖金、社保、住房公积金等费用。公用经费</w:t>
      </w:r>
      <w:r>
        <w:rPr>
          <w:rFonts w:ascii="方正仿宋_GBK" w:hAnsi="方正仿宋_GBK" w:eastAsia="方正仿宋_GBK" w:cs="方正仿宋_GBK"/>
          <w:sz w:val="32"/>
          <w:szCs w:val="32"/>
        </w:rPr>
        <w:t>250.82</w:t>
      </w:r>
      <w:r>
        <w:rPr>
          <w:rFonts w:ascii="方正仿宋_GBK" w:hAnsi="方正仿宋_GBK" w:eastAsia="方正仿宋_GBK" w:cs="方正仿宋_GBK"/>
          <w:sz w:val="32"/>
          <w:szCs w:val="32"/>
          <w:shd w:val="clear" w:color="auto" w:fill="FFFFFF"/>
        </w:rPr>
        <w:t>万元，与2023年度相比，减少249.38万元，下降49.86%，主要原因是本年度厉行节约，日常公用经费减少。公用经费用途主要包括办公费、邮电费、差旅费、劳务费、委托业务费、公务用车运行维护费等费用。</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64.84</w:t>
      </w:r>
      <w:r>
        <w:rPr>
          <w:rFonts w:ascii="方正仿宋_GBK" w:hAnsi="方正仿宋_GBK" w:eastAsia="方正仿宋_GBK" w:cs="方正仿宋_GBK"/>
          <w:sz w:val="32"/>
          <w:szCs w:val="32"/>
          <w:shd w:val="clear" w:color="auto" w:fill="FFFFFF"/>
        </w:rPr>
        <w:t>万元，与2023年度相比，减少35.16万元，下降35.16%，主要原因是本年度维护市场秩序、市容秩序综合整治等项目经费减少。本年支出</w:t>
      </w:r>
      <w:r>
        <w:rPr>
          <w:rFonts w:ascii="方正仿宋_GBK" w:hAnsi="方正仿宋_GBK" w:eastAsia="方正仿宋_GBK" w:cs="方正仿宋_GBK"/>
          <w:sz w:val="32"/>
          <w:szCs w:val="32"/>
        </w:rPr>
        <w:t>64.84</w:t>
      </w:r>
      <w:r>
        <w:rPr>
          <w:rFonts w:ascii="方正仿宋_GBK" w:hAnsi="方正仿宋_GBK" w:eastAsia="方正仿宋_GBK" w:cs="方正仿宋_GBK"/>
          <w:sz w:val="32"/>
          <w:szCs w:val="32"/>
          <w:shd w:val="clear" w:color="auto" w:fill="FFFFFF"/>
        </w:rPr>
        <w:t>万元，与2023年度相比，减少35.56万元，下降35.42%，主要原因是本年度维护市场秩序、市容秩序综合整治等费用减少。</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4"/>
        <w:shd w:val="clear" w:color="auto" w:fill="FFFFFF"/>
        <w:spacing w:before="0" w:beforeAutospacing="0" w:after="0" w:afterAutospacing="0" w:line="596" w:lineRule="exact"/>
        <w:ind w:firstLine="643" w:firstLineChars="200"/>
        <w:rPr>
          <w:rStyle w:val="7"/>
          <w:rFonts w:hint="default" w:ascii="黑体" w:hAnsi="黑体" w:eastAsia="黑体" w:cs="黑体"/>
          <w:sz w:val="32"/>
          <w:szCs w:val="32"/>
          <w:shd w:val="clear" w:color="auto" w:fill="FFFFFF"/>
        </w:rPr>
      </w:pPr>
      <w:r>
        <w:rPr>
          <w:rStyle w:val="7"/>
          <w:rFonts w:ascii="黑体" w:hAnsi="黑体" w:eastAsia="黑体" w:cs="黑体"/>
          <w:sz w:val="32"/>
          <w:szCs w:val="32"/>
          <w:shd w:val="clear" w:color="auto" w:fill="FFFFFF"/>
        </w:rPr>
        <w:t>三、财政拨款“三公”经费情况说明</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26.20</w:t>
      </w:r>
      <w:r>
        <w:rPr>
          <w:rFonts w:ascii="方正仿宋_GBK" w:hAnsi="方正仿宋_GBK" w:eastAsia="方正仿宋_GBK" w:cs="方正仿宋_GBK"/>
          <w:sz w:val="32"/>
          <w:szCs w:val="32"/>
          <w:shd w:val="clear" w:color="auto" w:fill="FFFFFF"/>
        </w:rPr>
        <w:t>万元，较年初预算数无增减，主要原因是厉行节约，加强管理，从严控制“三公”经费</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较上年支出数增加15.20万元，增长138.18%，主要原因是机构改革合并导致费用增加。</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因公出国（境）费用。费用支出较年初预算数无增减，主要原因是年初预算数未安排因公出国（境）费用，本年也未发生因公出国（境）费用。较上年支出数无增减，主要原因是上年和本年均未发生因公出国（境）费用。</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公务车购置费用。费用支出较年初预算数无增减，主要原因是年初预算数未安排公务车购置费用且本年也未发生公务车购置费用。较上年支出数无增减，主要原因是上年和本年均未发生公务车购置费用。</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20.00</w:t>
      </w:r>
      <w:r>
        <w:rPr>
          <w:rFonts w:ascii="方正仿宋_GBK" w:hAnsi="方正仿宋_GBK" w:eastAsia="方正仿宋_GBK" w:cs="方正仿宋_GBK"/>
          <w:sz w:val="32"/>
          <w:szCs w:val="32"/>
          <w:shd w:val="clear" w:color="auto" w:fill="FFFFFF"/>
        </w:rPr>
        <w:t>万元，主要用于业务检查等工作所需车辆的燃料费、维修费、过桥过路费、保险等费用。费用支出较年初预算数无增减，主要原因是严格落实公务用车管理，厉行节约。较上年支出数增加16.00万元，增长400.00%，主要原因是机构改革合并，公务车辆增加，导致费用增加。</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6.20</w:t>
      </w:r>
      <w:r>
        <w:rPr>
          <w:rFonts w:ascii="方正仿宋_GBK" w:hAnsi="方正仿宋_GBK" w:eastAsia="方正仿宋_GBK" w:cs="方正仿宋_GBK"/>
          <w:sz w:val="32"/>
          <w:szCs w:val="32"/>
          <w:shd w:val="clear" w:color="auto" w:fill="FFFFFF"/>
        </w:rPr>
        <w:t>万元，主要用于接待接待考察学习调研工作，接受相关部门检查指导工作所发生的公务接待支出。费用支出较年初预算数无增减，主要原因是我单位厉行节约，严格控制公务接待开支。较上年支出数减少0.80万元，下降11.43%，主要原因是我单位厉行节约，严格控制公务接待开支。</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13</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72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689</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89.99</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1.54</w:t>
      </w:r>
      <w:r>
        <w:rPr>
          <w:rFonts w:ascii="方正仿宋_GBK" w:hAnsi="方正仿宋_GBK" w:eastAsia="方正仿宋_GBK" w:cs="方正仿宋_GBK"/>
          <w:sz w:val="32"/>
          <w:szCs w:val="32"/>
          <w:shd w:val="clear" w:color="auto" w:fill="FFFFFF"/>
        </w:rPr>
        <w:t>万元。</w:t>
      </w:r>
    </w:p>
    <w:p>
      <w:pPr>
        <w:pStyle w:val="4"/>
        <w:shd w:val="clear" w:color="auto" w:fill="FFFFFF"/>
        <w:spacing w:before="0" w:beforeAutospacing="0" w:after="0" w:afterAutospacing="0" w:line="596" w:lineRule="exact"/>
        <w:ind w:firstLine="643" w:firstLineChars="200"/>
        <w:rPr>
          <w:rStyle w:val="7"/>
          <w:rFonts w:hint="default" w:ascii="黑体" w:hAnsi="黑体" w:eastAsia="黑体" w:cs="黑体"/>
          <w:sz w:val="32"/>
          <w:szCs w:val="32"/>
          <w:shd w:val="clear" w:color="auto" w:fill="FFFFFF"/>
        </w:rPr>
      </w:pPr>
      <w:r>
        <w:rPr>
          <w:rStyle w:val="7"/>
          <w:rFonts w:ascii="黑体" w:hAnsi="黑体" w:eastAsia="黑体" w:cs="黑体"/>
          <w:sz w:val="32"/>
          <w:szCs w:val="32"/>
          <w:shd w:val="clear" w:color="auto" w:fill="FFFFFF"/>
        </w:rPr>
        <w:t>四、其他需要说明的事项</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万元，与2023年度相比，增加0.10万元，增长100.00%，主要原因是机构改革合并导致费用增加。本年度培训费支出</w:t>
      </w:r>
      <w:r>
        <w:rPr>
          <w:rFonts w:ascii="方正仿宋_GBK" w:hAnsi="方正仿宋_GBK" w:eastAsia="方正仿宋_GBK" w:cs="方正仿宋_GBK"/>
          <w:sz w:val="32"/>
          <w:szCs w:val="32"/>
        </w:rPr>
        <w:t>3.75</w:t>
      </w:r>
      <w:r>
        <w:rPr>
          <w:rFonts w:ascii="方正仿宋_GBK" w:hAnsi="方正仿宋_GBK" w:eastAsia="方正仿宋_GBK" w:cs="方正仿宋_GBK"/>
          <w:sz w:val="32"/>
          <w:szCs w:val="32"/>
          <w:shd w:val="clear" w:color="auto" w:fill="FFFFFF"/>
        </w:rPr>
        <w:t>万元，与2023年度相比，增加2.02万元，增长116.76%，主要原因是机构改革合并导致费用增加。</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250.82</w:t>
      </w:r>
      <w:r>
        <w:rPr>
          <w:rFonts w:ascii="方正仿宋_GBK" w:hAnsi="方正仿宋_GBK" w:eastAsia="方正仿宋_GBK" w:cs="方正仿宋_GBK"/>
          <w:sz w:val="32"/>
          <w:szCs w:val="32"/>
          <w:shd w:val="clear" w:color="auto" w:fill="FFFFFF"/>
        </w:rPr>
        <w:t>万元，机关运行经费主要用于开支办公费、公务车运行维护费、接待费、差旅费、培训费、邮电费、误餐费及购买服务人员工资等。机关运行经费较上年支出数减少249.38万元，下降49.86%，主要原因是机构改革合并导致费用减少。</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8"/>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4"/>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9"/>
        <w:spacing w:before="0" w:beforeAutospacing="0" w:after="0" w:afterAutospacing="0" w:line="596" w:lineRule="exact"/>
        <w:ind w:firstLine="643" w:firstLineChars="200"/>
        <w:rPr>
          <w:rStyle w:val="7"/>
          <w:rFonts w:ascii="黑体" w:hAnsi="黑体" w:eastAsia="黑体" w:cs="黑体"/>
          <w:sz w:val="32"/>
          <w:szCs w:val="32"/>
          <w:shd w:val="clear" w:color="auto" w:fill="FFFFFF"/>
        </w:rPr>
      </w:pPr>
      <w:r>
        <w:rPr>
          <w:rStyle w:val="7"/>
          <w:rFonts w:hint="eastAsia" w:ascii="黑体" w:hAnsi="黑体" w:eastAsia="黑体" w:cs="黑体"/>
          <w:sz w:val="32"/>
          <w:szCs w:val="32"/>
          <w:shd w:val="clear" w:color="auto" w:fill="FFFFFF"/>
        </w:rPr>
        <w:t>五、2024年度预算绩效管理情况说明</w:t>
      </w:r>
    </w:p>
    <w:p>
      <w:pPr>
        <w:pStyle w:val="9"/>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9"/>
        <w:spacing w:before="0" w:beforeAutospacing="0" w:after="0" w:afterAutospacing="0" w:line="596" w:lineRule="exact"/>
        <w:ind w:firstLine="640"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5个项目开展了绩效自评，涉及财政拨款项目支出资金641.42万元。对维护市场秩序、市容秩序综合整治等经费项目开展了绩效评价，涉及财政拨款项目资金49.84万元，评价得分90分，评价等次为优。从评价情况来看，我单位项目专项工作均已完成当年计划，完成了年度绩效目标。所有项目的日常管理工作均按照我单位相关管理制度执行，建立了工作有计划、实施有方案、日常有监督的管理机制，工作取得了较好的成效，效能得到了提高，获得了社会公众的好评。</w:t>
      </w:r>
    </w:p>
    <w:p>
      <w:pPr>
        <w:pStyle w:val="9"/>
        <w:spacing w:before="0" w:beforeAutospacing="0" w:after="0" w:afterAutospacing="0" w:line="596" w:lineRule="exact"/>
        <w:ind w:firstLine="643" w:firstLineChars="200"/>
        <w:rPr>
          <w:rFonts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项目支出绩效自评表</w:t>
      </w:r>
    </w:p>
    <w:p>
      <w:pPr>
        <w:pStyle w:val="9"/>
        <w:spacing w:before="0" w:beforeAutospacing="0" w:after="0" w:afterAutospacing="0"/>
        <w:rPr>
          <w:rFonts w:ascii="方正仿宋_GBK" w:hAnsi="方正仿宋_GBK" w:eastAsia="方正仿宋_GBK" w:cs="方正仿宋_GBK"/>
          <w:b/>
          <w:bCs/>
          <w:sz w:val="32"/>
          <w:szCs w:val="32"/>
          <w:shd w:val="clear" w:color="auto" w:fill="FFFFFF"/>
        </w:rPr>
      </w:pPr>
      <w:r>
        <w:drawing>
          <wp:inline distT="0" distB="0" distL="114300" distR="114300">
            <wp:extent cx="5278755" cy="3823335"/>
            <wp:effectExtent l="0" t="0" r="17145" b="57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278755" cy="3823335"/>
                    </a:xfrm>
                    <a:prstGeom prst="rect">
                      <a:avLst/>
                    </a:prstGeom>
                    <a:noFill/>
                    <a:ln>
                      <a:noFill/>
                    </a:ln>
                  </pic:spPr>
                </pic:pic>
              </a:graphicData>
            </a:graphic>
          </wp:inline>
        </w:drawing>
      </w:r>
      <w:bookmarkStart w:id="0" w:name="_GoBack"/>
      <w:bookmarkEnd w:id="0"/>
    </w:p>
    <w:p>
      <w:pPr>
        <w:pStyle w:val="9"/>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p>
    <w:p>
      <w:pPr>
        <w:pStyle w:val="9"/>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0"/>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我单位未组织开展绩效评价。</w:t>
      </w:r>
    </w:p>
    <w:p>
      <w:pPr>
        <w:pStyle w:val="10"/>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9"/>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9"/>
        <w:autoSpaceDE w:val="0"/>
        <w:spacing w:before="0" w:beforeAutospacing="0" w:after="0" w:afterAutospacing="0" w:line="596" w:lineRule="exact"/>
        <w:rPr>
          <w:rFonts w:ascii="方正仿宋_GBK" w:hAnsi="方正仿宋_GBK" w:eastAsia="方正仿宋_GBK" w:cs="方正仿宋_GBK"/>
          <w:sz w:val="32"/>
          <w:szCs w:val="32"/>
        </w:rPr>
      </w:pPr>
      <w:r>
        <w:rPr>
          <w:rStyle w:val="11"/>
          <w:rFonts w:hint="eastAsia" w:ascii="方正仿宋_GBK" w:hAnsi="方正仿宋_GBK" w:eastAsia="方正仿宋_GBK" w:cs="方正仿宋_GBK"/>
          <w:sz w:val="32"/>
          <w:szCs w:val="32"/>
          <w:shd w:val="clear" w:color="auto" w:fill="FFFFFF"/>
        </w:rPr>
        <w:t xml:space="preserve">   </w:t>
      </w:r>
      <w:r>
        <w:rPr>
          <w:rStyle w:val="7"/>
          <w:rFonts w:hint="eastAsia" w:ascii="黑体" w:hAnsi="黑体" w:eastAsia="黑体" w:cs="黑体"/>
          <w:sz w:val="32"/>
          <w:szCs w:val="32"/>
          <w:shd w:val="clear" w:color="auto" w:fill="FFFFFF"/>
        </w:rPr>
        <w:t xml:space="preserve"> 六、专业名词解释</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7"/>
          <w:rFonts w:hint="eastAsia" w:ascii="黑体" w:hAnsi="黑体" w:eastAsia="黑体" w:cs="黑体"/>
          <w:sz w:val="32"/>
          <w:szCs w:val="32"/>
          <w:shd w:val="clear" w:color="auto" w:fill="FFFFFF"/>
        </w:rPr>
        <w:t>七、决算公开联系方式及信息反馈渠道</w:t>
      </w:r>
    </w:p>
    <w:p>
      <w:pPr>
        <w:pStyle w:val="9"/>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本单位决算公开信息反馈和联系方式：023-74513007</w:t>
      </w:r>
    </w:p>
    <w:p>
      <w:pPr>
        <w:pStyle w:val="8"/>
        <w:autoSpaceDE w:val="0"/>
        <w:spacing w:line="596" w:lineRule="exact"/>
        <w:ind w:firstLine="0" w:firstLineChars="0"/>
        <w:jc w:val="both"/>
        <w:rPr>
          <w:rStyle w:val="11"/>
          <w:rFonts w:ascii="方正仿宋_GBK" w:hAnsi="方正仿宋_GBK" w:eastAsia="方正仿宋_GBK" w:cs="方正仿宋_GBK"/>
          <w:sz w:val="32"/>
          <w:szCs w:val="32"/>
          <w:shd w:val="clear" w:color="auto" w:fill="FFFF00"/>
        </w:rPr>
      </w:pPr>
    </w:p>
    <w:p>
      <w:pPr>
        <w:pStyle w:val="8"/>
        <w:autoSpaceDE w:val="0"/>
        <w:spacing w:line="596" w:lineRule="exact"/>
        <w:ind w:firstLine="643"/>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5"/>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垫江县城市管理综合行政执法支队</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2,474.28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64.84</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237.73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1,654.99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475.08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2,539.12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2,539.21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2,539.21</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2,539.21</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5"/>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垫江县城市管理综合行政执法支队</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2,539.12</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2,539.12</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1,654.99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1,654.99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1,590.14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1,590.14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1,073.13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1,073.13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512.41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512.41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5"/>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垫江县城市管理综合行政执法支队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2,539.21</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1,897.79</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641.42</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223.56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113.82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56.91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71.14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1,654.99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1,073.13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581.86</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1,590.14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1,073.13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517.02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1,073.13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1,073.13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512.41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512.41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49.84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475.08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429.69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475.08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429.69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45.39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429.69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96.52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5"/>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垫江县城市管理综合行政执法支队</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2,474.28</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64.84</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237.73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71.14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71.14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1,654.99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1,590.14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96.52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2,539.12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2,539.12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2,474.28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2,539.12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2,539.12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2,474.28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64.84</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5"/>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垫江县城市管理综合行政执法支队</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2,474.28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1,897.70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576.58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237.73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223.56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223.56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223.56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113.82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113.82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56.91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56.91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71.14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71.14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1,590.14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1,073.13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517.02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1,590.14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1,073.13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517.02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1,073.13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1,073.13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512.41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512.41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429.61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429.61</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45.39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429.61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429.61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96.52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96.52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96.52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5"/>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垫江县城市管理综合行政执法支队</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1,594.05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367.06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113.82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71.14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96.52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52.83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1,646.88</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250.82</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5"/>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垫江县城市管理综合行政执法支队</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64.84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64.84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64.84</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64.84</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49.84</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49.84</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49.84</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49.84</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49.84</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5"/>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垫江县城市管理综合行政执法支队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5"/>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3"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82"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8"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垫江县城市管理综合行政执法支队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82"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rPr>
          <w:trHeight w:val="28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250.82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26.20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250.82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05"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20.00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6.20</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6.20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05"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05"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689</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05"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29.48</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YmM2ODg1ZmRkYThmM2ZlYjc1YjQ5MmNiNzdhOTAifQ=="/>
  </w:docVars>
  <w:rsids>
    <w:rsidRoot w:val="18DD0F48"/>
    <w:rsid w:val="18DD0F48"/>
    <w:rsid w:val="22A15F9F"/>
    <w:rsid w:val="24702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0">
    <w:name w:val="列出段落3"/>
    <w:basedOn w:val="1"/>
    <w:qFormat/>
    <w:uiPriority w:val="99"/>
    <w:pPr>
      <w:ind w:firstLine="420" w:firstLineChars="200"/>
    </w:pPr>
  </w:style>
  <w:style w:type="character" w:customStyle="1" w:styleId="11">
    <w:name w:val="21"/>
    <w:basedOn w:val="6"/>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10384</Words>
  <Characters>14256</Characters>
  <Lines>0</Lines>
  <Paragraphs>0</Paragraphs>
  <TotalTime>12</TotalTime>
  <ScaleCrop>false</ScaleCrop>
  <LinksUpToDate>false</LinksUpToDate>
  <CharactersWithSpaces>15557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2025-09-24T07:46:00Z</dcterms:created>
  <dc:creator>WPS_1664260647</dc:creator>
  <cp:lastModifiedBy>无汐流沙</cp:lastModifiedBy>
  <dcterms:modified xsi:type="dcterms:W3CDTF">2025-12-18T02:58:15Z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61825E8BB2B34D769FB513A03212C125_11</vt:lpwstr>
  </property>
</Properties>
</file>