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垫江县白家镇人民政府（本级）</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autoSpaceDE w:val="0"/>
        <w:snapToGrid w:val="0"/>
        <w:spacing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育税源，管好财政资金，增强财政实力；抓好精神文明建设，丰富群众文化生活，提倡移风易俗，反对封建迷信，破除陈规陋习，树立社会主义新风尚；完成上级交办的其他事项。</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hd w:val="clear" w:color="auto" w:fill="FFFFFF"/>
        <w:snapToGrid w:val="0"/>
        <w:spacing w:before="100" w:beforeAutospacing="1" w:after="100" w:afterAutospacing="1"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按照优化协同高效的原则，共计设置行政办公室 10个，分别是：党政办公室、党群工作办公室、人大办公室、经济发展办公室、财政办公室、民政和社会事务办公室、平安建设办公室、规划建设管理环保办公室、应急管理办公室、综合行政执法办公室。</w:t>
      </w:r>
    </w:p>
    <w:p>
      <w:pPr>
        <w:autoSpaceDE w:val="0"/>
        <w:snapToGrid w:val="0"/>
        <w:spacing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从预算单位构成看，纳入本单位2023年度决算编制的有1个二级预算单位，即垫江县白家镇人民政府（本级）。</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2023年度收入总计2026.83万元，支出总计</w:t>
      </w:r>
      <w:r>
        <w:rPr>
          <w:rFonts w:ascii="方正仿宋_GBK" w:hAnsi="方正仿宋_GBK" w:eastAsia="方正仿宋_GBK" w:cs="方正仿宋_GBK"/>
          <w:sz w:val="32"/>
          <w:szCs w:val="32"/>
        </w:rPr>
        <w:t>2026.83</w:t>
      </w:r>
      <w:r>
        <w:rPr>
          <w:rFonts w:ascii="方正仿宋_GBK" w:hAnsi="方正仿宋_GBK" w:eastAsia="方正仿宋_GBK" w:cs="方正仿宋_GBK"/>
          <w:sz w:val="32"/>
          <w:szCs w:val="32"/>
          <w:shd w:val="clear" w:color="auto" w:fill="FFFFFF"/>
        </w:rPr>
        <w:t>万元。收支较上年决算数减少1025.45万元，下降33.60%，主要原因是机构账套分设，事业站所室财务数据单独计算，不再计入政府本级中。</w:t>
      </w:r>
    </w:p>
    <w:p>
      <w:pPr>
        <w:pStyle w:val="6"/>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2023年度收入合计1963.92万元，较上年决算数减少483.77万元，下降19.76%，主要原因是机构账套分设，事业站所室财务数据单独计算，不再计入政府本级中。其中：财政拨款收入</w:t>
      </w:r>
      <w:r>
        <w:rPr>
          <w:rFonts w:ascii="方正仿宋_GBK" w:hAnsi="方正仿宋_GBK" w:eastAsia="方正仿宋_GBK" w:cs="方正仿宋_GBK"/>
          <w:sz w:val="32"/>
          <w:szCs w:val="32"/>
        </w:rPr>
        <w:t>1963.92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62.91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2026.83</w:t>
      </w:r>
      <w:r>
        <w:rPr>
          <w:rFonts w:ascii="方正仿宋_GBK" w:hAnsi="方正仿宋_GBK" w:eastAsia="方正仿宋_GBK" w:cs="方正仿宋_GBK"/>
          <w:sz w:val="32"/>
          <w:szCs w:val="32"/>
          <w:shd w:val="clear" w:color="auto" w:fill="FFFFFF"/>
        </w:rPr>
        <w:t>万元，较上年决算数减少1025.45万元，下降33.60%，主要原因是机构账套分设，事业站所室财务数据单独计算，不再计入政府本级中。其中：基本支出</w:t>
      </w:r>
      <w:r>
        <w:rPr>
          <w:rFonts w:ascii="方正仿宋_GBK" w:hAnsi="方正仿宋_GBK" w:eastAsia="方正仿宋_GBK" w:cs="方正仿宋_GBK"/>
          <w:sz w:val="32"/>
          <w:szCs w:val="32"/>
        </w:rPr>
        <w:t>1015.22</w:t>
      </w:r>
      <w:r>
        <w:rPr>
          <w:rFonts w:ascii="方正仿宋_GBK" w:hAnsi="方正仿宋_GBK" w:eastAsia="方正仿宋_GBK" w:cs="方正仿宋_GBK"/>
          <w:sz w:val="32"/>
          <w:szCs w:val="32"/>
          <w:shd w:val="clear" w:color="auto" w:fill="FFFFFF"/>
        </w:rPr>
        <w:t>万元，占50.09%；项目支出</w:t>
      </w:r>
      <w:r>
        <w:rPr>
          <w:rFonts w:ascii="方正仿宋_GBK" w:hAnsi="方正仿宋_GBK" w:eastAsia="方正仿宋_GBK" w:cs="方正仿宋_GBK"/>
          <w:sz w:val="32"/>
          <w:szCs w:val="32"/>
        </w:rPr>
        <w:t>1011.61</w:t>
      </w:r>
      <w:r>
        <w:rPr>
          <w:rFonts w:ascii="方正仿宋_GBK" w:hAnsi="方正仿宋_GBK" w:eastAsia="方正仿宋_GBK" w:cs="方正仿宋_GBK"/>
          <w:sz w:val="32"/>
          <w:szCs w:val="32"/>
          <w:shd w:val="clear" w:color="auto" w:fill="FFFFFF"/>
        </w:rPr>
        <w:t>万元，占49.91%；经营支出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万元，较上年决算数无增减，主要原因是2023年度与2022年度均无未支付款项，结转结余均为0万元。</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2023年度财政拨款收、支总计2026.83万元。与2022年相比，财政拨款收、支总计各减少1025.45万元，下降33.60%。主要原因是机构账套分设，事业站所室财务数据单独计算，不再计入政府本级中。</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（三）一般公共预算财政拨款收入支出决算情况说明</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1934.84</w:t>
      </w:r>
      <w:r>
        <w:rPr>
          <w:rFonts w:ascii="方正仿宋_GBK" w:hAnsi="方正仿宋_GBK" w:eastAsia="方正仿宋_GBK" w:cs="方正仿宋_GBK"/>
          <w:sz w:val="32"/>
          <w:szCs w:val="32"/>
          <w:shd w:val="clear" w:color="auto" w:fill="FFFFFF"/>
        </w:rPr>
        <w:t>万元，较上年决算数减少491.41万元，下降20.25%。主要原因是</w:t>
      </w:r>
      <w:bookmarkStart w:id="0" w:name="_GoBack"/>
      <w:bookmarkEnd w:id="0"/>
      <w:r>
        <w:rPr>
          <w:rFonts w:ascii="方正仿宋_GBK" w:hAnsi="方正仿宋_GBK" w:eastAsia="方正仿宋_GBK" w:cs="方正仿宋_GBK"/>
          <w:sz w:val="32"/>
          <w:szCs w:val="32"/>
          <w:shd w:val="clear" w:color="auto" w:fill="FFFFFF"/>
        </w:rPr>
        <w:t>机构账套分设，事业站所室财务数据单独计算，不再计入政府本级中。较年初预算数增加901.88万元，增长87.31%。主要原因是</w:t>
      </w:r>
      <w:r>
        <w:rPr>
          <w:rFonts w:ascii="方正仿宋_GBK" w:eastAsia="方正仿宋_GBK" w:cs="宋体"/>
          <w:sz w:val="32"/>
          <w:szCs w:val="32"/>
        </w:rPr>
        <w:t>加大三保障、农村基础建设、乡村振兴的投入。</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62.91</w:t>
      </w:r>
      <w:r>
        <w:rPr>
          <w:rFonts w:ascii="方正仿宋_GBK" w:hAnsi="方正仿宋_GBK" w:eastAsia="方正仿宋_GBK" w:cs="方正仿宋_GBK"/>
          <w:sz w:val="32"/>
          <w:szCs w:val="32"/>
          <w:shd w:val="clear" w:color="auto" w:fill="FFFFFF"/>
        </w:rPr>
        <w:t>万元。</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1997.75</w:t>
      </w:r>
      <w:r>
        <w:rPr>
          <w:rFonts w:ascii="方正仿宋_GBK" w:hAnsi="方正仿宋_GBK" w:eastAsia="方正仿宋_GBK" w:cs="方正仿宋_GBK"/>
          <w:sz w:val="32"/>
          <w:szCs w:val="32"/>
          <w:shd w:val="clear" w:color="auto" w:fill="FFFFFF"/>
        </w:rPr>
        <w:t>万元，较上年决算数减少1033.09万元，下降34.09%。主要原因是机构账套分设，事业站所室财务数据单独计算，不再计入政府本级中。较年初预算数增加964.79万元，增长93.40%。主要原因是</w:t>
      </w:r>
      <w:r>
        <w:rPr>
          <w:rFonts w:ascii="方正仿宋_GBK" w:eastAsia="方正仿宋_GBK" w:cs="宋体"/>
          <w:sz w:val="32"/>
          <w:szCs w:val="32"/>
        </w:rPr>
        <w:t>加大三保障、农村基础建设、乡村振兴的投入。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万元，较上年决算数无增减，主要原因是2023年度与2022年度均无未支付款项，结转结余均为0万元。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742.73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37.18</w:t>
      </w:r>
      <w:r>
        <w:rPr>
          <w:rFonts w:ascii="方正仿宋_GBK" w:hAnsi="方正仿宋_GBK" w:eastAsia="方正仿宋_GBK" w:cs="方正仿宋_GBK"/>
          <w:sz w:val="32"/>
          <w:szCs w:val="32"/>
          <w:shd w:val="clear" w:color="auto" w:fill="FFFFFF"/>
        </w:rPr>
        <w:t>%，较年初预算数增加273.72万元，增长58.36%，主要原因是</w:t>
      </w:r>
      <w:r>
        <w:rPr>
          <w:rFonts w:ascii="方正仿宋_GBK" w:eastAsia="方正仿宋_GBK" w:cs="宋体"/>
          <w:sz w:val="32"/>
          <w:szCs w:val="32"/>
        </w:rPr>
        <w:t>行政运行经费增加，对三保障、农村基础建设、乡村振兴的投入增加。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%，较年初预算数增加10.83万元，增长100.00%，主要原因是劝导站工作经费投入增加。</w:t>
      </w:r>
    </w:p>
    <w:p>
      <w:pPr>
        <w:shd w:val="clear" w:color="auto" w:fill="FFFFFF"/>
        <w:snapToGrid w:val="0"/>
        <w:spacing w:before="100" w:beforeAutospacing="1" w:after="100" w:afterAutospacing="1"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3.80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%，较年初预算数增加3.80万元，增长100.00%，主要原因是</w:t>
      </w:r>
      <w:r>
        <w:rPr>
          <w:rFonts w:ascii="方正仿宋_GBK" w:eastAsia="方正仿宋_GBK" w:cs="宋体"/>
          <w:sz w:val="32"/>
          <w:szCs w:val="32"/>
        </w:rPr>
        <w:t>开展文化体育活动增多。</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237.11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11.87</w:t>
      </w:r>
      <w:r>
        <w:rPr>
          <w:rFonts w:ascii="方正仿宋_GBK" w:hAnsi="方正仿宋_GBK" w:eastAsia="方正仿宋_GBK" w:cs="方正仿宋_GBK"/>
          <w:sz w:val="32"/>
          <w:szCs w:val="32"/>
          <w:shd w:val="clear" w:color="auto" w:fill="FFFFFF"/>
        </w:rPr>
        <w:t>%，较年初预算数增加102.47万元，增长76.11%，主要原因是</w:t>
      </w:r>
      <w:r>
        <w:rPr>
          <w:rFonts w:ascii="方正仿宋_GBK" w:eastAsia="方正仿宋_GBK" w:cs="宋体"/>
          <w:sz w:val="32"/>
          <w:szCs w:val="32"/>
        </w:rPr>
        <w:t>人员变动，社保缴存数额增加。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30.94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%，较年初预算数增加15.90万元，增长105.72%，主要原因是</w:t>
      </w:r>
      <w:r>
        <w:rPr>
          <w:rFonts w:ascii="方正仿宋_GBK" w:eastAsia="方正仿宋_GBK" w:cs="宋体"/>
          <w:sz w:val="32"/>
          <w:szCs w:val="32"/>
        </w:rPr>
        <w:t>人员变动，医疗保险缴存数额增加。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（6）农林水支出</w:t>
      </w:r>
      <w:r>
        <w:rPr>
          <w:rFonts w:ascii="方正仿宋_GBK" w:hAnsi="方正仿宋_GBK" w:eastAsia="方正仿宋_GBK" w:cs="方正仿宋_GBK"/>
          <w:sz w:val="32"/>
          <w:szCs w:val="32"/>
        </w:rPr>
        <w:t>665.20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33.30</w:t>
      </w:r>
      <w:r>
        <w:rPr>
          <w:rFonts w:ascii="方正仿宋_GBK" w:hAnsi="方正仿宋_GBK" w:eastAsia="方正仿宋_GBK" w:cs="方正仿宋_GBK"/>
          <w:sz w:val="32"/>
          <w:szCs w:val="32"/>
          <w:shd w:val="clear" w:color="auto" w:fill="FFFFFF"/>
        </w:rPr>
        <w:t>%，较年初预算数增加281.44万元，增长73.34%，主要原因是社区人员社保金额增加，一事一议项目资金增加。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（7）交通运输支出</w:t>
      </w:r>
      <w:r>
        <w:rPr>
          <w:rFonts w:ascii="方正仿宋_GBK" w:hAnsi="方正仿宋_GBK" w:eastAsia="方正仿宋_GBK" w:cs="方正仿宋_GBK"/>
          <w:sz w:val="32"/>
          <w:szCs w:val="32"/>
        </w:rPr>
        <w:t>162.14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8.12</w:t>
      </w:r>
      <w:r>
        <w:rPr>
          <w:rFonts w:ascii="方正仿宋_GBK" w:hAnsi="方正仿宋_GBK" w:eastAsia="方正仿宋_GBK" w:cs="方正仿宋_GBK"/>
          <w:sz w:val="32"/>
          <w:szCs w:val="32"/>
          <w:shd w:val="clear" w:color="auto" w:fill="FFFFFF"/>
        </w:rPr>
        <w:t>%，较年初预算数增加162.14万元，增长100.00%，主要原因是公路工程费用增加。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（8）资源勘探信息等支出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%，较年初预算数增加3.00万元，增长100.00%，主要原因是榨菜废水处理补贴费用增加。</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rPr>
        <w:t>住房保障支出81.69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4.09</w:t>
      </w:r>
      <w:r>
        <w:rPr>
          <w:rFonts w:ascii="方正仿宋_GBK" w:hAnsi="方正仿宋_GBK" w:eastAsia="方正仿宋_GBK" w:cs="方正仿宋_GBK"/>
          <w:sz w:val="32"/>
          <w:szCs w:val="32"/>
          <w:shd w:val="clear" w:color="auto" w:fill="FFFFFF"/>
        </w:rPr>
        <w:t>%，较年初预算数增加51.17万元，增长167.66%，主要原因是人员变动，公积金缴纳增加，对农村低收入群体危房改造补助资金投入增加。</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灾害防治及应急管理支出60.30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%，较年初预算数增加60.30万元，增长100.00%，主要原因是对自然灾害治理与防治的投入增加。</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adjustRightInd w:val="0"/>
        <w:snapToGrid w:val="0"/>
        <w:spacing w:line="600" w:lineRule="exact"/>
        <w:ind w:firstLine="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1015.22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902.80</w:t>
      </w:r>
      <w:r>
        <w:rPr>
          <w:rFonts w:ascii="方正仿宋_GBK" w:hAnsi="方正仿宋_GBK" w:eastAsia="方正仿宋_GBK" w:cs="方正仿宋_GBK"/>
          <w:sz w:val="32"/>
          <w:szCs w:val="32"/>
          <w:shd w:val="clear" w:color="auto" w:fill="FFFFFF"/>
        </w:rPr>
        <w:t>万元，较上年决算数减少83.92万元，下降8.50%，主要原因是机构账套分设，事业人员未计入本级核算。人员经费用途主要包括</w:t>
      </w:r>
      <w:r>
        <w:rPr>
          <w:rFonts w:ascii="方正仿宋_GBK" w:eastAsia="方正仿宋_GBK" w:cs="宋体"/>
          <w:sz w:val="32"/>
          <w:szCs w:val="32"/>
        </w:rPr>
        <w:t>基本工资、津贴补贴、绩效工资、奖金、社会保障缴费、其他工资福利支出、退休费、医疗费等。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112.42</w:t>
      </w:r>
      <w:r>
        <w:rPr>
          <w:rFonts w:ascii="方正仿宋_GBK" w:hAnsi="方正仿宋_GBK" w:eastAsia="方正仿宋_GBK" w:cs="方正仿宋_GBK"/>
          <w:sz w:val="32"/>
          <w:szCs w:val="32"/>
          <w:shd w:val="clear" w:color="auto" w:fill="FFFFFF"/>
        </w:rPr>
        <w:t>万元，较上年决算数减少121.27万元，下降51.89%，主要原因是机构账套分设，事业站所室公用经费单独计算，未纳入本级核算。公用经费用途主要包括</w:t>
      </w:r>
      <w:r>
        <w:rPr>
          <w:rFonts w:ascii="方正仿宋_GBK" w:eastAsia="方正仿宋_GBK" w:cs="宋体"/>
          <w:sz w:val="32"/>
          <w:szCs w:val="32"/>
        </w:rPr>
        <w:t>办公费、印刷费、咨询费、手续费、水电费、邮电费、差旅费、公务接待费、劳务费、公务用车运行维护费等。</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29.08</w:t>
      </w:r>
      <w:r>
        <w:rPr>
          <w:rFonts w:ascii="方正仿宋_GBK" w:hAnsi="方正仿宋_GBK" w:eastAsia="方正仿宋_GBK" w:cs="方正仿宋_GBK"/>
          <w:sz w:val="32"/>
          <w:szCs w:val="32"/>
          <w:shd w:val="clear" w:color="auto" w:fill="FFFFFF"/>
        </w:rPr>
        <w:t>万元，较上年决算数增加7.64万元，增长35.63%，主要原因是地质灾害搬迁及养老服务站建设投入增加，本年支出</w:t>
      </w:r>
      <w:r>
        <w:rPr>
          <w:rFonts w:ascii="方正仿宋_GBK" w:hAnsi="方正仿宋_GBK" w:eastAsia="方正仿宋_GBK" w:cs="方正仿宋_GBK"/>
          <w:sz w:val="32"/>
          <w:szCs w:val="32"/>
        </w:rPr>
        <w:t>29.08</w:t>
      </w:r>
      <w:r>
        <w:rPr>
          <w:rFonts w:ascii="方正仿宋_GBK" w:hAnsi="方正仿宋_GBK" w:eastAsia="方正仿宋_GBK" w:cs="方正仿宋_GBK"/>
          <w:sz w:val="32"/>
          <w:szCs w:val="32"/>
          <w:shd w:val="clear" w:color="auto" w:fill="FFFFFF"/>
        </w:rPr>
        <w:t>万元，较上年决算数增加7.64万元，增长35.63%，主要原因是地质灾害搬迁及养老服务站建设投入增加。</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本单位2023年度无国有资本经营预算财政拨款支出。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万元，较年初预算数增加5.20万元，增长185.71%，主要原因是公务车维修费用增加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较上年支出数减少5.79万元，下降41.99%，主要原因</w:t>
      </w:r>
      <w:r>
        <w:rPr>
          <w:rFonts w:ascii="方正仿宋_GBK" w:eastAsia="方正仿宋_GBK" w:cs="宋体"/>
          <w:sz w:val="32"/>
          <w:szCs w:val="32"/>
        </w:rPr>
        <w:t>一</w:t>
      </w:r>
      <w:r>
        <w:rPr>
          <w:rFonts w:ascii="方正仿宋_GBK" w:eastAsia="方正仿宋_GBK" w:cs="宋体"/>
          <w:sz w:val="32"/>
          <w:szCs w:val="32"/>
          <w:shd w:val="clear" w:color="auto" w:fill="FFFFFF"/>
        </w:rPr>
        <w:t>是认真贯彻落实中央八项规定精神，按照只减不增的要求从严控制“三公”经费，全年实际支出较决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因公出国（境）费用0.00万元。费用支出较年初预算数无增减，主要原因是年初预算数未安排且本年未发生因公出国（境）费用。较上年支出数无增减，主要原因是上年和本年均未发生因公出国（境）费用。</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utoSpaceDE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6.12万元，主要用于文件交换、市内因公出行、财政业务检查等工作所需车辆的燃料费、维修费、过桥过路费。费用支出较年初预算数增加5.12万元，增长512.00%，主要原因是用于公务车日常公车使用、维修、维护。较上年支出数减少2.06万元，下降25.18%，主要原因是严格落实公车使用规定，减少支出。</w:t>
      </w:r>
    </w:p>
    <w:p>
      <w:pPr>
        <w:shd w:val="clear" w:color="auto" w:fill="FFFFFF"/>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公务接待费1.88万元，主要用于</w:t>
      </w:r>
      <w:r>
        <w:rPr>
          <w:rFonts w:ascii="方正仿宋_GBK" w:eastAsia="方正仿宋_GBK" w:cs="宋体"/>
          <w:sz w:val="32"/>
          <w:szCs w:val="32"/>
        </w:rPr>
        <w:t>接待接受上级部门检查指导工作、接待各级考察团队、招商企业发生的接待支出</w:t>
      </w:r>
      <w:r>
        <w:rPr>
          <w:rFonts w:ascii="方正仿宋_GBK" w:hAnsi="方正仿宋_GBK" w:eastAsia="方正仿宋_GBK" w:cs="方正仿宋_GBK"/>
          <w:sz w:val="32"/>
          <w:szCs w:val="32"/>
          <w:shd w:val="clear" w:color="auto" w:fill="FFFFFF"/>
        </w:rPr>
        <w:t>。费用支出较年初预算数增加0.08万元，增长4.44%，主要原因是接待上级检查、招商引资及考察团队的费用增加。较上年支出数减少3.73万元，下降66.49%，主要原因是</w:t>
      </w:r>
      <w:r>
        <w:rPr>
          <w:rFonts w:ascii="方正仿宋_GBK" w:eastAsia="方正仿宋_GBK" w:cs="宋体"/>
          <w:sz w:val="32"/>
          <w:szCs w:val="32"/>
        </w:rPr>
        <w:t>认真贯彻落实中央八项规定精神，强化公务接待支出管理，严格遵守公务接待开支范围和开支标准。</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428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43.85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3.06</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万元，较上年决算数减少0.83万元，下降100.00%，主要原因是新一届县、镇人大代表选举会支出费用2023年内为形成支付，于2024年支付。本年度培训费支出</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万元，较上年决算数增加1.20万元，增长1200.00%，主要原因是新一届县、镇人大代表选举培训费用增加。</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112.42</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办公费、印刷费、水费、电费、邮电费、差旅费、租赁费、会议费、培训费、公务接待费、委托业务费、工会经费等。</w:t>
      </w:r>
      <w:r>
        <w:rPr>
          <w:rFonts w:ascii="方正仿宋_GBK" w:hAnsi="方正仿宋_GBK" w:eastAsia="方正仿宋_GBK" w:cs="方正仿宋_GBK"/>
          <w:sz w:val="32"/>
          <w:szCs w:val="32"/>
          <w:shd w:val="clear" w:color="auto" w:fill="FFFFFF"/>
        </w:rPr>
        <w:t>机关运行经费较上年支出数减少87.16万元，下降43.67%，主要原因是机构账套分设，站所室机构运行经费单独计算，未纳入本级核算。</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截至2023年12月31日，本单位共有车辆2辆，其中，副部（省）级及以上领导用车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根据预算绩效管理要求，我单位对62个二级项目开展了绩效自评，涉及财政拨款项目支出资金1011.59万元。</w:t>
      </w:r>
    </w:p>
    <w:tbl>
      <w:tblPr>
        <w:tblStyle w:val="7"/>
        <w:tblW w:w="8910" w:type="dxa"/>
        <w:tblInd w:w="93" w:type="dxa"/>
        <w:tblLayout w:type="autofit"/>
        <w:tblCellMar>
          <w:top w:w="0" w:type="dxa"/>
          <w:left w:w="108" w:type="dxa"/>
          <w:bottom w:w="0" w:type="dxa"/>
          <w:right w:w="108" w:type="dxa"/>
        </w:tblCellMar>
      </w:tblPr>
      <w:tblGrid>
        <w:gridCol w:w="618"/>
        <w:gridCol w:w="656"/>
        <w:gridCol w:w="656"/>
        <w:gridCol w:w="1009"/>
        <w:gridCol w:w="1048"/>
        <w:gridCol w:w="1504"/>
        <w:gridCol w:w="785"/>
        <w:gridCol w:w="1009"/>
        <w:gridCol w:w="655"/>
        <w:gridCol w:w="663"/>
        <w:gridCol w:w="1010"/>
      </w:tblGrid>
      <w:tr>
        <w:tblPrEx>
          <w:tblCellMar>
            <w:top w:w="0" w:type="dxa"/>
            <w:left w:w="108" w:type="dxa"/>
            <w:bottom w:w="0" w:type="dxa"/>
            <w:right w:w="108" w:type="dxa"/>
          </w:tblCellMar>
        </w:tblPrEx>
        <w:trPr>
          <w:trHeight w:val="800" w:hRule="atLeast"/>
        </w:trPr>
        <w:tc>
          <w:tcPr>
            <w:tcW w:w="89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2023年度二级项目绩效自评表</w:t>
            </w:r>
          </w:p>
        </w:tc>
      </w:tr>
      <w:tr>
        <w:tblPrEx>
          <w:tblCellMar>
            <w:top w:w="0" w:type="dxa"/>
            <w:left w:w="108" w:type="dxa"/>
            <w:bottom w:w="0" w:type="dxa"/>
            <w:right w:w="108" w:type="dxa"/>
          </w:tblCellMar>
        </w:tblPrEx>
        <w:trPr>
          <w:trHeight w:val="500" w:hRule="atLeast"/>
        </w:trPr>
        <w:tc>
          <w:tcPr>
            <w:tcW w:w="89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DA3232"/>
                <w:sz w:val="20"/>
                <w:szCs w:val="20"/>
              </w:rPr>
            </w:pPr>
            <w:r>
              <w:rPr>
                <w:rFonts w:cs="宋体"/>
                <w:b/>
                <w:bCs/>
                <w:color w:val="DA3232"/>
                <w:sz w:val="20"/>
                <w:szCs w:val="20"/>
                <w:lang w:bidi="ar"/>
              </w:rPr>
              <w:t>状态：绩效审核已审</w:t>
            </w:r>
          </w:p>
        </w:tc>
      </w:tr>
      <w:tr>
        <w:tblPrEx>
          <w:tblCellMar>
            <w:top w:w="0" w:type="dxa"/>
            <w:left w:w="108" w:type="dxa"/>
            <w:bottom w:w="0" w:type="dxa"/>
            <w:right w:w="108" w:type="dxa"/>
          </w:tblCellMar>
        </w:tblPrEx>
        <w:trPr>
          <w:trHeight w:val="7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项目名称：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遗属补助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cs="宋体"/>
                <w:b/>
                <w:bCs/>
                <w:color w:val="000000"/>
                <w:sz w:val="20"/>
                <w:szCs w:val="20"/>
              </w:rPr>
            </w:pPr>
            <w:r>
              <w:rPr>
                <w:rFonts w:cs="宋体"/>
                <w:b/>
                <w:bCs/>
                <w:color w:val="000000"/>
                <w:sz w:val="20"/>
                <w:szCs w:val="20"/>
                <w:lang w:bidi="ar"/>
              </w:rPr>
              <w:t>项目编码：</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50023123T000003060114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cs="宋体"/>
                <w:b/>
                <w:bCs/>
                <w:color w:val="000000"/>
                <w:sz w:val="20"/>
                <w:szCs w:val="20"/>
              </w:rPr>
            </w:pPr>
            <w:r>
              <w:rPr>
                <w:rFonts w:cs="宋体"/>
                <w:b/>
                <w:bCs/>
                <w:color w:val="000000"/>
                <w:sz w:val="20"/>
                <w:szCs w:val="20"/>
                <w:lang w:bidi="ar"/>
              </w:rPr>
              <w:t>自评总分：</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项目主管部门：</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721-垫江县白家镇人民政府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014-会计管理核算中心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部门联系人：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陈小娇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20"/>
                <w:szCs w:val="20"/>
              </w:rPr>
            </w:pPr>
            <w:r>
              <w:rPr>
                <w:rFonts w:cs="宋体"/>
                <w:color w:val="000000"/>
                <w:sz w:val="20"/>
                <w:szCs w:val="20"/>
                <w:lang w:bidi="ar"/>
              </w:rPr>
              <w:t>74583820</w:t>
            </w:r>
          </w:p>
        </w:tc>
      </w:tr>
      <w:tr>
        <w:tblPrEx>
          <w:tblCellMar>
            <w:top w:w="0" w:type="dxa"/>
            <w:left w:w="108" w:type="dxa"/>
            <w:bottom w:w="0" w:type="dxa"/>
            <w:right w:w="108" w:type="dxa"/>
          </w:tblCellMar>
        </w:tblPrEx>
        <w:trPr>
          <w:trHeight w:val="600" w:hRule="atLeast"/>
        </w:trPr>
        <w:tc>
          <w:tcPr>
            <w:tcW w:w="89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tblPrEx>
          <w:tblCellMar>
            <w:top w:w="0" w:type="dxa"/>
            <w:left w:w="108" w:type="dxa"/>
            <w:bottom w:w="0" w:type="dxa"/>
            <w:right w:w="108" w:type="dxa"/>
          </w:tblCellMar>
        </w:tblPrEx>
        <w:trPr>
          <w:trHeight w:val="84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0"/>
                <w:szCs w:val="20"/>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全年（调整）预算数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执行率权重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执行率得分</w:t>
            </w:r>
          </w:p>
        </w:tc>
      </w:tr>
      <w:tr>
        <w:tblPrEx>
          <w:tblCellMar>
            <w:top w:w="0" w:type="dxa"/>
            <w:left w:w="108" w:type="dxa"/>
            <w:bottom w:w="0" w:type="dxa"/>
            <w:right w:w="108" w:type="dxa"/>
          </w:tblCellMar>
        </w:tblPrEx>
        <w:trPr>
          <w:trHeight w:val="920" w:hRule="atLeast"/>
        </w:trPr>
        <w:tc>
          <w:tcPr>
            <w:tcW w:w="825"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年度总金额</w:t>
            </w:r>
          </w:p>
        </w:tc>
        <w:tc>
          <w:tcPr>
            <w:tcW w:w="81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1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55,000.00 </w:t>
            </w:r>
          </w:p>
        </w:tc>
        <w:tc>
          <w:tcPr>
            <w:tcW w:w="67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54,889.44 </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54,889.44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820" w:hRule="atLeast"/>
        </w:trPr>
        <w:tc>
          <w:tcPr>
            <w:tcW w:w="825"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其中：财政拨款</w:t>
            </w:r>
          </w:p>
        </w:tc>
        <w:tc>
          <w:tcPr>
            <w:tcW w:w="81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1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55,000.00 </w:t>
            </w:r>
          </w:p>
        </w:tc>
        <w:tc>
          <w:tcPr>
            <w:tcW w:w="67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54,889.44 </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54,889.44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108" w:type="dxa"/>
            <w:bottom w:w="0" w:type="dxa"/>
            <w:right w:w="108" w:type="dxa"/>
          </w:tblCellMar>
        </w:tblPrEx>
        <w:trPr>
          <w:trHeight w:val="900" w:hRule="atLeast"/>
        </w:trPr>
        <w:tc>
          <w:tcPr>
            <w:tcW w:w="825"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一般公共预算</w:t>
            </w:r>
          </w:p>
        </w:tc>
        <w:tc>
          <w:tcPr>
            <w:tcW w:w="81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1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55,000.00 </w:t>
            </w:r>
          </w:p>
        </w:tc>
        <w:tc>
          <w:tcPr>
            <w:tcW w:w="67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54,889.44 </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54,889.44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600" w:hRule="atLeast"/>
        </w:trPr>
        <w:tc>
          <w:tcPr>
            <w:tcW w:w="89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tblPrEx>
          <w:tblCellMar>
            <w:top w:w="0" w:type="dxa"/>
            <w:left w:w="108" w:type="dxa"/>
            <w:bottom w:w="0" w:type="dxa"/>
            <w:right w:w="108" w:type="dxa"/>
          </w:tblCellMar>
        </w:tblPrEx>
        <w:trPr>
          <w:trHeight w:val="500" w:hRule="atLeast"/>
        </w:trPr>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年初绩效目标</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全年（调整）绩效目标</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全年目标实际完成情况</w:t>
            </w:r>
          </w:p>
        </w:tc>
      </w:tr>
      <w:tr>
        <w:tblPrEx>
          <w:tblCellMar>
            <w:top w:w="0" w:type="dxa"/>
            <w:left w:w="108" w:type="dxa"/>
            <w:bottom w:w="0" w:type="dxa"/>
            <w:right w:w="108" w:type="dxa"/>
          </w:tblCellMar>
        </w:tblPrEx>
        <w:trPr>
          <w:trHeight w:val="1600" w:hRule="atLeast"/>
        </w:trPr>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20"/>
                <w:szCs w:val="20"/>
              </w:rPr>
            </w:pPr>
            <w:r>
              <w:rPr>
                <w:rFonts w:cs="宋体"/>
                <w:color w:val="000000"/>
                <w:sz w:val="20"/>
                <w:szCs w:val="20"/>
                <w:lang w:bidi="ar"/>
              </w:rPr>
              <w:t>保障遗属正常生活</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保障遗属正常生活</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保障遗属正常生活</w:t>
            </w:r>
          </w:p>
        </w:tc>
      </w:tr>
      <w:tr>
        <w:tblPrEx>
          <w:tblCellMar>
            <w:top w:w="0" w:type="dxa"/>
            <w:left w:w="108" w:type="dxa"/>
            <w:bottom w:w="0" w:type="dxa"/>
            <w:right w:w="108" w:type="dxa"/>
          </w:tblCellMar>
        </w:tblPrEx>
        <w:trPr>
          <w:trHeight w:val="600" w:hRule="atLeast"/>
        </w:trPr>
        <w:tc>
          <w:tcPr>
            <w:tcW w:w="89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tblPrEx>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计量单位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全年完成值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偏离度（%）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得分系数（%）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指标得分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说明</w:t>
            </w:r>
          </w:p>
        </w:tc>
      </w:tr>
      <w:tr>
        <w:tblPrEx>
          <w:tblCellMar>
            <w:top w:w="0" w:type="dxa"/>
            <w:left w:w="108" w:type="dxa"/>
            <w:bottom w:w="0" w:type="dxa"/>
            <w:right w:w="108" w:type="dxa"/>
          </w:tblCellMar>
        </w:tblPrEx>
        <w:trPr>
          <w:trHeight w:val="6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遗属补助人数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质量合格率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及时支付率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保障遗属正常生活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服务对象满意度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6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20"/>
                <w:szCs w:val="20"/>
              </w:rPr>
            </w:pPr>
            <w:r>
              <w:rPr>
                <w:rFonts w:cs="宋体"/>
                <w:color w:val="000000"/>
                <w:sz w:val="20"/>
                <w:szCs w:val="20"/>
                <w:lang w:bidi="ar"/>
              </w:rPr>
              <w:t>遗属补助金额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bl>
    <w:tbl>
      <w:tblPr>
        <w:tblStyle w:val="7"/>
        <w:tblpPr w:leftFromText="180" w:rightFromText="180" w:vertAnchor="text" w:horzAnchor="page" w:tblpX="1896" w:tblpY="620"/>
        <w:tblOverlap w:val="never"/>
        <w:tblW w:w="9940" w:type="dxa"/>
        <w:tblInd w:w="0" w:type="dxa"/>
        <w:tblLayout w:type="fixed"/>
        <w:tblCellMar>
          <w:top w:w="0" w:type="dxa"/>
          <w:left w:w="108" w:type="dxa"/>
          <w:bottom w:w="0" w:type="dxa"/>
          <w:right w:w="108" w:type="dxa"/>
        </w:tblCellMar>
      </w:tblPr>
      <w:tblGrid>
        <w:gridCol w:w="656"/>
        <w:gridCol w:w="601"/>
        <w:gridCol w:w="711"/>
        <w:gridCol w:w="1056"/>
        <w:gridCol w:w="1136"/>
        <w:gridCol w:w="1420"/>
        <w:gridCol w:w="756"/>
        <w:gridCol w:w="1216"/>
        <w:gridCol w:w="656"/>
        <w:gridCol w:w="716"/>
        <w:gridCol w:w="1016"/>
      </w:tblGrid>
      <w:tr>
        <w:tblPrEx>
          <w:tblCellMar>
            <w:top w:w="0" w:type="dxa"/>
            <w:left w:w="108" w:type="dxa"/>
            <w:bottom w:w="0" w:type="dxa"/>
            <w:right w:w="108" w:type="dxa"/>
          </w:tblCellMar>
        </w:tblPrEx>
        <w:trPr>
          <w:trHeight w:val="800" w:hRule="atLeast"/>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2023年度二级项目绩效自评表</w:t>
            </w:r>
          </w:p>
        </w:tc>
      </w:tr>
      <w:tr>
        <w:tblPrEx>
          <w:tblCellMar>
            <w:top w:w="0" w:type="dxa"/>
            <w:left w:w="108" w:type="dxa"/>
            <w:bottom w:w="0" w:type="dxa"/>
            <w:right w:w="108" w:type="dxa"/>
          </w:tblCellMar>
        </w:tblPrEx>
        <w:trPr>
          <w:trHeight w:val="500" w:hRule="atLeast"/>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b/>
                <w:bCs/>
                <w:color w:val="DA3232"/>
                <w:sz w:val="20"/>
                <w:szCs w:val="20"/>
              </w:rPr>
            </w:pPr>
            <w:r>
              <w:rPr>
                <w:rFonts w:cs="宋体"/>
                <w:b/>
                <w:bCs/>
                <w:color w:val="DA3232"/>
                <w:sz w:val="20"/>
                <w:szCs w:val="20"/>
                <w:lang w:bidi="ar"/>
              </w:rPr>
              <w:t>状态：绩效审核已审</w:t>
            </w:r>
          </w:p>
        </w:tc>
      </w:tr>
      <w:tr>
        <w:tblPrEx>
          <w:tblCellMar>
            <w:top w:w="0" w:type="dxa"/>
            <w:left w:w="108" w:type="dxa"/>
            <w:bottom w:w="0" w:type="dxa"/>
            <w:right w:w="108" w:type="dxa"/>
          </w:tblCellMar>
        </w:tblPrEx>
        <w:trPr>
          <w:trHeight w:val="7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项目名称：</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食品药品安全协管员补助资金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cs="宋体"/>
                <w:b/>
                <w:bCs/>
                <w:color w:val="000000"/>
                <w:sz w:val="20"/>
                <w:szCs w:val="20"/>
              </w:rPr>
            </w:pPr>
            <w:r>
              <w:rPr>
                <w:rFonts w:cs="宋体"/>
                <w:b/>
                <w:bCs/>
                <w:color w:val="000000"/>
                <w:sz w:val="20"/>
                <w:szCs w:val="20"/>
                <w:lang w:bidi="ar"/>
              </w:rPr>
              <w:t>项目编码：</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50023123T000003444610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自评总分：</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b/>
                <w:bCs/>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9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项目主管部门：</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721-垫江县白家镇人民政府</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014-会计管理核算中心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部门联系人：</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陈小娇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联系电话：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74583820</w:t>
            </w:r>
          </w:p>
        </w:tc>
      </w:tr>
      <w:tr>
        <w:tblPrEx>
          <w:tblCellMar>
            <w:top w:w="0" w:type="dxa"/>
            <w:left w:w="108" w:type="dxa"/>
            <w:bottom w:w="0" w:type="dxa"/>
            <w:right w:w="108" w:type="dxa"/>
          </w:tblCellMar>
        </w:tblPrEx>
        <w:trPr>
          <w:trHeight w:val="600" w:hRule="atLeast"/>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tblPrEx>
          <w:tblCellMar>
            <w:top w:w="0" w:type="dxa"/>
            <w:left w:w="108" w:type="dxa"/>
            <w:bottom w:w="0" w:type="dxa"/>
            <w:right w:w="108" w:type="dxa"/>
          </w:tblCellMar>
        </w:tblPrEx>
        <w:trPr>
          <w:trHeight w:val="500"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全年执行数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执行率权重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执行率得分</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年度总金额</w:t>
            </w:r>
          </w:p>
        </w:tc>
        <w:tc>
          <w:tcPr>
            <w:tcW w:w="601"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711"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56"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1136"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115,200.00 </w:t>
            </w:r>
          </w:p>
        </w:tc>
        <w:tc>
          <w:tcPr>
            <w:tcW w:w="756"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216"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115,200.00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其中：财政拨款</w:t>
            </w:r>
          </w:p>
        </w:tc>
        <w:tc>
          <w:tcPr>
            <w:tcW w:w="601"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711"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56"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1136"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115,200.00 </w:t>
            </w:r>
          </w:p>
        </w:tc>
        <w:tc>
          <w:tcPr>
            <w:tcW w:w="756"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216"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115,200.00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一般公共预算</w:t>
            </w:r>
          </w:p>
        </w:tc>
        <w:tc>
          <w:tcPr>
            <w:tcW w:w="601"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711"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056"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1136"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4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115,200.00 </w:t>
            </w:r>
          </w:p>
        </w:tc>
        <w:tc>
          <w:tcPr>
            <w:tcW w:w="756"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1216"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115,200.00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600" w:hRule="atLeast"/>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tblPrEx>
          <w:tblCellMar>
            <w:top w:w="0" w:type="dxa"/>
            <w:left w:w="108" w:type="dxa"/>
            <w:bottom w:w="0" w:type="dxa"/>
            <w:right w:w="108" w:type="dxa"/>
          </w:tblCellMar>
        </w:tblPrEx>
        <w:trPr>
          <w:trHeight w:val="500" w:hRule="atLeast"/>
        </w:trPr>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年初绩效目标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全年目标实际完成情况</w:t>
            </w:r>
          </w:p>
        </w:tc>
      </w:tr>
      <w:tr>
        <w:tblPrEx>
          <w:tblCellMar>
            <w:top w:w="0" w:type="dxa"/>
            <w:left w:w="108" w:type="dxa"/>
            <w:bottom w:w="0" w:type="dxa"/>
            <w:right w:w="108" w:type="dxa"/>
          </w:tblCellMar>
        </w:tblPrEx>
        <w:trPr>
          <w:trHeight w:val="1600" w:hRule="atLeast"/>
        </w:trPr>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保障食品药品安全，打造平安社会</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保障食品药品安全，打造平安社会</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ascii="Arial" w:hAnsi="Arial" w:cs="Arial"/>
                <w:color w:val="000000"/>
                <w:sz w:val="20"/>
                <w:szCs w:val="20"/>
              </w:rPr>
            </w:pPr>
            <w:r>
              <w:rPr>
                <w:rFonts w:hint="default" w:ascii="Arial" w:hAnsi="Arial" w:cs="Arial"/>
                <w:color w:val="000000"/>
                <w:sz w:val="20"/>
                <w:szCs w:val="20"/>
                <w:lang w:bidi="ar"/>
              </w:rPr>
              <w:t xml:space="preserve"> </w:t>
            </w:r>
            <w:r>
              <w:rPr>
                <w:rStyle w:val="15"/>
                <w:lang w:bidi="ar"/>
              </w:rPr>
              <w:br w:type="textWrapping"/>
            </w:r>
            <w:r>
              <w:rPr>
                <w:rStyle w:val="15"/>
                <w:lang w:bidi="ar"/>
              </w:rPr>
              <w:t>保障食品药品安全，打造平安社会</w:t>
            </w:r>
          </w:p>
        </w:tc>
      </w:tr>
      <w:tr>
        <w:tblPrEx>
          <w:tblCellMar>
            <w:top w:w="0" w:type="dxa"/>
            <w:left w:w="108" w:type="dxa"/>
            <w:bottom w:w="0" w:type="dxa"/>
            <w:right w:w="108" w:type="dxa"/>
          </w:tblCellMar>
        </w:tblPrEx>
        <w:trPr>
          <w:trHeight w:val="600" w:hRule="atLeast"/>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指标名称</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计量单位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指标值</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偏离度（%）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得分系数（%）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指标得分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是否核心指标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说明</w:t>
            </w:r>
          </w:p>
        </w:tc>
      </w:tr>
      <w:tr>
        <w:tblPrEx>
          <w:tblCellMar>
            <w:top w:w="0" w:type="dxa"/>
            <w:left w:w="108" w:type="dxa"/>
            <w:bottom w:w="0" w:type="dxa"/>
            <w:right w:w="108" w:type="dxa"/>
          </w:tblCellMar>
        </w:tblPrEx>
        <w:trPr>
          <w:trHeight w:val="7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协管员人数</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8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补助发放覆盖率</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7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补助发放及时率</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9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打造平安社会</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好</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30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0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服务对象满意度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补助金额</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115200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115200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bl>
    <w:p>
      <w:pPr>
        <w:pStyle w:val="12"/>
        <w:autoSpaceDE w:val="0"/>
        <w:spacing w:before="0" w:beforeAutospacing="0" w:line="600" w:lineRule="exact"/>
        <w:ind w:firstLine="642" w:firstLineChars="200"/>
        <w:rPr>
          <w:rFonts w:ascii="方正仿宋_GBK" w:hAnsi="方正仿宋_GBK" w:eastAsia="方正仿宋_GBK" w:cs="方正仿宋_GBK"/>
          <w:b/>
          <w:bCs/>
          <w:sz w:val="32"/>
          <w:szCs w:val="32"/>
          <w:shd w:val="clear" w:color="auto" w:fill="FFFFFF"/>
          <w:lang w:bidi="ar"/>
        </w:rPr>
      </w:pPr>
    </w:p>
    <w:tbl>
      <w:tblPr>
        <w:tblStyle w:val="7"/>
        <w:tblW w:w="8925" w:type="dxa"/>
        <w:tblInd w:w="93" w:type="dxa"/>
        <w:tblLayout w:type="autofit"/>
        <w:tblCellMar>
          <w:top w:w="0" w:type="dxa"/>
          <w:left w:w="108" w:type="dxa"/>
          <w:bottom w:w="0" w:type="dxa"/>
          <w:right w:w="108" w:type="dxa"/>
        </w:tblCellMar>
      </w:tblPr>
      <w:tblGrid>
        <w:gridCol w:w="656"/>
        <w:gridCol w:w="656"/>
        <w:gridCol w:w="656"/>
        <w:gridCol w:w="754"/>
        <w:gridCol w:w="1235"/>
        <w:gridCol w:w="1317"/>
        <w:gridCol w:w="785"/>
        <w:gridCol w:w="762"/>
        <w:gridCol w:w="655"/>
        <w:gridCol w:w="663"/>
        <w:gridCol w:w="1010"/>
      </w:tblGrid>
      <w:tr>
        <w:tblPrEx>
          <w:tblCellMar>
            <w:top w:w="0" w:type="dxa"/>
            <w:left w:w="108" w:type="dxa"/>
            <w:bottom w:w="0" w:type="dxa"/>
            <w:right w:w="108" w:type="dxa"/>
          </w:tblCellMar>
        </w:tblPrEx>
        <w:trPr>
          <w:trHeight w:val="800" w:hRule="atLeast"/>
        </w:trPr>
        <w:tc>
          <w:tcPr>
            <w:tcW w:w="89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2023年度二级项目绩效自评表</w:t>
            </w:r>
          </w:p>
        </w:tc>
      </w:tr>
      <w:tr>
        <w:tblPrEx>
          <w:tblCellMar>
            <w:top w:w="0" w:type="dxa"/>
            <w:left w:w="108" w:type="dxa"/>
            <w:bottom w:w="0" w:type="dxa"/>
            <w:right w:w="108" w:type="dxa"/>
          </w:tblCellMar>
        </w:tblPrEx>
        <w:trPr>
          <w:trHeight w:val="500" w:hRule="atLeast"/>
        </w:trPr>
        <w:tc>
          <w:tcPr>
            <w:tcW w:w="89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b/>
                <w:bCs/>
                <w:color w:val="DA3232"/>
                <w:sz w:val="20"/>
                <w:szCs w:val="20"/>
              </w:rPr>
            </w:pPr>
            <w:r>
              <w:rPr>
                <w:rFonts w:cs="宋体"/>
                <w:b/>
                <w:bCs/>
                <w:color w:val="DA3232"/>
                <w:sz w:val="20"/>
                <w:szCs w:val="20"/>
                <w:lang w:bidi="ar"/>
              </w:rPr>
              <w:t>状态：绩效审核已审</w:t>
            </w:r>
          </w:p>
        </w:tc>
      </w:tr>
      <w:tr>
        <w:tblPrEx>
          <w:tblCellMar>
            <w:top w:w="0" w:type="dxa"/>
            <w:left w:w="108" w:type="dxa"/>
            <w:bottom w:w="0" w:type="dxa"/>
            <w:right w:w="108" w:type="dxa"/>
          </w:tblCellMar>
        </w:tblPrEx>
        <w:trPr>
          <w:trHeight w:val="7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项目名称：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突发事项处置专项经费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项目编码：</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50023122T000000112863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自评总分：</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项目主管部门：</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721-垫江县白家镇人民政府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014-会计管理核算中心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部门联系人：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陈小娇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联系电话：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74583820</w:t>
            </w:r>
          </w:p>
        </w:tc>
      </w:tr>
      <w:tr>
        <w:tblPrEx>
          <w:tblCellMar>
            <w:top w:w="0" w:type="dxa"/>
            <w:left w:w="108" w:type="dxa"/>
            <w:bottom w:w="0" w:type="dxa"/>
            <w:right w:w="108" w:type="dxa"/>
          </w:tblCellMar>
        </w:tblPrEx>
        <w:trPr>
          <w:trHeight w:val="600" w:hRule="atLeast"/>
        </w:trPr>
        <w:tc>
          <w:tcPr>
            <w:tcW w:w="89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tblPrEx>
          <w:tblCellMar>
            <w:top w:w="0" w:type="dxa"/>
            <w:left w:w="108" w:type="dxa"/>
            <w:bottom w:w="0" w:type="dxa"/>
            <w:right w:w="108" w:type="dxa"/>
          </w:tblCellMar>
        </w:tblPrEx>
        <w:trPr>
          <w:trHeight w:val="5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执行率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执行率权重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执行率得分</w:t>
            </w:r>
          </w:p>
        </w:tc>
      </w:tr>
      <w:tr>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年度总金额</w:t>
            </w:r>
          </w:p>
        </w:tc>
        <w:tc>
          <w:tcPr>
            <w:tcW w:w="69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6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5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3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540.00 </w:t>
            </w:r>
          </w:p>
        </w:tc>
        <w:tc>
          <w:tcPr>
            <w:tcW w:w="10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86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其中：财政拨款</w:t>
            </w:r>
          </w:p>
        </w:tc>
        <w:tc>
          <w:tcPr>
            <w:tcW w:w="69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6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5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3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540.00 </w:t>
            </w:r>
          </w:p>
        </w:tc>
        <w:tc>
          <w:tcPr>
            <w:tcW w:w="10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108" w:type="dxa"/>
            <w:bottom w:w="0" w:type="dxa"/>
            <w:right w:w="108" w:type="dxa"/>
          </w:tblCellMar>
        </w:tblPrEx>
        <w:trPr>
          <w:trHeight w:val="7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一般公共预算</w:t>
            </w:r>
          </w:p>
        </w:tc>
        <w:tc>
          <w:tcPr>
            <w:tcW w:w="69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6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5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3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540.00 </w:t>
            </w:r>
          </w:p>
        </w:tc>
        <w:tc>
          <w:tcPr>
            <w:tcW w:w="10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700" w:hRule="atLeast"/>
        </w:trPr>
        <w:tc>
          <w:tcPr>
            <w:tcW w:w="89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tblPrEx>
          <w:tblCellMar>
            <w:top w:w="0" w:type="dxa"/>
            <w:left w:w="108" w:type="dxa"/>
            <w:bottom w:w="0" w:type="dxa"/>
            <w:right w:w="108" w:type="dxa"/>
          </w:tblCellMar>
        </w:tblPrEx>
        <w:trPr>
          <w:trHeight w:val="500" w:hRule="atLeast"/>
        </w:trPr>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年初绩效目标</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全年目标实际完成情况</w:t>
            </w:r>
          </w:p>
        </w:tc>
      </w:tr>
      <w:tr>
        <w:tblPrEx>
          <w:tblCellMar>
            <w:top w:w="0" w:type="dxa"/>
            <w:left w:w="108" w:type="dxa"/>
            <w:bottom w:w="0" w:type="dxa"/>
            <w:right w:w="108" w:type="dxa"/>
          </w:tblCellMar>
        </w:tblPrEx>
        <w:trPr>
          <w:trHeight w:val="1600" w:hRule="atLeast"/>
        </w:trPr>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做好网上信访代理工作</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做好网上信访代理工作</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做好网上信访代理工作</w:t>
            </w:r>
          </w:p>
        </w:tc>
      </w:tr>
      <w:tr>
        <w:tblPrEx>
          <w:tblCellMar>
            <w:top w:w="0" w:type="dxa"/>
            <w:left w:w="108" w:type="dxa"/>
            <w:bottom w:w="0" w:type="dxa"/>
            <w:right w:w="108" w:type="dxa"/>
          </w:tblCellMar>
        </w:tblPrEx>
        <w:trPr>
          <w:trHeight w:val="600" w:hRule="atLeast"/>
        </w:trPr>
        <w:tc>
          <w:tcPr>
            <w:tcW w:w="89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tblPrEx>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指标名称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计量单位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偏离度（%）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得分系数（%）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说明</w:t>
            </w:r>
          </w:p>
        </w:tc>
      </w:tr>
      <w:tr>
        <w:tblPrEx>
          <w:tblCellMar>
            <w:top w:w="0" w:type="dxa"/>
            <w:left w:w="108" w:type="dxa"/>
            <w:bottom w:w="0" w:type="dxa"/>
            <w:right w:w="108" w:type="dxa"/>
          </w:tblCellMar>
        </w:tblPrEx>
        <w:trPr>
          <w:trHeight w:val="11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网上信访代理数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7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质量合格率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8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拨付及时率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9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维护社会稳定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1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服务对象满意度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补助代理费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bl>
    <w:p>
      <w:pPr>
        <w:pStyle w:val="12"/>
        <w:autoSpaceDE w:val="0"/>
        <w:spacing w:before="0" w:beforeAutospacing="0" w:line="600" w:lineRule="exact"/>
        <w:ind w:firstLine="642" w:firstLineChars="200"/>
        <w:rPr>
          <w:rFonts w:ascii="方正仿宋_GBK" w:hAnsi="方正仿宋_GBK" w:eastAsia="方正仿宋_GBK" w:cs="方正仿宋_GBK"/>
          <w:b/>
          <w:bCs/>
          <w:sz w:val="32"/>
          <w:szCs w:val="32"/>
          <w:shd w:val="clear" w:color="auto" w:fill="FFFFFF"/>
          <w:lang w:bidi="ar"/>
        </w:rPr>
      </w:pPr>
    </w:p>
    <w:p>
      <w:pPr>
        <w:pStyle w:val="11"/>
        <w:numPr>
          <w:ilvl w:val="0"/>
          <w:numId w:val="2"/>
        </w:numPr>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单位绩效评价情况</w:t>
      </w:r>
    </w:p>
    <w:p>
      <w:pPr>
        <w:pStyle w:val="11"/>
        <w:autoSpaceDE w:val="0"/>
        <w:ind w:firstLine="640"/>
        <w:rPr>
          <w:rFonts w:ascii="方正仿宋_GBK" w:hAnsi="方正仿宋_GBK" w:eastAsia="方正仿宋_GBK" w:cs="方正仿宋_GBK"/>
          <w:color w:val="0000FF"/>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本单位决算公开信息反馈和联系方式：023-74583820</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公开单位：垫江县白家镇人民政府（本级）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1,934.84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742.73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29.08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3.80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237.11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30.94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665.20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162.14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81.69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14.08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1,963.92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2,026.83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62.91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2,026.83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2,026.83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公开单位：垫江县白家镇人民政府（本级）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1,963.92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1,963.92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689.46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689.46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444.97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444.97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155.38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155.38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143.81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81.32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81.32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598.11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598.11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239.00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239.00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359.11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359.11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其他自然灾害防治支出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垫江县白家镇人民政府（本级）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2,026.83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1,015.22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1,011.61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742.73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451.48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291.25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653.68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451.48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451.48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451.48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237.11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40.47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81.32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81.32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46.31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302.97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362.23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598.11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302.97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295.13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359.11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302.97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56.13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81.69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45.26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45.26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36.44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36.44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其他自然灾害防治支出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垫江县白家镇人民政府（本级）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1,934.84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742.73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742.73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29.08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237.11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237.11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665.20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665.20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162.14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162.14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81.69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81.69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14.08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1,963.92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2,026.83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1,997.75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29.08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62.91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62.91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2,026.83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2,026.83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1,997.75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29.08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654"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垫江县白家镇人民政府（本级）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1,997.75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1,015.22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982.53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742.73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451.48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291.25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653.68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451.48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202.19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451.48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451.48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202.14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202.14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52.41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52.41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6.85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6.85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6.85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237.11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196.64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40.47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0.42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0.27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20.57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81.32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81.32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46.31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46.31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退役安置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30.94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27.68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3.26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27.68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27.68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665.20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302.97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362.23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7.49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7.49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7.49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7.49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598.11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302.97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295.13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239.00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239.00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359.11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302.97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56.13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162.14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162.14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141.95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141.95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中小企业发展专项</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81.69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45.26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45.26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45.26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45.26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45.26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36.44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36.44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其他自然灾害防治支出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26.00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垫江县白家镇人民政府（本级）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472.19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112.42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83.58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15.16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72.99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136.02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34.86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0.90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48.44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10.69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20.57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4.58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27.68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43.11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36.44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430.61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0.23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46.31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374.52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4.21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15.34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902.80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112.42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垫江县白家镇人民政府（本级）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29.08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29.08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29.08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2120804</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农村基础设施建设支出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14.08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14.08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7.47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7.47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7.47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5.80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垫江县白家镇人民政府（本级）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垫江县白家镇人民政府（本级）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112.42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112.42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428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06597538"/>
    <w:multiLevelType w:val="singleLevel"/>
    <w:tmpl w:val="0659753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ZmNjMyZTQ1YTQ2NzAyNzY5YzM1OWJmMzc2ODAifQ=="/>
  </w:docVars>
  <w:rsids>
    <w:rsidRoot w:val="00B03CCD"/>
    <w:rsid w:val="00550ABE"/>
    <w:rsid w:val="005E2161"/>
    <w:rsid w:val="007B419D"/>
    <w:rsid w:val="00877606"/>
    <w:rsid w:val="009B67B8"/>
    <w:rsid w:val="00B03CCD"/>
    <w:rsid w:val="00E0043B"/>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00403"/>
    <w:rsid w:val="0AB54CC0"/>
    <w:rsid w:val="0B9335CE"/>
    <w:rsid w:val="0BF2311A"/>
    <w:rsid w:val="0C7927C4"/>
    <w:rsid w:val="0C9B098C"/>
    <w:rsid w:val="0D367C25"/>
    <w:rsid w:val="0D673E11"/>
    <w:rsid w:val="0DDA54E4"/>
    <w:rsid w:val="0DE6644B"/>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554BCA"/>
    <w:rsid w:val="173708E3"/>
    <w:rsid w:val="17C374FC"/>
    <w:rsid w:val="182E4AB6"/>
    <w:rsid w:val="189079DC"/>
    <w:rsid w:val="189B0D0B"/>
    <w:rsid w:val="18B43F7C"/>
    <w:rsid w:val="18B57DD3"/>
    <w:rsid w:val="19421D58"/>
    <w:rsid w:val="194A1770"/>
    <w:rsid w:val="19B906A4"/>
    <w:rsid w:val="1A977F38"/>
    <w:rsid w:val="1B6F15B6"/>
    <w:rsid w:val="1BAA2EDC"/>
    <w:rsid w:val="1C997744"/>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717187"/>
    <w:rsid w:val="2299559A"/>
    <w:rsid w:val="23833BCE"/>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CBA7F3C"/>
    <w:rsid w:val="2FCA4B37"/>
    <w:rsid w:val="2FE029D7"/>
    <w:rsid w:val="2FF06E00"/>
    <w:rsid w:val="30586FEC"/>
    <w:rsid w:val="315F0B22"/>
    <w:rsid w:val="31D84415"/>
    <w:rsid w:val="32285F6F"/>
    <w:rsid w:val="32770556"/>
    <w:rsid w:val="329C0913"/>
    <w:rsid w:val="32AA0460"/>
    <w:rsid w:val="32F94370"/>
    <w:rsid w:val="3337290D"/>
    <w:rsid w:val="33A2024B"/>
    <w:rsid w:val="33E31118"/>
    <w:rsid w:val="33EF7674"/>
    <w:rsid w:val="342D7BC6"/>
    <w:rsid w:val="352930DB"/>
    <w:rsid w:val="35573069"/>
    <w:rsid w:val="355F6038"/>
    <w:rsid w:val="358C217E"/>
    <w:rsid w:val="36C9128A"/>
    <w:rsid w:val="37841E99"/>
    <w:rsid w:val="37BF1123"/>
    <w:rsid w:val="383C3F15"/>
    <w:rsid w:val="38BE4696"/>
    <w:rsid w:val="3939115E"/>
    <w:rsid w:val="39395F76"/>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CC73BF"/>
    <w:rsid w:val="42E86A87"/>
    <w:rsid w:val="43307B09"/>
    <w:rsid w:val="439A3EB9"/>
    <w:rsid w:val="43BB152F"/>
    <w:rsid w:val="44C37687"/>
    <w:rsid w:val="45CB699A"/>
    <w:rsid w:val="465B470D"/>
    <w:rsid w:val="469D6AD4"/>
    <w:rsid w:val="471E6C84"/>
    <w:rsid w:val="4748792B"/>
    <w:rsid w:val="475D719D"/>
    <w:rsid w:val="47674801"/>
    <w:rsid w:val="48225EF7"/>
    <w:rsid w:val="488F422B"/>
    <w:rsid w:val="48CB6CBC"/>
    <w:rsid w:val="48E36915"/>
    <w:rsid w:val="48EB6572"/>
    <w:rsid w:val="495C4A24"/>
    <w:rsid w:val="497135DF"/>
    <w:rsid w:val="4A263DF2"/>
    <w:rsid w:val="4A6F6675"/>
    <w:rsid w:val="4B135857"/>
    <w:rsid w:val="4B7951CB"/>
    <w:rsid w:val="4B7C315C"/>
    <w:rsid w:val="4C0C4115"/>
    <w:rsid w:val="4C3D6535"/>
    <w:rsid w:val="4DAC4ACA"/>
    <w:rsid w:val="4DBE01D2"/>
    <w:rsid w:val="4F0C6BA3"/>
    <w:rsid w:val="4F186D58"/>
    <w:rsid w:val="4F8D4F02"/>
    <w:rsid w:val="50F06B6E"/>
    <w:rsid w:val="5191106E"/>
    <w:rsid w:val="51D21804"/>
    <w:rsid w:val="52234D33"/>
    <w:rsid w:val="522F6E0C"/>
    <w:rsid w:val="52463BA1"/>
    <w:rsid w:val="52F163D4"/>
    <w:rsid w:val="531A2DB4"/>
    <w:rsid w:val="535B61C9"/>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8239D1"/>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F57490"/>
    <w:rsid w:val="68407834"/>
    <w:rsid w:val="6883293E"/>
    <w:rsid w:val="688412AD"/>
    <w:rsid w:val="68EB1B71"/>
    <w:rsid w:val="6AAD2300"/>
    <w:rsid w:val="6B474EF5"/>
    <w:rsid w:val="6C0A5AC5"/>
    <w:rsid w:val="6C23302B"/>
    <w:rsid w:val="6C560CAE"/>
    <w:rsid w:val="6C576495"/>
    <w:rsid w:val="6CD56B1A"/>
    <w:rsid w:val="6D903FF5"/>
    <w:rsid w:val="6DA955B8"/>
    <w:rsid w:val="6DE346AB"/>
    <w:rsid w:val="6DE5391A"/>
    <w:rsid w:val="6EFD1324"/>
    <w:rsid w:val="6F5A53AC"/>
    <w:rsid w:val="6FAC003D"/>
    <w:rsid w:val="6FE55E12"/>
    <w:rsid w:val="6FFB2E76"/>
    <w:rsid w:val="708F6F7F"/>
    <w:rsid w:val="70D94BD3"/>
    <w:rsid w:val="71C34D91"/>
    <w:rsid w:val="72C9092F"/>
    <w:rsid w:val="72DB435C"/>
    <w:rsid w:val="72E2613A"/>
    <w:rsid w:val="72F771F4"/>
    <w:rsid w:val="73934AD2"/>
    <w:rsid w:val="750837F0"/>
    <w:rsid w:val="754758CF"/>
    <w:rsid w:val="764F62AB"/>
    <w:rsid w:val="765C45EC"/>
    <w:rsid w:val="768A7619"/>
    <w:rsid w:val="772E1EBA"/>
    <w:rsid w:val="781926BC"/>
    <w:rsid w:val="796D60A4"/>
    <w:rsid w:val="79A031D5"/>
    <w:rsid w:val="7A1525F7"/>
    <w:rsid w:val="7A381702"/>
    <w:rsid w:val="7AAB43CE"/>
    <w:rsid w:val="7B420052"/>
    <w:rsid w:val="7BD06A28"/>
    <w:rsid w:val="7C3A7C0B"/>
    <w:rsid w:val="7C5248E4"/>
    <w:rsid w:val="7C566698"/>
    <w:rsid w:val="7C5866A3"/>
    <w:rsid w:val="7D7406BB"/>
    <w:rsid w:val="7DE94331"/>
    <w:rsid w:val="7E185A9E"/>
    <w:rsid w:val="7F446A19"/>
    <w:rsid w:val="7F7452B9"/>
    <w:rsid w:val="B5DB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13590</Words>
  <Characters>19615</Characters>
  <Lines>191</Lines>
  <Paragraphs>54</Paragraphs>
  <TotalTime>11</TotalTime>
  <ScaleCrop>false</ScaleCrop>
  <LinksUpToDate>false</LinksUpToDate>
  <CharactersWithSpaces>22294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2025-12-18T18:54:40Z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6363255E53024E33945D0D737A358F8F_13</vt:lpwstr>
  </property>
</Properties>
</file>