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垫江县包家镇人民政府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（2）负责乡人民代表大会、主席团履行法定职权的具体工作。组织人大代表视察、调研、评议等工作。完成党委、人大主席团交办的其他工作。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负责普法教育、防邪、禁毒、综治、信访、维稳等工作。负责基层民间矛盾纠纷调解工作。组织、指导、协调、检查、督促辖区内各基层组织和企事业单位的社会治安综合治理等工作。完成党委、政府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12）负责劳动就业和社会保障、农村劳务开发管理等具体工作。负责就业培训、职业指导、就业失业登记等相关工作。负责养老、医疗、工伤、生育、失业保险具体办理工作。负责劳动关系协调、离退休人员社会管理服务等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（14）负责配合综合行政执法办公室做好有关农林水利、规划建设、卫生健康、市容环卫、环境保护、文化旅游、民政管理、消防等方面的执法工作。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napToGrid w:val="0"/>
        <w:spacing w:line="52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1.机构情况：</w:t>
      </w:r>
      <w:r>
        <w:rPr>
          <w:rFonts w:ascii="方正仿宋_GBK" w:hAnsi="方正仿宋_GBK" w:eastAsia="方正仿宋_GBK" w:cs="方正仿宋_GBK"/>
          <w:sz w:val="32"/>
          <w:szCs w:val="32"/>
          <w:shd w:val="clear" w:color="auto" w:fill="FFFFFF"/>
        </w:rPr>
        <w:t>本部门内设行政单位、文化服务中心、劳动就业和社会保障服务所、退役军人事务服务站、综合行政执法大队、农业服务中心。</w:t>
      </w:r>
    </w:p>
    <w:p>
      <w:pPr>
        <w:snapToGrid w:val="0"/>
        <w:spacing w:line="5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rPr>
        <w:t>人员情况：</w:t>
      </w:r>
      <w:r>
        <w:rPr>
          <w:rFonts w:ascii="方正仿宋_GBK" w:hAnsi="方正仿宋_GBK" w:eastAsia="方正仿宋_GBK" w:cs="方正仿宋_GBK"/>
          <w:sz w:val="32"/>
          <w:szCs w:val="32"/>
          <w:shd w:val="clear" w:color="auto" w:fill="FFFFFF"/>
        </w:rPr>
        <w:t>本部门现有在职职工39人。其中：行政人员18人、事业人员21人（其中：文化服务中心4人、社会就业保障事务中心4人、退役军人事务服务站3人、综合执法大队4人、农业服务中心6人）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2023年度收入总计2419.15万元，支出总计</w:t>
      </w:r>
      <w:r>
        <w:rPr>
          <w:rFonts w:ascii="方正仿宋_GBK" w:hAnsi="方正仿宋_GBK" w:eastAsia="方正仿宋_GBK" w:cs="方正仿宋_GBK"/>
          <w:sz w:val="32"/>
          <w:szCs w:val="32"/>
        </w:rPr>
        <w:t>2419.15</w:t>
      </w:r>
      <w:r>
        <w:rPr>
          <w:rFonts w:ascii="方正仿宋_GBK" w:hAnsi="方正仿宋_GBK" w:eastAsia="方正仿宋_GBK" w:cs="方正仿宋_GBK"/>
          <w:sz w:val="32"/>
          <w:szCs w:val="32"/>
          <w:shd w:val="clear" w:color="auto" w:fill="FFFFFF"/>
        </w:rPr>
        <w:t>万元。收支较上年决算数增加547.17万元，增长29.23%，主要原因是一般公共服务支出、科学技术支出、节能环保支出、城乡社区支出、农林水支出、交通运输支出、灾害防治及应急管理支出等项目支出增加。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2419.15万元，较上年决算数增加745.22万元，增长44.52%，主要原因是一般公共服务支出、科学技术支出、节能环保支出、城乡社区支出、农林水支出、交通运输支出、灾害防治及应急管理支出等项目支出增加。其中：财政拨款收入</w:t>
      </w:r>
      <w:r>
        <w:rPr>
          <w:rFonts w:ascii="方正仿宋_GBK" w:hAnsi="方正仿宋_GBK" w:eastAsia="方正仿宋_GBK" w:cs="方正仿宋_GBK"/>
          <w:sz w:val="32"/>
          <w:szCs w:val="32"/>
        </w:rPr>
        <w:t>2419.15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，占0.0%；经营收入</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，占0.0%；其他收入</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，占0.0%。此外，使用非财政拨款结余和专用结余</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，年初结转和结余</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2419.15</w:t>
      </w:r>
      <w:r>
        <w:rPr>
          <w:rFonts w:ascii="方正仿宋_GBK" w:hAnsi="方正仿宋_GBK" w:eastAsia="方正仿宋_GBK" w:cs="方正仿宋_GBK"/>
          <w:sz w:val="32"/>
          <w:szCs w:val="32"/>
          <w:shd w:val="clear" w:color="auto" w:fill="FFFFFF"/>
        </w:rPr>
        <w:t>万元，较上年决算数增加547.17万元，增长29.23%，主要原因是一般公共服务支出、科学技术支出、节能环保支出、城乡社区支出、农林水支出、交通运输支出、灾害防治及应急管理支出等项目支出增加。其中：基本支出</w:t>
      </w:r>
      <w:r>
        <w:rPr>
          <w:rFonts w:ascii="方正仿宋_GBK" w:hAnsi="方正仿宋_GBK" w:eastAsia="方正仿宋_GBK" w:cs="方正仿宋_GBK"/>
          <w:sz w:val="32"/>
          <w:szCs w:val="32"/>
        </w:rPr>
        <w:t>1266.73</w:t>
      </w:r>
      <w:r>
        <w:rPr>
          <w:rFonts w:ascii="方正仿宋_GBK" w:hAnsi="方正仿宋_GBK" w:eastAsia="方正仿宋_GBK" w:cs="方正仿宋_GBK"/>
          <w:sz w:val="32"/>
          <w:szCs w:val="32"/>
          <w:shd w:val="clear" w:color="auto" w:fill="FFFFFF"/>
        </w:rPr>
        <w:t>万元，占52.36%；项目支出</w:t>
      </w:r>
      <w:r>
        <w:rPr>
          <w:rFonts w:ascii="方正仿宋_GBK" w:hAnsi="方正仿宋_GBK" w:eastAsia="方正仿宋_GBK" w:cs="方正仿宋_GBK"/>
          <w:sz w:val="32"/>
          <w:szCs w:val="32"/>
        </w:rPr>
        <w:t>1152.43</w:t>
      </w:r>
      <w:r>
        <w:rPr>
          <w:rFonts w:ascii="方正仿宋_GBK" w:hAnsi="方正仿宋_GBK" w:eastAsia="方正仿宋_GBK" w:cs="方正仿宋_GBK"/>
          <w:sz w:val="32"/>
          <w:szCs w:val="32"/>
          <w:shd w:val="clear" w:color="auto" w:fill="FFFFFF"/>
        </w:rPr>
        <w:t>万元，占47.64%；经营支出</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，占0.0%。此外，结余分配</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，较上年决算数无增减，主要原因是本年基本支出、项目支出均使用完，因此本年年末无结转结余，故与上年持平。</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2419.15万元。与2022年相比，财政拨款收、支总计各增加567.11万元，增长30.62%。主要原因是一般公共服务支出、科学技术支出、节能环保支出、城乡社区支出、农林水支出、交通运输支出、灾害防治及应急管理支出等项目支出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2418.81</w:t>
      </w:r>
      <w:r>
        <w:rPr>
          <w:rFonts w:ascii="方正仿宋_GBK" w:hAnsi="方正仿宋_GBK" w:eastAsia="方正仿宋_GBK" w:cs="方正仿宋_GBK"/>
          <w:sz w:val="32"/>
          <w:szCs w:val="32"/>
          <w:shd w:val="clear" w:color="auto" w:fill="FFFFFF"/>
        </w:rPr>
        <w:t>万元，较上年决算数增加800.5万元，增长49.47%。主要原因是人大事务、政协事务、统计信息事务、商贸事务、党委办公厅（室）及相关机构事务、组织事务、其他共产党事务支出、市场监督管理事务、其他一般公共服务支出、公安、司法、其他科学技术支出、文化和旅游、人力资源和社会保障管理事务、抚恤、退役安置、临时救助、社会福利、公共卫生、优抚对象医疗、污染防治、城乡社区管理事务、城乡社区公共设施、城乡社区环境卫生、农业农村、水利、巩固脱贫攻坚成果衔接乡村振兴、公路水路运输、车辆购置税支出、支持中小企业发展和管理支出、保障性安居工程支出、自然灾害防治、应急管理事务、自然灾害救灾及恢复重建支出等增加。较年初预算数增加1067.91万元，增长79.05%。主要原因是一般公共服务支出、文化旅游体育与传媒支出、社会保障和就业支出、卫生健康支出、农林水支出、资源勘探工业信息等支出等增加。此外，年初财政拨款结转和结余</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2418.81</w:t>
      </w:r>
      <w:r>
        <w:rPr>
          <w:rFonts w:ascii="方正仿宋_GBK" w:hAnsi="方正仿宋_GBK" w:eastAsia="方正仿宋_GBK" w:cs="方正仿宋_GBK"/>
          <w:sz w:val="32"/>
          <w:szCs w:val="32"/>
          <w:shd w:val="clear" w:color="auto" w:fill="FFFFFF"/>
        </w:rPr>
        <w:t>万元，较上年决算数增加602.45万元，增长33.17%。主要原因是人大事务、政协事务、统计信息事务、商贸事务、党委办公厅（室）及相关机构事务、组织事务、其他共产党事务支出、市场监督管理事务、其他一般公共服务支出、公安、司法、其他科学技术支出、文化和旅游、人力资源和社会保障管理事务、抚恤、退役安置、临时救助、社会福利、公共卫生、优抚对象医疗、污染防治、城乡社区管理事务、城乡社区公共设施、城乡社区环境卫生、农业农村、水利、巩固脱贫攻坚成果衔接乡村振兴、公路水路运输、车辆购置税支出、支持中小企业发展和管理支出、保障性安居工程支出、自然灾害防治、应急管理事务、自然灾害救灾及恢复重建支出等增加。较年初预算数增加1067.91万元，增长79.05%。主要原因是一般公共服务支出、文化旅游体育与传媒支出、社会保障和就业支出、卫生健康支出、农林水支出、资源勘探工业信息等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，较上年决算数无增减，主要原因是本年基本支出、项目支出均使用完，因此本年年末无结转结余。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655.98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27.12</w:t>
      </w:r>
      <w:r>
        <w:rPr>
          <w:rFonts w:ascii="方正仿宋_GBK" w:hAnsi="方正仿宋_GBK" w:eastAsia="方正仿宋_GBK" w:cs="方正仿宋_GBK"/>
          <w:sz w:val="32"/>
          <w:szCs w:val="32"/>
          <w:shd w:val="clear" w:color="auto" w:fill="FFFFFF"/>
        </w:rPr>
        <w:t>%，较年初预算数增加159.72万元，增长32.18%，主要原因是镇村干部工资上调、新增编制人员1名、临时人员增加</w:t>
      </w:r>
      <w:r>
        <w:rPr>
          <w:rFonts w:ascii="方正仿宋_GBK" w:hAnsi="方正仿宋_GBK" w:eastAsia="方正仿宋_GBK" w:cs="方正仿宋_GBK"/>
          <w:color w:val="FF0000"/>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0.39</w:t>
      </w:r>
      <w:r>
        <w:rPr>
          <w:rFonts w:ascii="方正仿宋_GBK" w:hAnsi="方正仿宋_GBK" w:eastAsia="方正仿宋_GBK" w:cs="方正仿宋_GBK"/>
          <w:sz w:val="32"/>
          <w:szCs w:val="32"/>
          <w:shd w:val="clear" w:color="auto" w:fill="FFFFFF"/>
        </w:rPr>
        <w:t>%，较年初预算数增加9.4万元，增长100.0%，主要原因是冬春生活救助金、离任干部补贴、老党员生活补贴为县拨经费，故年初未做预算安排。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（3）科学技术支出</w:t>
      </w:r>
      <w:r>
        <w:rPr>
          <w:rFonts w:ascii="方正仿宋_GBK" w:hAnsi="方正仿宋_GBK" w:eastAsia="方正仿宋_GBK" w:cs="方正仿宋_GBK"/>
          <w:sz w:val="32"/>
          <w:szCs w:val="32"/>
        </w:rPr>
        <w:t>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%，较年初预算数增加0.3万元，增长100.0%，主要原因是科普经费为县拨经费，故年初未做预算安排。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（4）文化旅游体育与传媒支出</w:t>
      </w:r>
      <w:r>
        <w:rPr>
          <w:rFonts w:ascii="方正仿宋_GBK" w:hAnsi="方正仿宋_GBK" w:eastAsia="方正仿宋_GBK" w:cs="方正仿宋_GBK"/>
          <w:sz w:val="32"/>
          <w:szCs w:val="32"/>
        </w:rPr>
        <w:t>68.94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2.85</w:t>
      </w:r>
      <w:r>
        <w:rPr>
          <w:rFonts w:ascii="方正仿宋_GBK" w:hAnsi="方正仿宋_GBK" w:eastAsia="方正仿宋_GBK" w:cs="方正仿宋_GBK"/>
          <w:sz w:val="32"/>
          <w:szCs w:val="32"/>
          <w:shd w:val="clear" w:color="auto" w:fill="FFFFFF"/>
        </w:rPr>
        <w:t>%，较年初预算数增加20.86万元，增长43.39%，主要原因是公共图书馆、美术馆、文化馆（站）免费开发补助资金为县拨经费，故年初未做预算安排。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（5）社会保障与就业支出</w:t>
      </w:r>
      <w:r>
        <w:rPr>
          <w:rFonts w:ascii="方正仿宋_GBK" w:hAnsi="方正仿宋_GBK" w:eastAsia="方正仿宋_GBK" w:cs="方正仿宋_GBK"/>
          <w:sz w:val="32"/>
          <w:szCs w:val="32"/>
        </w:rPr>
        <w:t>341.64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14.12</w:t>
      </w:r>
      <w:r>
        <w:rPr>
          <w:rFonts w:ascii="方正仿宋_GBK" w:hAnsi="方正仿宋_GBK" w:eastAsia="方正仿宋_GBK" w:cs="方正仿宋_GBK"/>
          <w:sz w:val="32"/>
          <w:szCs w:val="32"/>
          <w:shd w:val="clear" w:color="auto" w:fill="FFFFFF"/>
        </w:rPr>
        <w:t>%，较年初预算数增加82.79万元，增长31.98%，主要原因是死亡抚恤金、残疾人无障碍改造等为县拨经费，故年初未做预算安排。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（6）卫生健康支出</w:t>
      </w:r>
      <w:r>
        <w:rPr>
          <w:rFonts w:ascii="方正仿宋_GBK" w:hAnsi="方正仿宋_GBK" w:eastAsia="方正仿宋_GBK" w:cs="方正仿宋_GBK"/>
          <w:sz w:val="32"/>
          <w:szCs w:val="32"/>
        </w:rPr>
        <w:t>46.04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%，较年初预算数增加14.41万元，增长45.56%，主要原因是疫情防控经费、居民医保参保工作经费、计划剩余特殊节日走访慰问、优抚医疗补助等为县拨经费，故年初未做预算安排。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（7）节能环保支出</w:t>
      </w:r>
      <w:r>
        <w:rPr>
          <w:rFonts w:ascii="方正仿宋_GBK" w:hAnsi="方正仿宋_GBK" w:eastAsia="方正仿宋_GBK" w:cs="方正仿宋_GBK"/>
          <w:sz w:val="32"/>
          <w:szCs w:val="32"/>
        </w:rPr>
        <w:t>65.83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%，较年初预算数增加65.83万元，增长100.0%，主要原因是疫情防控经费、居民医保参保工作经费、计划剩余特殊节日走访慰问、优抚医疗补助等为县拨经费，故年初未做预算安排。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（8）城乡社区支出</w:t>
      </w:r>
      <w:r>
        <w:rPr>
          <w:rFonts w:ascii="方正仿宋_GBK" w:hAnsi="方正仿宋_GBK" w:eastAsia="方正仿宋_GBK" w:cs="方正仿宋_GBK"/>
          <w:sz w:val="32"/>
          <w:szCs w:val="32"/>
        </w:rPr>
        <w:t>123.81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5.12</w:t>
      </w:r>
      <w:r>
        <w:rPr>
          <w:rFonts w:ascii="方正仿宋_GBK" w:hAnsi="方正仿宋_GBK" w:eastAsia="方正仿宋_GBK" w:cs="方正仿宋_GBK"/>
          <w:sz w:val="32"/>
          <w:szCs w:val="32"/>
          <w:shd w:val="clear" w:color="auto" w:fill="FFFFFF"/>
        </w:rPr>
        <w:t>%，较年初预算数增加6.92万元，增长5.92%，主要原因是场镇清洁费用增加。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ascii="方正仿宋_GBK" w:hAnsi="方正仿宋_GBK" w:eastAsia="方正仿宋_GBK" w:cs="方正仿宋_GBK"/>
          <w:sz w:val="32"/>
          <w:szCs w:val="32"/>
        </w:rPr>
        <w:t>538.97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22.28</w:t>
      </w:r>
      <w:r>
        <w:rPr>
          <w:rFonts w:ascii="方正仿宋_GBK" w:hAnsi="方正仿宋_GBK" w:eastAsia="方正仿宋_GBK" w:cs="方正仿宋_GBK"/>
          <w:sz w:val="32"/>
          <w:szCs w:val="32"/>
          <w:shd w:val="clear" w:color="auto" w:fill="FFFFFF"/>
        </w:rPr>
        <w:t>%，较年初预算数增加218.11万元，增长67.98%，主要原因是</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2022年雨山村退化林修复项目资金、桃李园抗旱资金、一事一议等资金为县拨资金，故年初未做预算安排。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（10）交通运输支出</w:t>
      </w:r>
      <w:r>
        <w:rPr>
          <w:rFonts w:ascii="方正仿宋_GBK" w:hAnsi="方正仿宋_GBK" w:eastAsia="方正仿宋_GBK" w:cs="方正仿宋_GBK"/>
          <w:sz w:val="32"/>
          <w:szCs w:val="32"/>
        </w:rPr>
        <w:t>266.98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11.04</w:t>
      </w:r>
      <w:r>
        <w:rPr>
          <w:rFonts w:ascii="方正仿宋_GBK" w:hAnsi="方正仿宋_GBK" w:eastAsia="方正仿宋_GBK" w:cs="方正仿宋_GBK"/>
          <w:sz w:val="32"/>
          <w:szCs w:val="32"/>
          <w:shd w:val="clear" w:color="auto" w:fill="FFFFFF"/>
        </w:rPr>
        <w:t>%，较年初预算数增加266.98万元，增长100.0%，主要原因是危桥（猪脚洞）整治工程款为县拨资金，故年初未做预算安排。</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（11）资源勘探信息等支出</w:t>
      </w:r>
      <w:r>
        <w:rPr>
          <w:rFonts w:ascii="方正仿宋_GBK" w:hAnsi="方正仿宋_GBK" w:eastAsia="方正仿宋_GBK" w:cs="方正仿宋_GBK"/>
          <w:sz w:val="32"/>
          <w:szCs w:val="32"/>
        </w:rPr>
        <w:t>219.31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9.07</w:t>
      </w:r>
      <w:r>
        <w:rPr>
          <w:rFonts w:ascii="方正仿宋_GBK" w:hAnsi="方正仿宋_GBK" w:eastAsia="方正仿宋_GBK" w:cs="方正仿宋_GBK"/>
          <w:sz w:val="32"/>
          <w:szCs w:val="32"/>
          <w:shd w:val="clear" w:color="auto" w:fill="FFFFFF"/>
        </w:rPr>
        <w:t>%，较年初预算数增加189.31万元，增长631.03%，主要原因是企业发展补助资金为县拨资金，故年初未做预算安排。</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rPr>
        <w:t>住房保障支出44.13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1.82</w:t>
      </w:r>
      <w:r>
        <w:rPr>
          <w:rFonts w:ascii="方正仿宋_GBK" w:hAnsi="方正仿宋_GBK" w:eastAsia="方正仿宋_GBK" w:cs="方正仿宋_GBK"/>
          <w:sz w:val="32"/>
          <w:szCs w:val="32"/>
          <w:shd w:val="clear" w:color="auto" w:fill="FFFFFF"/>
        </w:rPr>
        <w:t>%，较年初预算数减少4.21万元，下降8.71%，主要原因是危房改造项目减少。</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w:t>
      </w:r>
      <w:r>
        <w:rPr>
          <w:rFonts w:ascii="方正仿宋_GBK" w:hAnsi="方正仿宋_GBK" w:eastAsia="方正仿宋_GBK" w:cs="方正仿宋_GBK"/>
          <w:sz w:val="32"/>
          <w:szCs w:val="32"/>
        </w:rPr>
        <w:t>灾害防治及应急管理支出37.48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w:t>
      </w:r>
      <w:r>
        <w:rPr>
          <w:rFonts w:ascii="方正仿宋_GBK" w:hAnsi="方正仿宋_GBK" w:eastAsia="方正仿宋_GBK" w:cs="方正仿宋_GBK"/>
          <w:sz w:val="32"/>
          <w:szCs w:val="32"/>
          <w:shd w:val="clear" w:color="auto" w:fill="FFFFFF"/>
        </w:rPr>
        <w:t>%，较年初预算数增加37.48万元，增长100.0%，主要原因是地质灾害排危、防汛抗旱等项目资金增加。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1266.73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1108.96</w:t>
      </w:r>
      <w:r>
        <w:rPr>
          <w:rFonts w:ascii="方正仿宋_GBK" w:hAnsi="方正仿宋_GBK" w:eastAsia="方正仿宋_GBK" w:cs="方正仿宋_GBK"/>
          <w:sz w:val="32"/>
          <w:szCs w:val="32"/>
          <w:shd w:val="clear" w:color="auto" w:fill="FFFFFF"/>
        </w:rPr>
        <w:t>万元，较上年决算数增加226.23万元，增长25.63%，主要原因是镇村干部工资上调、新增编制人员1名、临时人员。人员经费用途主要包括</w:t>
      </w:r>
      <w:r>
        <w:rPr>
          <w:rFonts w:ascii="方正仿宋_GBK" w:hAnsi="方正仿宋_GBK" w:eastAsia="方正仿宋_GBK" w:cs="方正仿宋_GBK"/>
          <w:sz w:val="32"/>
          <w:szCs w:val="32"/>
        </w:rPr>
        <w:t>基本工资、绩效工资、津贴补贴、奖金、社会保障缴费、</w:t>
      </w:r>
      <w:r>
        <w:rPr>
          <w:rFonts w:ascii="方正仿宋_GBK" w:hAnsi="方正仿宋_GBK" w:eastAsia="方正仿宋_GBK" w:cs="方正仿宋_GBK"/>
          <w:sz w:val="32"/>
          <w:szCs w:val="32"/>
          <w:shd w:val="clear" w:color="auto" w:fill="FFFFFF"/>
        </w:rPr>
        <w:t>死亡抚恤、对村民委员会和村党支部的补助等。公用经费</w:t>
      </w:r>
      <w:r>
        <w:rPr>
          <w:rFonts w:ascii="方正仿宋_GBK" w:hAnsi="方正仿宋_GBK" w:eastAsia="方正仿宋_GBK" w:cs="方正仿宋_GBK"/>
          <w:sz w:val="32"/>
          <w:szCs w:val="32"/>
        </w:rPr>
        <w:t>157.76</w:t>
      </w:r>
      <w:r>
        <w:rPr>
          <w:rFonts w:ascii="方正仿宋_GBK" w:hAnsi="方正仿宋_GBK" w:eastAsia="方正仿宋_GBK" w:cs="方正仿宋_GBK"/>
          <w:sz w:val="32"/>
          <w:szCs w:val="32"/>
          <w:shd w:val="clear" w:color="auto" w:fill="FFFFFF"/>
        </w:rPr>
        <w:t>万元，较上年决算数减少28.25万元，下降15.19%，主要原因是行政运行、文化和旅游、人力资源和社会保障管理事务、退役军人管理事务、城乡社区支出、农业农村等项目支出减少。公用经费用途主要包括</w:t>
      </w:r>
      <w:r>
        <w:rPr>
          <w:rFonts w:ascii="方正仿宋_GBK" w:hAnsi="方正仿宋_GBK" w:eastAsia="方正仿宋_GBK" w:cs="方正仿宋_GBK"/>
          <w:sz w:val="32"/>
          <w:szCs w:val="32"/>
        </w:rPr>
        <w:t>办公费、水费、电费、印刷费、邮电费、手续费、车辆维修维修维护、委托业务费、劳务费、其他商品服务支出等</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，年末结转结余</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。本年收入</w:t>
      </w:r>
      <w:r>
        <w:rPr>
          <w:rFonts w:ascii="方正仿宋_GBK" w:hAnsi="方正仿宋_GBK" w:eastAsia="方正仿宋_GBK" w:cs="方正仿宋_GBK"/>
          <w:sz w:val="32"/>
          <w:szCs w:val="32"/>
        </w:rPr>
        <w:t>0.34</w:t>
      </w:r>
      <w:r>
        <w:rPr>
          <w:rFonts w:ascii="方正仿宋_GBK" w:hAnsi="方正仿宋_GBK" w:eastAsia="方正仿宋_GBK" w:cs="方正仿宋_GBK"/>
          <w:sz w:val="32"/>
          <w:szCs w:val="32"/>
          <w:shd w:val="clear" w:color="auto" w:fill="FFFFFF"/>
        </w:rPr>
        <w:t>万元，较上年决算数减少35.34万元，下降99.05%，主要原因是专项补助资金减少。本年支出</w:t>
      </w:r>
      <w:r>
        <w:rPr>
          <w:rFonts w:ascii="方正仿宋_GBK" w:hAnsi="方正仿宋_GBK" w:eastAsia="方正仿宋_GBK" w:cs="方正仿宋_GBK"/>
          <w:sz w:val="32"/>
          <w:szCs w:val="32"/>
        </w:rPr>
        <w:t>0.34</w:t>
      </w:r>
      <w:r>
        <w:rPr>
          <w:rFonts w:ascii="方正仿宋_GBK" w:hAnsi="方正仿宋_GBK" w:eastAsia="方正仿宋_GBK" w:cs="方正仿宋_GBK"/>
          <w:sz w:val="32"/>
          <w:szCs w:val="32"/>
          <w:shd w:val="clear" w:color="auto" w:fill="FFFFFF"/>
        </w:rPr>
        <w:t>万元，较上年决算数减少35.34万元，下降99.05%，主要原因是专项补助资金减少。</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7.76</w:t>
      </w:r>
      <w:r>
        <w:rPr>
          <w:rFonts w:ascii="方正仿宋_GBK" w:hAnsi="方正仿宋_GBK" w:eastAsia="方正仿宋_GBK" w:cs="方正仿宋_GBK"/>
          <w:sz w:val="32"/>
          <w:szCs w:val="32"/>
          <w:shd w:val="clear" w:color="auto" w:fill="FFFFFF"/>
        </w:rPr>
        <w:t>万元，较年初预算数增加4.46万元，增长135.15%，主要原因是年初预算不足，年终预算调整。较上年支出数减少0.13万元，下降1.65%，主要原因是严格控制三公经费支出，公务用车运行维护费、公务接待费较上年支出减少。</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5.08</w:t>
      </w:r>
      <w:r>
        <w:rPr>
          <w:rFonts w:ascii="方正仿宋_GBK" w:hAnsi="方正仿宋_GBK" w:eastAsia="方正仿宋_GBK" w:cs="方正仿宋_GBK"/>
          <w:sz w:val="32"/>
          <w:szCs w:val="32"/>
          <w:shd w:val="clear" w:color="auto" w:fill="FFFFFF"/>
        </w:rPr>
        <w:t>万元，主要用于市内因公出行、各部门到各村（居）检查工作等所需车辆的燃料费、维修费、过桥过路费、保险费等。费用支出较年初预算数增加3.78万元，增长290.77%，主要原因是年初预算不足，年终预算调整。较上年支出数减少0.01万元，下降0.2%，主要原因是实施公车派车制度，严格落实公车使用规定，严禁公车私用，公车运行维护成本下降。</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2.67</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rPr>
        <w:t>上级各部门到我单位学习调研工作，接受相关部门检查指导工作发生的接待支出</w:t>
      </w:r>
      <w:r>
        <w:rPr>
          <w:rFonts w:ascii="方正仿宋_GBK" w:hAnsi="方正仿宋_GBK" w:eastAsia="方正仿宋_GBK" w:cs="方正仿宋_GBK"/>
          <w:sz w:val="32"/>
          <w:szCs w:val="32"/>
          <w:shd w:val="clear" w:color="auto" w:fill="FFFFFF"/>
        </w:rPr>
        <w:t>。费用支出较年初预算数增加0.67万元，增长33.5%，主要原因是</w:t>
      </w:r>
      <w:r>
        <w:rPr>
          <w:rFonts w:hint="eastAsia" w:ascii="方正仿宋_GBK" w:hAnsi="方正仿宋_GBK" w:eastAsia="方正仿宋_GBK" w:cs="方正仿宋_GBK"/>
          <w:sz w:val="32"/>
          <w:szCs w:val="32"/>
          <w:shd w:val="clear" w:color="auto" w:fill="FFFFFF"/>
        </w:rPr>
        <w:t>年初预算不足，年终预算调整</w:t>
      </w:r>
      <w:r>
        <w:rPr>
          <w:rFonts w:ascii="方正仿宋_GBK" w:hAnsi="方正仿宋_GBK" w:eastAsia="方正仿宋_GBK" w:cs="方正仿宋_GBK"/>
          <w:sz w:val="32"/>
          <w:szCs w:val="32"/>
          <w:shd w:val="clear" w:color="auto" w:fill="FFFFFF"/>
        </w:rPr>
        <w:t>。较上年支出数减少0.13万元，下降4.64%，主要原因是</w:t>
      </w:r>
      <w:r>
        <w:rPr>
          <w:rFonts w:hint="eastAsia" w:ascii="方正仿宋_GBK" w:hAnsi="方正仿宋_GBK" w:eastAsia="方正仿宋_GBK" w:cs="方正仿宋_GBK"/>
          <w:sz w:val="32"/>
          <w:szCs w:val="32"/>
        </w:rPr>
        <w:t>加强公务接待管理，减少不必要接待。</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335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79.78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0.00万元</w:t>
      </w:r>
      <w:r>
        <w:rPr>
          <w:rFonts w:ascii="方正仿宋_GBK" w:hAnsi="方正仿宋_GBK" w:eastAsia="方正仿宋_GBK" w:cs="方正仿宋_GBK"/>
          <w:sz w:val="32"/>
          <w:szCs w:val="32"/>
          <w:shd w:val="clear" w:color="auto" w:fill="FFFFFF"/>
        </w:rPr>
        <w:t>，车均维护费</w:t>
      </w:r>
      <w:r>
        <w:rPr>
          <w:rFonts w:ascii="方正仿宋_GBK" w:hAnsi="方正仿宋_GBK" w:eastAsia="方正仿宋_GBK" w:cs="方正仿宋_GBK"/>
          <w:sz w:val="32"/>
          <w:szCs w:val="32"/>
        </w:rPr>
        <w:t>2.54</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321" w:firstLineChars="1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2.73</w:t>
      </w:r>
      <w:r>
        <w:rPr>
          <w:rFonts w:ascii="方正仿宋_GBK" w:hAnsi="方正仿宋_GBK" w:eastAsia="方正仿宋_GBK" w:cs="方正仿宋_GBK"/>
          <w:sz w:val="32"/>
          <w:szCs w:val="32"/>
          <w:shd w:val="clear" w:color="auto" w:fill="FFFFFF"/>
        </w:rPr>
        <w:t>万元，较上年决算数增加1.11万元，增长68.52%，主要原因是人</w:t>
      </w:r>
      <w:r>
        <w:rPr>
          <w:rFonts w:hint="eastAsia" w:ascii="方正仿宋_GBK" w:hAnsi="方正仿宋_GBK" w:eastAsia="方正仿宋_GBK" w:cs="方正仿宋_GBK"/>
          <w:sz w:val="32"/>
          <w:szCs w:val="32"/>
          <w:shd w:val="clear" w:color="auto" w:fill="FFFFFF"/>
          <w:lang w:val="en-US" w:eastAsia="zh-CN"/>
        </w:rPr>
        <w:t>民</w:t>
      </w:r>
      <w:bookmarkStart w:id="0" w:name="_GoBack"/>
      <w:bookmarkEnd w:id="0"/>
      <w:r>
        <w:rPr>
          <w:rFonts w:ascii="方正仿宋_GBK" w:hAnsi="方正仿宋_GBK" w:eastAsia="方正仿宋_GBK" w:cs="方正仿宋_GBK"/>
          <w:sz w:val="32"/>
          <w:szCs w:val="32"/>
          <w:shd w:val="clear" w:color="auto" w:fill="FFFFFF"/>
        </w:rPr>
        <w:t>代表大会次数增加。本年度培训费支出</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万元，较上年决算数减少0.69万元，下降62.16%，主要原因是单位厉行节俭，培训需求减少。</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104.25</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办公费、公务车运行维护费、信息网络购置更新费等</w:t>
      </w:r>
      <w:r>
        <w:rPr>
          <w:rFonts w:ascii="方正仿宋_GBK" w:hAnsi="方正仿宋_GBK" w:eastAsia="方正仿宋_GBK" w:cs="方正仿宋_GBK"/>
          <w:sz w:val="32"/>
          <w:szCs w:val="32"/>
          <w:shd w:val="clear" w:color="auto" w:fill="FFFFFF"/>
        </w:rPr>
        <w:t>。机关运行经费较上年支出数减少47.88万元，下降31.47%，主要原因是严格控制</w:t>
      </w:r>
      <w:r>
        <w:rPr>
          <w:rFonts w:ascii="方正仿宋_GBK" w:hAnsi="方正仿宋_GBK" w:eastAsia="方正仿宋_GBK" w:cs="方正仿宋_GBK"/>
          <w:sz w:val="32"/>
          <w:szCs w:val="32"/>
        </w:rPr>
        <w:t>办公费、公务车运行维护费、劳务费、委托业务费等的开支。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numPr>
          <w:ilvl w:val="0"/>
          <w:numId w:val="1"/>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政府采购支出情况说明</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根据预算绩效管理要求，我部门对68个二级项目开展了绩效自评，涉及财政拨款项目支出资金1152.86万元。</w:t>
      </w:r>
    </w:p>
    <w:p>
      <w:pPr>
        <w:pStyle w:val="12"/>
        <w:autoSpaceDE w:val="0"/>
        <w:spacing w:before="0" w:beforeAutospacing="0" w:line="600" w:lineRule="exact"/>
        <w:rPr>
          <w:rFonts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28"/>
          <w:szCs w:val="28"/>
          <w:shd w:val="clear" w:color="auto" w:fill="FFFFFF"/>
          <w:lang w:bidi="ar"/>
        </w:rPr>
        <w:t>部门整体绩效自评表：</w:t>
      </w:r>
    </w:p>
    <w:tbl>
      <w:tblPr>
        <w:tblStyle w:val="7"/>
        <w:tblW w:w="8345" w:type="dxa"/>
        <w:tblInd w:w="0" w:type="dxa"/>
        <w:tblLayout w:type="fixed"/>
        <w:tblCellMar>
          <w:top w:w="15" w:type="dxa"/>
          <w:left w:w="15" w:type="dxa"/>
          <w:bottom w:w="15" w:type="dxa"/>
          <w:right w:w="15" w:type="dxa"/>
        </w:tblCellMar>
      </w:tblPr>
      <w:tblGrid>
        <w:gridCol w:w="439"/>
        <w:gridCol w:w="439"/>
        <w:gridCol w:w="440"/>
        <w:gridCol w:w="1303"/>
        <w:gridCol w:w="806"/>
        <w:gridCol w:w="1303"/>
        <w:gridCol w:w="538"/>
        <w:gridCol w:w="1303"/>
        <w:gridCol w:w="440"/>
        <w:gridCol w:w="520"/>
        <w:gridCol w:w="814"/>
      </w:tblGrid>
      <w:tr>
        <w:tblPrEx>
          <w:tblCellMar>
            <w:top w:w="15" w:type="dxa"/>
            <w:left w:w="15" w:type="dxa"/>
            <w:bottom w:w="15" w:type="dxa"/>
            <w:right w:w="15" w:type="dxa"/>
          </w:tblCellMar>
        </w:tblPrEx>
        <w:trPr>
          <w:trHeight w:val="7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2023年度部门整体绩效自评表</w:t>
            </w:r>
          </w:p>
        </w:tc>
      </w:tr>
      <w:tr>
        <w:tblPrEx>
          <w:tblCellMar>
            <w:top w:w="15" w:type="dxa"/>
            <w:left w:w="15" w:type="dxa"/>
            <w:bottom w:w="15" w:type="dxa"/>
            <w:right w:w="15" w:type="dxa"/>
          </w:tblCellMar>
        </w:tblPrEx>
        <w:trPr>
          <w:trHeight w:val="4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垫江县包家镇人民政府整体监控</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50023100023P000080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720-垫江县包家镇人民政府</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张婷</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74586789</w:t>
            </w: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15" w:type="dxa"/>
            <w:left w:w="15" w:type="dxa"/>
            <w:bottom w:w="15" w:type="dxa"/>
            <w:right w:w="15" w:type="dxa"/>
          </w:tblCellMar>
        </w:tblPrEx>
        <w:trPr>
          <w:trHeight w:val="495" w:hRule="atLeast"/>
        </w:trPr>
        <w:tc>
          <w:tcPr>
            <w:tcW w:w="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39"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17,474,722.35 </w:t>
            </w:r>
          </w:p>
        </w:tc>
        <w:tc>
          <w:tcPr>
            <w:tcW w:w="80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24,191,548.10 </w:t>
            </w:r>
          </w:p>
        </w:tc>
        <w:tc>
          <w:tcPr>
            <w:tcW w:w="53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24,191,548.10 </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39"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17,474,722.35 </w:t>
            </w:r>
          </w:p>
        </w:tc>
        <w:tc>
          <w:tcPr>
            <w:tcW w:w="80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24,191,548.10 </w:t>
            </w:r>
          </w:p>
        </w:tc>
        <w:tc>
          <w:tcPr>
            <w:tcW w:w="53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24,191,548.10 </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39"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40"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17,474,326.66 </w:t>
            </w:r>
          </w:p>
        </w:tc>
        <w:tc>
          <w:tcPr>
            <w:tcW w:w="80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24,188,104.10 </w:t>
            </w:r>
          </w:p>
        </w:tc>
        <w:tc>
          <w:tcPr>
            <w:tcW w:w="538"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0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24,188,104.10 </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15" w:type="dxa"/>
            <w:left w:w="15" w:type="dxa"/>
            <w:bottom w:w="15" w:type="dxa"/>
            <w:right w:w="15" w:type="dxa"/>
          </w:tblCellMar>
        </w:tblPrEx>
        <w:trPr>
          <w:trHeight w:val="495" w:hRule="atLeast"/>
        </w:trPr>
        <w:tc>
          <w:tcPr>
            <w:tcW w:w="2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39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7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15" w:type="dxa"/>
            <w:left w:w="15" w:type="dxa"/>
            <w:bottom w:w="15" w:type="dxa"/>
            <w:right w:w="15" w:type="dxa"/>
          </w:tblCellMar>
        </w:tblPrEx>
        <w:trPr>
          <w:trHeight w:val="1590" w:hRule="atLeast"/>
        </w:trPr>
        <w:tc>
          <w:tcPr>
            <w:tcW w:w="2621"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确保政府运转。;"完成财政收支、预决算、总会计、惠农资金兑付、财政资金监督检查、绩效评价、农村财务管理，对各部门及村（社区）财务内部审计及其他专项审计等。</w:t>
            </w:r>
            <w:r>
              <w:rPr>
                <w:rFonts w:cs="宋体"/>
                <w:color w:val="000000"/>
                <w:sz w:val="22"/>
                <w:szCs w:val="22"/>
                <w:lang w:bidi="ar"/>
              </w:rPr>
              <w:br w:type="textWrapping"/>
            </w:r>
            <w:r>
              <w:rPr>
                <w:rFonts w:cs="宋体"/>
                <w:color w:val="000000"/>
                <w:sz w:val="22"/>
                <w:szCs w:val="22"/>
                <w:lang w:bidi="ar"/>
              </w:rPr>
              <w:t>"</w:t>
            </w:r>
            <w:r>
              <w:rPr>
                <w:rFonts w:cs="宋体"/>
                <w:color w:val="000000"/>
                <w:sz w:val="22"/>
                <w:szCs w:val="22"/>
                <w:lang w:bidi="ar"/>
              </w:rPr>
              <w:br w:type="textWrapping"/>
            </w:r>
            <w:r>
              <w:rPr>
                <w:rFonts w:cs="宋体"/>
                <w:color w:val="000000"/>
                <w:sz w:val="22"/>
                <w:szCs w:val="22"/>
                <w:lang w:bidi="ar"/>
              </w:rPr>
              <w:t>;"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r>
              <w:rPr>
                <w:rFonts w:cs="宋体"/>
                <w:color w:val="000000"/>
                <w:sz w:val="22"/>
                <w:szCs w:val="22"/>
                <w:lang w:bidi="ar"/>
              </w:rPr>
              <w:br w:type="textWrapping"/>
            </w:r>
            <w:r>
              <w:rPr>
                <w:rFonts w:cs="宋体"/>
                <w:color w:val="000000"/>
                <w:sz w:val="22"/>
                <w:szCs w:val="22"/>
                <w:lang w:bidi="ar"/>
              </w:rPr>
              <w:t>"</w:t>
            </w:r>
            <w:r>
              <w:rPr>
                <w:rFonts w:cs="宋体"/>
                <w:color w:val="000000"/>
                <w:sz w:val="22"/>
                <w:szCs w:val="22"/>
                <w:lang w:bidi="ar"/>
              </w:rPr>
              <w:br w:type="textWrapping"/>
            </w:r>
            <w:r>
              <w:rPr>
                <w:rFonts w:cs="宋体"/>
                <w:color w:val="000000"/>
                <w:sz w:val="22"/>
                <w:szCs w:val="22"/>
                <w:lang w:bidi="ar"/>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r>
              <w:rPr>
                <w:rFonts w:cs="宋体"/>
                <w:color w:val="000000"/>
                <w:sz w:val="22"/>
                <w:szCs w:val="22"/>
                <w:lang w:bidi="ar"/>
              </w:rPr>
              <w:br w:type="textWrapping"/>
            </w:r>
            <w:r>
              <w:rPr>
                <w:rFonts w:cs="宋体"/>
                <w:color w:val="000000"/>
                <w:sz w:val="22"/>
                <w:szCs w:val="22"/>
                <w:lang w:bidi="ar"/>
              </w:rPr>
              <w:t>"</w:t>
            </w:r>
            <w:r>
              <w:rPr>
                <w:rFonts w:cs="宋体"/>
                <w:color w:val="000000"/>
                <w:sz w:val="22"/>
                <w:szCs w:val="22"/>
                <w:lang w:bidi="ar"/>
              </w:rPr>
              <w:br w:type="textWrapping"/>
            </w:r>
            <w:r>
              <w:rPr>
                <w:rFonts w:cs="宋体"/>
                <w:color w:val="000000"/>
                <w:sz w:val="22"/>
                <w:szCs w:val="22"/>
                <w:lang w:bidi="ar"/>
              </w:rPr>
              <w:t>;</w:t>
            </w:r>
          </w:p>
        </w:tc>
        <w:tc>
          <w:tcPr>
            <w:tcW w:w="3950" w:type="dxa"/>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sz w:val="22"/>
                <w:szCs w:val="22"/>
              </w:rPr>
            </w:pPr>
          </w:p>
        </w:tc>
        <w:tc>
          <w:tcPr>
            <w:tcW w:w="1774"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确保政府运转。"完成财政收支、预决算、总会计、惠农资金兑付、财政资金监督检查、绩效评价、农村财务管理，对各部门及村（社区）财务内部审计及其他专项审计等。"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r>
              <w:rPr>
                <w:rFonts w:cs="宋体"/>
                <w:color w:val="000000"/>
                <w:sz w:val="22"/>
                <w:szCs w:val="22"/>
                <w:lang w:bidi="ar"/>
              </w:rPr>
              <w:br w:type="textWrapping"/>
            </w:r>
            <w:r>
              <w:rPr>
                <w:rFonts w:cs="宋体"/>
                <w:color w:val="000000"/>
                <w:sz w:val="22"/>
                <w:szCs w:val="22"/>
                <w:lang w:bidi="ar"/>
              </w:rPr>
              <w:br w:type="textWrapping"/>
            </w:r>
            <w:r>
              <w:rPr>
                <w:rFonts w:cs="宋体"/>
                <w:color w:val="000000"/>
                <w:sz w:val="22"/>
                <w:szCs w:val="22"/>
                <w:lang w:bidi="ar"/>
              </w:rPr>
              <w:t>　</w:t>
            </w:r>
            <w:r>
              <w:rPr>
                <w:rFonts w:cs="宋体"/>
                <w:color w:val="000000"/>
                <w:sz w:val="22"/>
                <w:szCs w:val="22"/>
                <w:lang w:bidi="ar"/>
              </w:rPr>
              <w:br w:type="textWrapping"/>
            </w:r>
            <w:r>
              <w:rPr>
                <w:rFonts w:cs="宋体"/>
                <w:color w:val="000000"/>
                <w:sz w:val="22"/>
                <w:szCs w:val="22"/>
                <w:lang w:bidi="ar"/>
              </w:rPr>
              <w:t xml:space="preserve"> </w:t>
            </w:r>
            <w:r>
              <w:rPr>
                <w:rFonts w:cs="宋体"/>
                <w:color w:val="000000"/>
                <w:sz w:val="22"/>
                <w:szCs w:val="22"/>
                <w:lang w:bidi="ar"/>
              </w:rPr>
              <w:br w:type="textWrapping"/>
            </w:r>
            <w:r>
              <w:rPr>
                <w:rFonts w:cs="宋体"/>
                <w:color w:val="000000"/>
                <w:sz w:val="22"/>
                <w:szCs w:val="22"/>
                <w:lang w:bidi="ar"/>
              </w:rPr>
              <w:t>　</w:t>
            </w: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党建培训人次</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382</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382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到市、进京非访、集访次数</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较大森林火险发生次数</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年生活垃圾处理量</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吨</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优抚、民政、计生等困难群众补助人数</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人数</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1175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1175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重大安全事故发生次数</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农村卫生厕所改厕覆盖率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社区网格员覆盖率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辖区河道水质</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类</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一般公共预算收入完成率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应公开的政务信息公开率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征兵完成率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全年预算支出执行率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三季度预算执行进度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应急事件处置率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预决算按时公开率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明显改善</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明显改善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明显改善</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明显改善</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辖区群众满意度</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辖区干部满意率</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2"/>
        <w:autoSpaceDE w:val="0"/>
        <w:spacing w:before="0" w:beforeAutospacing="0" w:line="600" w:lineRule="exact"/>
        <w:rPr>
          <w:rFonts w:ascii="方正仿宋_GBK" w:hAnsi="方正仿宋_GBK" w:eastAsia="方正仿宋_GBK" w:cs="方正仿宋_GBK"/>
          <w:sz w:val="28"/>
          <w:szCs w:val="28"/>
          <w:shd w:val="clear" w:color="auto" w:fill="FFFFFF"/>
          <w:lang w:bidi="ar"/>
        </w:rPr>
      </w:pPr>
    </w:p>
    <w:p>
      <w:pPr>
        <w:pStyle w:val="12"/>
        <w:autoSpaceDE w:val="0"/>
        <w:spacing w:before="0" w:beforeAutospacing="0" w:line="600" w:lineRule="exact"/>
        <w:rPr>
          <w:rFonts w:ascii="方正仿宋_GBK" w:hAnsi="方正仿宋_GBK" w:eastAsia="方正仿宋_GBK" w:cs="方正仿宋_GBK"/>
          <w:sz w:val="28"/>
          <w:szCs w:val="28"/>
          <w:shd w:val="clear" w:color="auto" w:fill="FFFFFF"/>
          <w:lang w:bidi="ar"/>
        </w:rPr>
      </w:pPr>
    </w:p>
    <w:tbl>
      <w:tblPr>
        <w:tblStyle w:val="7"/>
        <w:tblW w:w="8345" w:type="dxa"/>
        <w:tblInd w:w="0" w:type="dxa"/>
        <w:tblLayout w:type="fixed"/>
        <w:tblCellMar>
          <w:top w:w="15" w:type="dxa"/>
          <w:left w:w="15" w:type="dxa"/>
          <w:bottom w:w="15" w:type="dxa"/>
          <w:right w:w="15" w:type="dxa"/>
        </w:tblCellMar>
      </w:tblPr>
      <w:tblGrid>
        <w:gridCol w:w="483"/>
        <w:gridCol w:w="483"/>
        <w:gridCol w:w="483"/>
        <w:gridCol w:w="808"/>
        <w:gridCol w:w="1177"/>
        <w:gridCol w:w="1364"/>
        <w:gridCol w:w="591"/>
        <w:gridCol w:w="1005"/>
        <w:gridCol w:w="483"/>
        <w:gridCol w:w="572"/>
        <w:gridCol w:w="896"/>
      </w:tblGrid>
      <w:tr>
        <w:tblPrEx>
          <w:tblCellMar>
            <w:top w:w="15" w:type="dxa"/>
            <w:left w:w="15" w:type="dxa"/>
            <w:bottom w:w="15" w:type="dxa"/>
            <w:right w:w="15" w:type="dxa"/>
          </w:tblCellMar>
        </w:tblPrEx>
        <w:trPr>
          <w:trHeight w:val="7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15" w:type="dxa"/>
            <w:left w:w="15" w:type="dxa"/>
            <w:bottom w:w="15" w:type="dxa"/>
            <w:right w:w="15" w:type="dxa"/>
          </w:tblCellMar>
        </w:tblPrEx>
        <w:trPr>
          <w:trHeight w:val="4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残疾人事业发展</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50023123T000002763447</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720-垫江县包家镇人民政府</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谭庆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74586789</w:t>
            </w: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15" w:type="dxa"/>
            <w:left w:w="15" w:type="dxa"/>
            <w:bottom w:w="15" w:type="dxa"/>
            <w:right w:w="15" w:type="dxa"/>
          </w:tblCellMar>
        </w:tblPrEx>
        <w:trPr>
          <w:trHeight w:val="495" w:hRule="atLeast"/>
        </w:trPr>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5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年度总金额</w:t>
            </w:r>
          </w:p>
        </w:tc>
        <w:tc>
          <w:tcPr>
            <w:tcW w:w="483"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8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80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1177"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64"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38,480.00 </w:t>
            </w:r>
          </w:p>
        </w:tc>
        <w:tc>
          <w:tcPr>
            <w:tcW w:w="59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005"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38,480.00 </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83"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8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80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1177"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64"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38,480.00 </w:t>
            </w:r>
          </w:p>
        </w:tc>
        <w:tc>
          <w:tcPr>
            <w:tcW w:w="59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005"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38,480.00 </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83"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83"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808"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1177"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64"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35,036.00 </w:t>
            </w:r>
          </w:p>
        </w:tc>
        <w:tc>
          <w:tcPr>
            <w:tcW w:w="59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005"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35,036.00 </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15" w:type="dxa"/>
            <w:left w:w="15" w:type="dxa"/>
            <w:bottom w:w="15" w:type="dxa"/>
            <w:right w:w="15" w:type="dxa"/>
          </w:tblCellMar>
        </w:tblPrEx>
        <w:trPr>
          <w:trHeight w:val="495" w:hRule="atLeast"/>
        </w:trPr>
        <w:tc>
          <w:tcPr>
            <w:tcW w:w="22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15" w:type="dxa"/>
            <w:left w:w="15" w:type="dxa"/>
            <w:bottom w:w="15" w:type="dxa"/>
            <w:right w:w="15" w:type="dxa"/>
          </w:tblCellMar>
        </w:tblPrEx>
        <w:trPr>
          <w:trHeight w:val="1590" w:hRule="atLeast"/>
        </w:trPr>
        <w:tc>
          <w:tcPr>
            <w:tcW w:w="2257"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家庭无障碍改造及专职委员第一季度工作 补贴发放工作，</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家庭无障碍改造及专职委员第一季度工作 补贴发放工作，</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家庭无障碍改造及专职委员第一季度工作 补贴发放工作</w:t>
            </w: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无障碍户数</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户</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13</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按标准建设</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及时发放</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明显改善</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明显改善</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成本</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22900</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35036</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53</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根据实际支出调整</w:t>
            </w:r>
          </w:p>
        </w:tc>
      </w:tr>
    </w:tbl>
    <w:p>
      <w:pPr>
        <w:pStyle w:val="12"/>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tbl>
      <w:tblPr>
        <w:tblStyle w:val="7"/>
        <w:tblW w:w="8345" w:type="dxa"/>
        <w:tblInd w:w="0" w:type="dxa"/>
        <w:tblLayout w:type="fixed"/>
        <w:tblCellMar>
          <w:top w:w="15" w:type="dxa"/>
          <w:left w:w="15" w:type="dxa"/>
          <w:bottom w:w="15" w:type="dxa"/>
          <w:right w:w="15" w:type="dxa"/>
        </w:tblCellMar>
      </w:tblPr>
      <w:tblGrid>
        <w:gridCol w:w="471"/>
        <w:gridCol w:w="471"/>
        <w:gridCol w:w="471"/>
        <w:gridCol w:w="893"/>
        <w:gridCol w:w="1156"/>
        <w:gridCol w:w="1320"/>
        <w:gridCol w:w="576"/>
        <w:gridCol w:w="1085"/>
        <w:gridCol w:w="471"/>
        <w:gridCol w:w="557"/>
        <w:gridCol w:w="874"/>
      </w:tblGrid>
      <w:tr>
        <w:tblPrEx>
          <w:tblCellMar>
            <w:top w:w="15" w:type="dxa"/>
            <w:left w:w="15" w:type="dxa"/>
            <w:bottom w:w="15" w:type="dxa"/>
            <w:right w:w="15" w:type="dxa"/>
          </w:tblCellMar>
        </w:tblPrEx>
        <w:trPr>
          <w:trHeight w:val="7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tblPrEx>
          <w:tblCellMar>
            <w:top w:w="15" w:type="dxa"/>
            <w:left w:w="15" w:type="dxa"/>
            <w:bottom w:w="15" w:type="dxa"/>
            <w:right w:w="15" w:type="dxa"/>
          </w:tblCellMar>
        </w:tblPrEx>
        <w:trPr>
          <w:trHeight w:val="49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农村综合改革转移支付</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50023122T000002074162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b/>
                <w:bCs/>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720-垫江县包家镇人民政府</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15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张婷</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74586789</w:t>
            </w: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tblPrEx>
          <w:tblCellMar>
            <w:top w:w="15" w:type="dxa"/>
            <w:left w:w="15" w:type="dxa"/>
            <w:bottom w:w="15" w:type="dxa"/>
            <w:right w:w="15" w:type="dxa"/>
          </w:tblCellMar>
        </w:tblPrEx>
        <w:trPr>
          <w:trHeight w:val="495" w:hRule="atLeast"/>
        </w:trPr>
        <w:tc>
          <w:tcPr>
            <w:tcW w:w="9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22"/>
                <w:szCs w:val="22"/>
              </w:rPr>
            </w:pP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16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b/>
                <w:bCs/>
                <w:color w:val="000000"/>
                <w:sz w:val="22"/>
                <w:szCs w:val="22"/>
              </w:rPr>
            </w:pPr>
            <w:r>
              <w:rPr>
                <w:rFonts w:cs="宋体"/>
                <w:b/>
                <w:bCs/>
                <w:color w:val="000000"/>
                <w:sz w:val="22"/>
                <w:szCs w:val="22"/>
                <w:lang w:bidi="ar"/>
              </w:rPr>
              <w:t>执行率权重</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执行率得分</w:t>
            </w: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pPr>
              <w:jc w:val="both"/>
              <w:textAlignment w:val="center"/>
              <w:rPr>
                <w:rFonts w:hint="default" w:cs="宋体"/>
                <w:color w:val="000000"/>
                <w:sz w:val="22"/>
                <w:szCs w:val="22"/>
              </w:rPr>
            </w:pPr>
            <w:r>
              <w:rPr>
                <w:rFonts w:cs="宋体"/>
                <w:color w:val="000000"/>
                <w:sz w:val="22"/>
                <w:szCs w:val="22"/>
                <w:lang w:bidi="ar"/>
              </w:rPr>
              <w:t>年度总金额</w:t>
            </w:r>
          </w:p>
        </w:tc>
        <w:tc>
          <w:tcPr>
            <w:tcW w:w="471" w:type="dxa"/>
            <w:tcBorders>
              <w:top w:val="single" w:color="000000" w:sz="4" w:space="0"/>
              <w:bottom w:val="single" w:color="000000" w:sz="4" w:space="0"/>
              <w:right w:val="single" w:color="000000" w:sz="4" w:space="0"/>
            </w:tcBorders>
            <w:shd w:val="clear" w:color="auto" w:fill="auto"/>
            <w:vAlign w:val="center"/>
          </w:tcPr>
          <w:p>
            <w:pPr>
              <w:jc w:val="both"/>
              <w:rPr>
                <w:rFonts w:hint="default" w:cs="宋体"/>
                <w:color w:val="000000"/>
                <w:sz w:val="22"/>
                <w:szCs w:val="22"/>
              </w:rPr>
            </w:pPr>
          </w:p>
        </w:tc>
        <w:tc>
          <w:tcPr>
            <w:tcW w:w="47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89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115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20"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410,000.00 </w:t>
            </w:r>
          </w:p>
        </w:tc>
        <w:tc>
          <w:tcPr>
            <w:tcW w:w="57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085"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410,000.00 </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471"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7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89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115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20"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410,000.00 </w:t>
            </w:r>
          </w:p>
        </w:tc>
        <w:tc>
          <w:tcPr>
            <w:tcW w:w="57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085"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410,000.00 </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471" w:type="dxa"/>
            <w:tcBorders>
              <w:top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471"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893"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0.00 </w:t>
            </w:r>
          </w:p>
        </w:tc>
        <w:tc>
          <w:tcPr>
            <w:tcW w:w="115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320"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410,000.00 </w:t>
            </w:r>
          </w:p>
        </w:tc>
        <w:tc>
          <w:tcPr>
            <w:tcW w:w="576" w:type="dxa"/>
            <w:tcBorders>
              <w:top w:val="single" w:color="000000" w:sz="4" w:space="0"/>
              <w:left w:val="single" w:color="000000" w:sz="4" w:space="0"/>
              <w:bottom w:val="single" w:color="000000" w:sz="4" w:space="0"/>
            </w:tcBorders>
            <w:shd w:val="clear" w:color="auto" w:fill="auto"/>
            <w:vAlign w:val="center"/>
          </w:tcPr>
          <w:p>
            <w:pPr>
              <w:rPr>
                <w:rFonts w:hint="default" w:cs="宋体"/>
                <w:color w:val="000000"/>
                <w:sz w:val="22"/>
                <w:szCs w:val="22"/>
              </w:rPr>
            </w:pPr>
          </w:p>
        </w:tc>
        <w:tc>
          <w:tcPr>
            <w:tcW w:w="1085" w:type="dxa"/>
            <w:tcBorders>
              <w:top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 xml:space="preserve">410,000.00 </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hint="default" w:cs="宋体"/>
                <w:color w:val="000000"/>
                <w:sz w:val="22"/>
                <w:szCs w:val="22"/>
              </w:rPr>
            </w:pPr>
            <w:r>
              <w:rPr>
                <w:rFonts w:cs="宋体"/>
                <w:color w:val="000000"/>
                <w:sz w:val="22"/>
                <w:szCs w:val="22"/>
                <w:lang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22"/>
                <w:szCs w:val="22"/>
              </w:rPr>
            </w:pP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tblPrEx>
          <w:tblCellMar>
            <w:top w:w="15" w:type="dxa"/>
            <w:left w:w="15" w:type="dxa"/>
            <w:bottom w:w="15" w:type="dxa"/>
            <w:right w:w="15" w:type="dxa"/>
          </w:tblCellMar>
        </w:tblPrEx>
        <w:trPr>
          <w:trHeight w:val="495" w:hRule="atLeast"/>
        </w:trPr>
        <w:tc>
          <w:tcPr>
            <w:tcW w:w="23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tblPrEx>
          <w:tblCellMar>
            <w:top w:w="15" w:type="dxa"/>
            <w:left w:w="15" w:type="dxa"/>
            <w:bottom w:w="15" w:type="dxa"/>
            <w:right w:w="15" w:type="dxa"/>
          </w:tblCellMar>
        </w:tblPrEx>
        <w:trPr>
          <w:trHeight w:val="1590" w:hRule="atLeast"/>
        </w:trPr>
        <w:tc>
          <w:tcPr>
            <w:tcW w:w="230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包家镇小山村、陆箭村内道路亮化工程</w:t>
            </w:r>
          </w:p>
        </w:tc>
        <w:tc>
          <w:tcPr>
            <w:tcW w:w="4137"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包家镇小山村、陆箭村内道路亮化工程</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22"/>
                <w:szCs w:val="22"/>
              </w:rPr>
            </w:pPr>
            <w:r>
              <w:rPr>
                <w:rFonts w:cs="宋体"/>
                <w:color w:val="000000"/>
                <w:sz w:val="22"/>
                <w:szCs w:val="22"/>
                <w:lang w:bidi="ar"/>
              </w:rPr>
              <w:t xml:space="preserve"> </w:t>
            </w:r>
            <w:r>
              <w:rPr>
                <w:rFonts w:cs="宋体"/>
                <w:color w:val="000000"/>
                <w:sz w:val="22"/>
                <w:szCs w:val="22"/>
                <w:lang w:bidi="ar"/>
              </w:rPr>
              <w:br w:type="textWrapping"/>
            </w:r>
            <w:r>
              <w:rPr>
                <w:rFonts w:cs="宋体"/>
                <w:color w:val="000000"/>
                <w:sz w:val="22"/>
                <w:szCs w:val="22"/>
                <w:lang w:bidi="ar"/>
              </w:rPr>
              <w:t>包家镇小山村、陆箭村内道路亮化工程</w:t>
            </w:r>
          </w:p>
        </w:tc>
      </w:tr>
      <w:tr>
        <w:tblPrEx>
          <w:tblCellMar>
            <w:top w:w="15" w:type="dxa"/>
            <w:left w:w="15" w:type="dxa"/>
            <w:bottom w:w="15" w:type="dxa"/>
            <w:right w:w="15" w:type="dxa"/>
          </w:tblCellMar>
        </w:tblPrEx>
        <w:trPr>
          <w:trHeight w:val="6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指标值</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偏离度（%）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22"/>
                <w:szCs w:val="22"/>
              </w:rPr>
            </w:pPr>
            <w:r>
              <w:rPr>
                <w:rFonts w:cs="宋体"/>
                <w:b/>
                <w:bCs/>
                <w:color w:val="000000"/>
                <w:sz w:val="22"/>
                <w:szCs w:val="22"/>
                <w:lang w:bidi="ar"/>
              </w:rPr>
              <w:t>说明</w:t>
            </w: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太阳能路灯数量</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盏</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375</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375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按质量要求安装</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按项目进度完成建设</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明显改善</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明显改善</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享受群众本满意度</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r>
        <w:tblPrEx>
          <w:tblCellMar>
            <w:top w:w="15" w:type="dxa"/>
            <w:left w:w="15" w:type="dxa"/>
            <w:bottom w:w="15" w:type="dxa"/>
            <w:right w:w="15" w:type="dxa"/>
          </w:tblCellMar>
        </w:tblPrEx>
        <w:trPr>
          <w:trHeight w:val="495" w:hRule="atLeast"/>
        </w:trPr>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建设成</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410000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410000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22"/>
                <w:szCs w:val="22"/>
              </w:rPr>
            </w:pPr>
          </w:p>
        </w:tc>
      </w:tr>
    </w:tbl>
    <w:p>
      <w:pPr>
        <w:pStyle w:val="12"/>
        <w:spacing w:before="0" w:beforeAutospacing="0"/>
        <w:rPr>
          <w:rFonts w:ascii="方正仿宋_GBK" w:hAnsi="方正仿宋_GBK" w:eastAsia="方正仿宋_GBK" w:cs="方正仿宋_GBK"/>
          <w:sz w:val="32"/>
          <w:szCs w:val="32"/>
          <w:shd w:val="clear" w:color="auto" w:fill="FFFFFF"/>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1"/>
        <w:autoSpaceDE w:val="0"/>
        <w:ind w:firstLine="643"/>
        <w:rPr>
          <w:rFonts w:ascii="楷体" w:hAnsi="楷体" w:eastAsia="楷体" w:cs="楷体"/>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楷体" w:hAnsi="楷体" w:eastAsia="楷体" w:cs="楷体"/>
          <w:sz w:val="32"/>
          <w:szCs w:val="32"/>
          <w:shd w:val="clear" w:color="auto" w:fill="FFFFFF"/>
          <w:lang w:bidi="ar"/>
        </w:rPr>
        <w:t xml:space="preserve"> </w:t>
      </w:r>
      <w:r>
        <w:rPr>
          <w:rFonts w:hint="eastAsia" w:ascii="方正仿宋_GBK" w:hAnsi="方正仿宋_GBK" w:eastAsia="方正仿宋_GBK" w:cs="方正仿宋_GBK"/>
          <w:sz w:val="32"/>
          <w:szCs w:val="32"/>
          <w:shd w:val="clear" w:color="auto" w:fill="FFFFFF"/>
          <w:lang w:bidi="ar"/>
        </w:rPr>
        <w:t>我部门未组织开展绩效评价。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4"/>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本部门决算公开信息反馈和联系方式：023-74586789</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公开部门：垫江县包家镇人民政府</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2,418.81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655.98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68.94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341.64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46.04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65.83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538.97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266.98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219.31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44.13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37.48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2,419.15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2,419.15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2,419.15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2,419.15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公开部门：垫江县包家镇人民政府</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2,419.15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2,419.15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655.98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655.98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579.64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579.64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467.04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467.04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142.04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142.04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2130135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271.63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271.63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230.63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230.63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266.98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266.98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251.30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251.30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251.30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251.30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其他自然灾害防治支出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垫江县包家镇人民政府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2,419.15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1,266.73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1,152.43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655.98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467.04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188.95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467.04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467.04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467.04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64.06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64.06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341.64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292.31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58.03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36.23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538.97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293.15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111.54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2130135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79.09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271.63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181.61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230.63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181.61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266.98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266.98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251.30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251.30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其他自然灾害防治支出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垫江县包家镇人民政府</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2,418.81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655.98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655.98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341.64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341.64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65.83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538.97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538.97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266.98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266.98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219.31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219.31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44.13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44.13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0.34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2,419.15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2,419.15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2,418.81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0.34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2,419.15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2,419.15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2,418.81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0.34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垫江县包家镇人民政府</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2,418.81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1,266.73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1,152.08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655.98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467.04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188.95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人大会议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579.64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467.04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112.60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467.04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467.04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40.78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40.78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40.78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40.78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司法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2040602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64.06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64.06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64.06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64.06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341.64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292.31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84.54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14.11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70.43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其他人力资源和社会保障管理事务支出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142.04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142.04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58.03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58.03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29.01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29.01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55.01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55.01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23.34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23.34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其他优抚支出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23.34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23.34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其他生活救助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其他城市生活救助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60.72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56.49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56.49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56.49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36.23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其他公共卫生支出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36.23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36.23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优抚对象医疗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优抚对象医疗补助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医疗保障管理事务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医疗保障经办事务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污染防治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123.81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51.90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城管执法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538.97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293.15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245.83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121.61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111.54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111.54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111.54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2130135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农业资源保护修复与利用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2130148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渔业发展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84.08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84.08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79.09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12.32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12.32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12.32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12.32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271.63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181.61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230.63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181.61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266.98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266.98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15.68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15.68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251.30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251.30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251.30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251.30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219.31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44.13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42.03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42.03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37.48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其他自然灾害防治支出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2.91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7.17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垫江县包家镇人民政府</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847.04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157.43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158.81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143.77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219.69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58.03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20.69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36.23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261.93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23.34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234.78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14.24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1,108.96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157.76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垫江县包家镇人民政府</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0.34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垫江县包家镇人民政府</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垫江县包家镇人民政府</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104.25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7.76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7.76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104.25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2.67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2.67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2.67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335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2.73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0.42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- 26 -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2CB216B9"/>
    <w:multiLevelType w:val="singleLevel"/>
    <w:tmpl w:val="2CB216B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B03CCD"/>
    <w:rsid w:val="002E5443"/>
    <w:rsid w:val="003C7DDC"/>
    <w:rsid w:val="00550ABE"/>
    <w:rsid w:val="006E6DC6"/>
    <w:rsid w:val="007B419D"/>
    <w:rsid w:val="008E3A83"/>
    <w:rsid w:val="009B67B8"/>
    <w:rsid w:val="00AC07A4"/>
    <w:rsid w:val="00B03CCD"/>
    <w:rsid w:val="00BD1CE8"/>
    <w:rsid w:val="00E76362"/>
    <w:rsid w:val="00F73F90"/>
    <w:rsid w:val="01474EBF"/>
    <w:rsid w:val="01B80D3F"/>
    <w:rsid w:val="01F3521E"/>
    <w:rsid w:val="02272439"/>
    <w:rsid w:val="03874046"/>
    <w:rsid w:val="03B87EA0"/>
    <w:rsid w:val="03E3214F"/>
    <w:rsid w:val="04236180"/>
    <w:rsid w:val="044C50BA"/>
    <w:rsid w:val="05BC6D49"/>
    <w:rsid w:val="06194FF1"/>
    <w:rsid w:val="06A2550B"/>
    <w:rsid w:val="06E21784"/>
    <w:rsid w:val="06F80EE2"/>
    <w:rsid w:val="07001CCA"/>
    <w:rsid w:val="075678DB"/>
    <w:rsid w:val="079D7CC7"/>
    <w:rsid w:val="08051BCA"/>
    <w:rsid w:val="086C12F4"/>
    <w:rsid w:val="08BA052C"/>
    <w:rsid w:val="08DB07BA"/>
    <w:rsid w:val="08E76D33"/>
    <w:rsid w:val="0969353F"/>
    <w:rsid w:val="098305D0"/>
    <w:rsid w:val="0A5C4B69"/>
    <w:rsid w:val="0A86124A"/>
    <w:rsid w:val="0AB54CC0"/>
    <w:rsid w:val="0B7E718C"/>
    <w:rsid w:val="0B9335CE"/>
    <w:rsid w:val="0C7927C4"/>
    <w:rsid w:val="0C9B098C"/>
    <w:rsid w:val="0D655A94"/>
    <w:rsid w:val="0D673E11"/>
    <w:rsid w:val="0DD74424"/>
    <w:rsid w:val="0DDA54E4"/>
    <w:rsid w:val="0E3A5F83"/>
    <w:rsid w:val="0E7D5A1E"/>
    <w:rsid w:val="0F36313F"/>
    <w:rsid w:val="0F836721"/>
    <w:rsid w:val="0FA25D96"/>
    <w:rsid w:val="107B59E5"/>
    <w:rsid w:val="10EC0126"/>
    <w:rsid w:val="10F70B9A"/>
    <w:rsid w:val="111445C7"/>
    <w:rsid w:val="114278C6"/>
    <w:rsid w:val="1158083A"/>
    <w:rsid w:val="11643A4B"/>
    <w:rsid w:val="117A4DA1"/>
    <w:rsid w:val="11ED0F98"/>
    <w:rsid w:val="11F03528"/>
    <w:rsid w:val="12C921C4"/>
    <w:rsid w:val="13871C70"/>
    <w:rsid w:val="13A71CB4"/>
    <w:rsid w:val="13AF1D43"/>
    <w:rsid w:val="13CE1647"/>
    <w:rsid w:val="13FD55AB"/>
    <w:rsid w:val="14200702"/>
    <w:rsid w:val="159A0AD4"/>
    <w:rsid w:val="15CC338C"/>
    <w:rsid w:val="163A6CEE"/>
    <w:rsid w:val="173708E3"/>
    <w:rsid w:val="17472E1F"/>
    <w:rsid w:val="17C374FC"/>
    <w:rsid w:val="189079DC"/>
    <w:rsid w:val="189B0D0B"/>
    <w:rsid w:val="18B43F7C"/>
    <w:rsid w:val="194A1770"/>
    <w:rsid w:val="19B906A4"/>
    <w:rsid w:val="1A106518"/>
    <w:rsid w:val="1A316C1A"/>
    <w:rsid w:val="1B6F15B6"/>
    <w:rsid w:val="1BAA2EDC"/>
    <w:rsid w:val="1BF30EE9"/>
    <w:rsid w:val="1C5C0973"/>
    <w:rsid w:val="1CA55E64"/>
    <w:rsid w:val="1D014A01"/>
    <w:rsid w:val="1D022362"/>
    <w:rsid w:val="1D1B04B0"/>
    <w:rsid w:val="1DBD6767"/>
    <w:rsid w:val="1DC05871"/>
    <w:rsid w:val="1DC52125"/>
    <w:rsid w:val="1DD26311"/>
    <w:rsid w:val="1E374ACB"/>
    <w:rsid w:val="1ECF0A66"/>
    <w:rsid w:val="1EF67CA4"/>
    <w:rsid w:val="1EF70A61"/>
    <w:rsid w:val="1F020D3A"/>
    <w:rsid w:val="1F2C5189"/>
    <w:rsid w:val="1F4B0B02"/>
    <w:rsid w:val="1F9550C7"/>
    <w:rsid w:val="1F956BE1"/>
    <w:rsid w:val="1FBB35CD"/>
    <w:rsid w:val="1FCD26AF"/>
    <w:rsid w:val="20642787"/>
    <w:rsid w:val="21556F04"/>
    <w:rsid w:val="22403BD3"/>
    <w:rsid w:val="22FB61DA"/>
    <w:rsid w:val="233D3949"/>
    <w:rsid w:val="236C59B5"/>
    <w:rsid w:val="24347A3E"/>
    <w:rsid w:val="247B3126"/>
    <w:rsid w:val="24B92327"/>
    <w:rsid w:val="24C14514"/>
    <w:rsid w:val="25107464"/>
    <w:rsid w:val="2533755C"/>
    <w:rsid w:val="25791755"/>
    <w:rsid w:val="25D627BB"/>
    <w:rsid w:val="26396DF4"/>
    <w:rsid w:val="264048FF"/>
    <w:rsid w:val="264E7C63"/>
    <w:rsid w:val="266E3B31"/>
    <w:rsid w:val="27167136"/>
    <w:rsid w:val="27B23302"/>
    <w:rsid w:val="29310A5F"/>
    <w:rsid w:val="29C37A35"/>
    <w:rsid w:val="29E5275E"/>
    <w:rsid w:val="29FF21BF"/>
    <w:rsid w:val="2A076083"/>
    <w:rsid w:val="2A3E08EE"/>
    <w:rsid w:val="2A73162E"/>
    <w:rsid w:val="2AA8356C"/>
    <w:rsid w:val="2B167953"/>
    <w:rsid w:val="2B200583"/>
    <w:rsid w:val="2B8209DE"/>
    <w:rsid w:val="2C657708"/>
    <w:rsid w:val="2C6762A3"/>
    <w:rsid w:val="2DDC50D9"/>
    <w:rsid w:val="2E136B5E"/>
    <w:rsid w:val="2EBF7B3E"/>
    <w:rsid w:val="2F5C6AA1"/>
    <w:rsid w:val="2FC40BB7"/>
    <w:rsid w:val="2FCA4B37"/>
    <w:rsid w:val="2FE029D7"/>
    <w:rsid w:val="2FF06E00"/>
    <w:rsid w:val="30562E26"/>
    <w:rsid w:val="30586FEC"/>
    <w:rsid w:val="308723F2"/>
    <w:rsid w:val="30AF54D1"/>
    <w:rsid w:val="30C71909"/>
    <w:rsid w:val="315F0B22"/>
    <w:rsid w:val="318800F4"/>
    <w:rsid w:val="319D022C"/>
    <w:rsid w:val="31C90022"/>
    <w:rsid w:val="31D84415"/>
    <w:rsid w:val="32285F6F"/>
    <w:rsid w:val="32770556"/>
    <w:rsid w:val="329C0913"/>
    <w:rsid w:val="32AA0460"/>
    <w:rsid w:val="3337290D"/>
    <w:rsid w:val="33605F45"/>
    <w:rsid w:val="33B176CF"/>
    <w:rsid w:val="33BD71E7"/>
    <w:rsid w:val="33E31118"/>
    <w:rsid w:val="33EF7674"/>
    <w:rsid w:val="342D7BC6"/>
    <w:rsid w:val="352930DB"/>
    <w:rsid w:val="35573069"/>
    <w:rsid w:val="355F6038"/>
    <w:rsid w:val="358C217E"/>
    <w:rsid w:val="36747A1D"/>
    <w:rsid w:val="36C9128A"/>
    <w:rsid w:val="377F4806"/>
    <w:rsid w:val="37841E99"/>
    <w:rsid w:val="37BF1123"/>
    <w:rsid w:val="383C3F15"/>
    <w:rsid w:val="388C702E"/>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4A5630"/>
    <w:rsid w:val="3DDF3AB1"/>
    <w:rsid w:val="3E1D0952"/>
    <w:rsid w:val="3E42660A"/>
    <w:rsid w:val="3E7555B1"/>
    <w:rsid w:val="3E787ED9"/>
    <w:rsid w:val="3EEC37F3"/>
    <w:rsid w:val="3F032E93"/>
    <w:rsid w:val="3F0527E5"/>
    <w:rsid w:val="3F694D83"/>
    <w:rsid w:val="3F885DCC"/>
    <w:rsid w:val="3F9474B6"/>
    <w:rsid w:val="3FCD675E"/>
    <w:rsid w:val="4004000C"/>
    <w:rsid w:val="40BF63C6"/>
    <w:rsid w:val="411B6CE5"/>
    <w:rsid w:val="412070D7"/>
    <w:rsid w:val="41314E40"/>
    <w:rsid w:val="4163274A"/>
    <w:rsid w:val="41751A48"/>
    <w:rsid w:val="41E0734B"/>
    <w:rsid w:val="426554D0"/>
    <w:rsid w:val="426C1EA8"/>
    <w:rsid w:val="42736402"/>
    <w:rsid w:val="42E86A87"/>
    <w:rsid w:val="43307B09"/>
    <w:rsid w:val="43BB152F"/>
    <w:rsid w:val="44C37687"/>
    <w:rsid w:val="45575091"/>
    <w:rsid w:val="45B72EB9"/>
    <w:rsid w:val="45CB699A"/>
    <w:rsid w:val="465B470D"/>
    <w:rsid w:val="469D6AD4"/>
    <w:rsid w:val="46C63E9C"/>
    <w:rsid w:val="471E6C84"/>
    <w:rsid w:val="4748792B"/>
    <w:rsid w:val="475D719D"/>
    <w:rsid w:val="47674801"/>
    <w:rsid w:val="48225EF7"/>
    <w:rsid w:val="488F422B"/>
    <w:rsid w:val="48B71E26"/>
    <w:rsid w:val="48CE400C"/>
    <w:rsid w:val="48E36915"/>
    <w:rsid w:val="495C4A24"/>
    <w:rsid w:val="497135DF"/>
    <w:rsid w:val="4A263DF2"/>
    <w:rsid w:val="4A6F6675"/>
    <w:rsid w:val="4B135857"/>
    <w:rsid w:val="4B7951CB"/>
    <w:rsid w:val="4B7C315C"/>
    <w:rsid w:val="4B9825BC"/>
    <w:rsid w:val="4BF707D3"/>
    <w:rsid w:val="4D057687"/>
    <w:rsid w:val="4D4065B1"/>
    <w:rsid w:val="4D47597C"/>
    <w:rsid w:val="4D8073F2"/>
    <w:rsid w:val="4DAC4ACA"/>
    <w:rsid w:val="4DBE01D2"/>
    <w:rsid w:val="4E5531A0"/>
    <w:rsid w:val="4F0C6BA3"/>
    <w:rsid w:val="4F186D58"/>
    <w:rsid w:val="4FBA146C"/>
    <w:rsid w:val="4FEA65B7"/>
    <w:rsid w:val="50335A76"/>
    <w:rsid w:val="503E49B7"/>
    <w:rsid w:val="503F7C07"/>
    <w:rsid w:val="50F06B6E"/>
    <w:rsid w:val="52234D33"/>
    <w:rsid w:val="522F6E0C"/>
    <w:rsid w:val="52463BA1"/>
    <w:rsid w:val="52A20CEB"/>
    <w:rsid w:val="52F163D4"/>
    <w:rsid w:val="531A2DB4"/>
    <w:rsid w:val="53C0244D"/>
    <w:rsid w:val="53DD4D4E"/>
    <w:rsid w:val="53E578CE"/>
    <w:rsid w:val="53F70C7A"/>
    <w:rsid w:val="541330F0"/>
    <w:rsid w:val="54272666"/>
    <w:rsid w:val="543A374E"/>
    <w:rsid w:val="543B029D"/>
    <w:rsid w:val="546524E9"/>
    <w:rsid w:val="54861779"/>
    <w:rsid w:val="54BB153A"/>
    <w:rsid w:val="552256E1"/>
    <w:rsid w:val="55244C4B"/>
    <w:rsid w:val="554E5773"/>
    <w:rsid w:val="555A3CBC"/>
    <w:rsid w:val="5582012B"/>
    <w:rsid w:val="558E4E05"/>
    <w:rsid w:val="55BE2E85"/>
    <w:rsid w:val="56530F5D"/>
    <w:rsid w:val="567700D3"/>
    <w:rsid w:val="56D91391"/>
    <w:rsid w:val="56FF7E9E"/>
    <w:rsid w:val="570E13C2"/>
    <w:rsid w:val="578867FC"/>
    <w:rsid w:val="5842572D"/>
    <w:rsid w:val="5A376592"/>
    <w:rsid w:val="5A3B59D6"/>
    <w:rsid w:val="5ACE0CAC"/>
    <w:rsid w:val="5AD134D8"/>
    <w:rsid w:val="5BFE64F9"/>
    <w:rsid w:val="5C263CE4"/>
    <w:rsid w:val="5C5D2777"/>
    <w:rsid w:val="5CF66BF3"/>
    <w:rsid w:val="5D290C69"/>
    <w:rsid w:val="5F2D4A41"/>
    <w:rsid w:val="6014744E"/>
    <w:rsid w:val="60C74F6C"/>
    <w:rsid w:val="61025A59"/>
    <w:rsid w:val="613D5BBC"/>
    <w:rsid w:val="61536C39"/>
    <w:rsid w:val="62426577"/>
    <w:rsid w:val="626978FE"/>
    <w:rsid w:val="62944DD7"/>
    <w:rsid w:val="6319381F"/>
    <w:rsid w:val="63597FE0"/>
    <w:rsid w:val="63C25DC5"/>
    <w:rsid w:val="63C62057"/>
    <w:rsid w:val="64571EF5"/>
    <w:rsid w:val="64FB113D"/>
    <w:rsid w:val="656152C6"/>
    <w:rsid w:val="6587477F"/>
    <w:rsid w:val="658C3A08"/>
    <w:rsid w:val="65C031CA"/>
    <w:rsid w:val="65CE6852"/>
    <w:rsid w:val="66267C04"/>
    <w:rsid w:val="663F505A"/>
    <w:rsid w:val="66967186"/>
    <w:rsid w:val="66E53170"/>
    <w:rsid w:val="66EE5541"/>
    <w:rsid w:val="67924660"/>
    <w:rsid w:val="68407834"/>
    <w:rsid w:val="6883293E"/>
    <w:rsid w:val="688412AD"/>
    <w:rsid w:val="68EB1B71"/>
    <w:rsid w:val="69475C96"/>
    <w:rsid w:val="69E84617"/>
    <w:rsid w:val="6AAD2300"/>
    <w:rsid w:val="6B474EF5"/>
    <w:rsid w:val="6B750BE7"/>
    <w:rsid w:val="6BA13561"/>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2E60FE"/>
    <w:rsid w:val="736650B0"/>
    <w:rsid w:val="73934AD2"/>
    <w:rsid w:val="744437D1"/>
    <w:rsid w:val="750837F0"/>
    <w:rsid w:val="754758CF"/>
    <w:rsid w:val="75C1420E"/>
    <w:rsid w:val="764F62AB"/>
    <w:rsid w:val="765C45EC"/>
    <w:rsid w:val="768A7619"/>
    <w:rsid w:val="76912B5E"/>
    <w:rsid w:val="772E1EBA"/>
    <w:rsid w:val="77EB79F7"/>
    <w:rsid w:val="796A377D"/>
    <w:rsid w:val="796D60A4"/>
    <w:rsid w:val="79951CB7"/>
    <w:rsid w:val="79A031D5"/>
    <w:rsid w:val="7A1525F7"/>
    <w:rsid w:val="7AE54F58"/>
    <w:rsid w:val="7B2520B1"/>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44</Pages>
  <Words>18145</Words>
  <Characters>25239</Characters>
  <Lines>239</Lines>
  <Paragraphs>67</Paragraphs>
  <TotalTime>0</TotalTime>
  <ScaleCrop>false</ScaleCrop>
  <LinksUpToDate>false</LinksUpToDate>
  <CharactersWithSpaces>28293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2024-09-13T14:16:43Z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ies>
</file>