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21" w:rsidRDefault="001D6CC0">
      <w:pPr>
        <w:pStyle w:val="a6"/>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垫江县曹回镇人民政府</w:t>
      </w:r>
    </w:p>
    <w:p w:rsidR="007C4821" w:rsidRDefault="001D6CC0">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7C4821" w:rsidRDefault="001D6CC0">
      <w:pPr>
        <w:pStyle w:val="a6"/>
        <w:shd w:val="clear" w:color="auto" w:fill="FFFFFF"/>
        <w:spacing w:before="0" w:beforeAutospacing="0" w:after="0" w:afterAutospacing="0" w:line="594" w:lineRule="exact"/>
        <w:rPr>
          <w:rFonts w:ascii="黑体" w:eastAsia="黑体" w:hAnsi="黑体" w:cs="黑体" w:hint="default"/>
          <w:sz w:val="32"/>
          <w:szCs w:val="32"/>
        </w:rPr>
      </w:pPr>
      <w:r>
        <w:rPr>
          <w:rStyle w:val="a7"/>
          <w:rFonts w:ascii="黑体" w:eastAsia="黑体" w:hAnsi="黑体" w:cs="黑体"/>
          <w:sz w:val="32"/>
          <w:szCs w:val="32"/>
          <w:shd w:val="clear" w:color="auto" w:fill="FFFFFF"/>
        </w:rPr>
        <w:t>一、部门基本情况</w:t>
      </w:r>
    </w:p>
    <w:p w:rsidR="007C4821" w:rsidRDefault="001D6CC0">
      <w:pPr>
        <w:pStyle w:val="a6"/>
        <w:shd w:val="clear" w:color="auto" w:fill="FFFFFF"/>
        <w:spacing w:before="0" w:beforeAutospacing="0" w:after="0" w:afterAutospacing="0" w:line="594" w:lineRule="exact"/>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bookmarkStart w:id="0" w:name="OLE_LINK1"/>
      <w:r>
        <w:rPr>
          <w:rFonts w:ascii="方正仿宋_GBK" w:eastAsia="方正仿宋_GBK" w:hAnsi="方正仿宋_GBK" w:cs="方正仿宋_GBK"/>
          <w:sz w:val="32"/>
          <w:szCs w:val="32"/>
          <w:shd w:val="clear" w:color="auto" w:fill="FFFFFF"/>
        </w:rPr>
        <w:t>（1）党政办公室。负责纪检、武装、政务公开等工作。负责机关文秘、会务、档案、保密、后勤服务等工作。负责牵头协调办理人大代表和政协委员的议案、提案、建议、意见。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党群工作办公室。负责党的建设、组织、宣传、统战、民宗侨台、机构编制、人事、绩效管理、群团、党务公开等相关工作。负责镇公共服务中心和村（社区）便民服务中心的监督和管理等工作。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（3）人大办公室。负责镇人民代表大会、主席团履行法定职权的具体工作。组织人大代表视察、调研、评议等工作。完成党委、人大主席团交办的其他工作。 </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经济发展办公室（挂统计办公室、农村经营管理办公室、扶贫开发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w:t>
      </w:r>
      <w:r>
        <w:rPr>
          <w:rFonts w:ascii="方正仿宋_GBK" w:eastAsia="方正仿宋_GBK" w:hAnsi="方正仿宋_GBK" w:cs="方正仿宋_GBK"/>
          <w:sz w:val="32"/>
          <w:szCs w:val="32"/>
          <w:shd w:val="clear" w:color="auto" w:fill="FFFFFF"/>
        </w:rPr>
        <w:lastRenderedPageBreak/>
        <w:t>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6）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w:t>
      </w:r>
      <w:r>
        <w:rPr>
          <w:rFonts w:ascii="方正仿宋_GBK" w:eastAsia="方正仿宋_GBK" w:hAnsi="方正仿宋_GBK" w:cs="方正仿宋_GBK"/>
          <w:sz w:val="32"/>
          <w:szCs w:val="32"/>
          <w:shd w:val="clear" w:color="auto" w:fill="FFFFFF"/>
        </w:rPr>
        <w:lastRenderedPageBreak/>
        <w:t>负责留守儿童和妇女、老人关爱服务等工作。完成党委、政府交办的其他工作。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7）平安建设办公室。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（9）应急管理办公室。负责火灾、水旱灾害、地质灾害等灾害防治工作。负责救灾等工作。负责消防管理工作。</w:t>
      </w:r>
      <w:r>
        <w:rPr>
          <w:rFonts w:ascii="方正仿宋_GBK" w:eastAsia="方正仿宋_GBK" w:hAnsi="方正仿宋_GBK" w:cs="方正仿宋_GBK"/>
          <w:sz w:val="32"/>
          <w:szCs w:val="32"/>
          <w:shd w:val="clear" w:color="auto" w:fill="FFFFFF"/>
        </w:rPr>
        <w:lastRenderedPageBreak/>
        <w:t>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11）农业服务中心：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12）文化服务中心：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13）劳动就业和社会保障服务所：负责劳动就业和社会保障、农村劳务开发管理等具体工作。负责就业培训、职业指导、就业失业登记等相关工作。负责养老、医疗、工伤、生育、失业保险具体办理工作。负责劳动关系协调、离退休人员社会管理服务等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14）退役军人服务站：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（15）综合行政执法大队：负责配合综合行政执法办公室做好有关农林水利、规划建设、卫生健康、市容环卫、环境保护、文化旅游、民政管理、消防等方面的执法工作。</w:t>
      </w:r>
    </w:p>
    <w:bookmarkEnd w:id="0"/>
    <w:p w:rsidR="007C4821" w:rsidRDefault="001D6CC0">
      <w:pPr>
        <w:pStyle w:val="a6"/>
        <w:shd w:val="clear" w:color="auto" w:fill="FFFFFF"/>
        <w:spacing w:before="0" w:beforeAutospacing="0" w:after="0" w:afterAutospacing="0" w:line="594" w:lineRule="exact"/>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7C4821" w:rsidRDefault="001D6CC0">
      <w:pPr>
        <w:snapToGrid w:val="0"/>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本部门内设1个行政单位。5个公益一类事业单位。本部门现有在职职工55人。其中：行政人员25人、农业服务</w:t>
      </w:r>
      <w:r>
        <w:rPr>
          <w:rFonts w:ascii="方正仿宋_GBK" w:eastAsia="方正仿宋_GBK" w:hAnsi="方正仿宋_GBK" w:cs="方正仿宋_GBK"/>
          <w:sz w:val="32"/>
          <w:szCs w:val="32"/>
          <w:shd w:val="clear" w:color="auto" w:fill="FFFFFF"/>
        </w:rPr>
        <w:lastRenderedPageBreak/>
        <w:t>中心14人、文化服务中心4人、劳动就业和社会保障服务所5人、退役军人服务站2人、综合行政执法大队5人；同上年相比减少3人。（调离3人，新进2人，退休2人）。</w:t>
      </w:r>
    </w:p>
    <w:p w:rsidR="007C4821" w:rsidRDefault="001D6CC0">
      <w:pPr>
        <w:pStyle w:val="a6"/>
        <w:shd w:val="clear" w:color="auto" w:fill="FFFFFF"/>
        <w:spacing w:before="0" w:beforeAutospacing="0" w:after="0" w:afterAutospacing="0" w:line="594" w:lineRule="exact"/>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二、部门决算情况说明</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C4821" w:rsidRDefault="001D6CC0">
      <w:pPr>
        <w:pStyle w:val="a6"/>
        <w:shd w:val="clear" w:color="auto" w:fill="FFFFFF"/>
        <w:spacing w:before="0" w:beforeAutospacing="0" w:after="0" w:afterAutospacing="0" w:line="594" w:lineRule="exact"/>
        <w:ind w:firstLineChars="200" w:firstLine="643"/>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2023年度收入总计5476.20万元，支出总计</w:t>
      </w:r>
      <w:r>
        <w:rPr>
          <w:rFonts w:ascii="方正仿宋_GBK" w:eastAsia="方正仿宋_GBK" w:hAnsi="方正仿宋_GBK" w:cs="方正仿宋_GBK"/>
          <w:sz w:val="32"/>
          <w:szCs w:val="32"/>
        </w:rPr>
        <w:t>5476.20</w:t>
      </w:r>
      <w:r>
        <w:rPr>
          <w:rFonts w:ascii="方正仿宋_GBK" w:eastAsia="方正仿宋_GBK" w:hAnsi="方正仿宋_GBK" w:cs="方正仿宋_GBK"/>
          <w:sz w:val="32"/>
          <w:szCs w:val="32"/>
          <w:shd w:val="clear" w:color="auto" w:fill="FFFFFF"/>
        </w:rPr>
        <w:t>万元。收支较上年决算数增加1015.07万元，增长22.75%，主要原因是税收增加，2023年项目支出安排增加，年中追加项目资金较多（农村综合改革转移支付、中央农业资源与生态保护资金、农村公路专项资金、财金协同支持镇乡产业发展奖补资金等）。</w:t>
      </w:r>
    </w:p>
    <w:p w:rsidR="007C4821" w:rsidRDefault="001D6CC0">
      <w:pPr>
        <w:pStyle w:val="a6"/>
        <w:shd w:val="clear" w:color="auto" w:fill="FFFFFF"/>
        <w:spacing w:before="0" w:beforeAutospacing="0" w:after="0" w:afterAutospacing="0" w:line="594" w:lineRule="exact"/>
        <w:ind w:firstLineChars="200" w:firstLine="643"/>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2023年度收入合计5359.08万元，较上年决算数增加1514.87万元，增长39.41%，主要原因是财政支持力度大，税收增加。其中：财政拨款收入</w:t>
      </w:r>
      <w:r>
        <w:rPr>
          <w:rFonts w:ascii="方正仿宋_GBK" w:eastAsia="方正仿宋_GBK" w:hAnsi="方正仿宋_GBK" w:cs="方正仿宋_GBK"/>
          <w:sz w:val="32"/>
          <w:szCs w:val="32"/>
        </w:rPr>
        <w:t>5359.08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117.12</w:t>
      </w:r>
      <w:r>
        <w:rPr>
          <w:rFonts w:ascii="方正仿宋_GBK" w:eastAsia="方正仿宋_GBK" w:hAnsi="方正仿宋_GBK" w:cs="方正仿宋_GBK"/>
          <w:sz w:val="32"/>
          <w:szCs w:val="32"/>
          <w:shd w:val="clear" w:color="auto" w:fill="FFFFFF"/>
        </w:rPr>
        <w:t>万元。</w:t>
      </w:r>
    </w:p>
    <w:p w:rsidR="007C4821" w:rsidRDefault="001D6CC0">
      <w:pPr>
        <w:pStyle w:val="a6"/>
        <w:shd w:val="clear" w:color="auto" w:fill="FFFFFF"/>
        <w:spacing w:before="0" w:beforeAutospacing="0" w:after="0" w:afterAutospacing="0" w:line="594" w:lineRule="exact"/>
        <w:ind w:firstLineChars="200" w:firstLine="643"/>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5368.83</w:t>
      </w:r>
      <w:r>
        <w:rPr>
          <w:rFonts w:ascii="方正仿宋_GBK" w:eastAsia="方正仿宋_GBK" w:hAnsi="方正仿宋_GBK" w:cs="方正仿宋_GBK"/>
          <w:sz w:val="32"/>
          <w:szCs w:val="32"/>
          <w:shd w:val="clear" w:color="auto" w:fill="FFFFFF"/>
        </w:rPr>
        <w:t>万元，较上年决算数增加1024.82万元，增长23.59%，主要原因是2023年项目支出增加，年中追加项目资金较多（农村综合改革转移支付、中央农业资源与生态保护资金、农村公路专项资金、财金协同支持镇乡产业发展奖补资金等）。其中：基本支出</w:t>
      </w:r>
      <w:r>
        <w:rPr>
          <w:rFonts w:ascii="方正仿宋_GBK" w:eastAsia="方正仿宋_GBK" w:hAnsi="方正仿宋_GBK" w:cs="方正仿宋_GBK"/>
          <w:sz w:val="32"/>
          <w:szCs w:val="32"/>
        </w:rPr>
        <w:lastRenderedPageBreak/>
        <w:t>2049.61</w:t>
      </w:r>
      <w:r>
        <w:rPr>
          <w:rFonts w:ascii="方正仿宋_GBK" w:eastAsia="方正仿宋_GBK" w:hAnsi="方正仿宋_GBK" w:cs="方正仿宋_GBK"/>
          <w:sz w:val="32"/>
          <w:szCs w:val="32"/>
          <w:shd w:val="clear" w:color="auto" w:fill="FFFFFF"/>
        </w:rPr>
        <w:t>万元，占38.18%；项目支出</w:t>
      </w:r>
      <w:r>
        <w:rPr>
          <w:rFonts w:ascii="方正仿宋_GBK" w:eastAsia="方正仿宋_GBK" w:hAnsi="方正仿宋_GBK" w:cs="方正仿宋_GBK"/>
          <w:sz w:val="32"/>
          <w:szCs w:val="32"/>
        </w:rPr>
        <w:t>3319.22</w:t>
      </w:r>
      <w:r>
        <w:rPr>
          <w:rFonts w:ascii="方正仿宋_GBK" w:eastAsia="方正仿宋_GBK" w:hAnsi="方正仿宋_GBK" w:cs="方正仿宋_GBK"/>
          <w:sz w:val="32"/>
          <w:szCs w:val="32"/>
          <w:shd w:val="clear" w:color="auto" w:fill="FFFFFF"/>
        </w:rPr>
        <w:t>万元，占61.82%；经营支出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107.37</w:t>
      </w:r>
      <w:r>
        <w:rPr>
          <w:rFonts w:ascii="方正仿宋_GBK" w:eastAsia="方正仿宋_GBK" w:hAnsi="方正仿宋_GBK" w:cs="方正仿宋_GBK"/>
          <w:sz w:val="32"/>
          <w:szCs w:val="32"/>
          <w:shd w:val="clear" w:color="auto" w:fill="FFFFFF"/>
        </w:rPr>
        <w:t>万元，较上年决算数减少9.75万元，下降8.32%，主要原因是2023年度使用存量资金9.75万元（高铁护路专项资金）。</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2023年度财政拨款收、支总计5476.20万元。与2022年相比，财政拨款收、支总计各增加1015.07万元，增长22.75%。主要原因是财政支持力度大，税收收入较上年增加，2023年项目支出增加。</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5358.43</w:t>
      </w:r>
      <w:r>
        <w:rPr>
          <w:rFonts w:ascii="方正仿宋_GBK" w:eastAsia="方正仿宋_GBK" w:hAnsi="方正仿宋_GBK" w:cs="方正仿宋_GBK"/>
          <w:sz w:val="32"/>
          <w:szCs w:val="32"/>
          <w:shd w:val="clear" w:color="auto" w:fill="FFFFFF"/>
        </w:rPr>
        <w:t>万元，较上年决算数增加1531.51万元，增长40.02%。主要原因是财政支持力度大，税收收入增加。较年初预算数增加2791.37万元，增长108.74%。主要原因是年中追加项目资金（农村综合改革转移支付、中央农业资源与生态保护资金、农村公路专项资金、财金协同支持镇乡产业发展奖补资金等）。此外，年初财政拨款结转和结余</w:t>
      </w:r>
      <w:r>
        <w:rPr>
          <w:rFonts w:ascii="方正仿宋_GBK" w:eastAsia="方正仿宋_GBK" w:hAnsi="方正仿宋_GBK" w:cs="方正仿宋_GBK"/>
          <w:sz w:val="32"/>
          <w:szCs w:val="32"/>
        </w:rPr>
        <w:t>112.51</w:t>
      </w:r>
      <w:r>
        <w:rPr>
          <w:rFonts w:ascii="方正仿宋_GBK" w:eastAsia="方正仿宋_GBK" w:hAnsi="方正仿宋_GBK" w:cs="方正仿宋_GBK"/>
          <w:sz w:val="32"/>
          <w:szCs w:val="32"/>
          <w:shd w:val="clear" w:color="auto" w:fill="FFFFFF"/>
        </w:rPr>
        <w:t>万元。</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5368.18</w:t>
      </w:r>
      <w:r>
        <w:rPr>
          <w:rFonts w:ascii="方正仿宋_GBK" w:eastAsia="方正仿宋_GBK" w:hAnsi="方正仿宋_GBK" w:cs="方正仿宋_GBK"/>
          <w:sz w:val="32"/>
          <w:szCs w:val="32"/>
          <w:shd w:val="clear" w:color="auto" w:fill="FFFFFF"/>
        </w:rPr>
        <w:t>万元，较上年决算数增加1041.47万元，增长24.07%。主要原因是2023年项目支出增加且涉及的金额大、基数高。较年初预算数增加2801.12万元，增长109.12%。主要原因是年中追加项目资金（农村综合改革转移支付、中央农业资</w:t>
      </w:r>
      <w:r>
        <w:rPr>
          <w:rFonts w:ascii="方正仿宋_GBK" w:eastAsia="方正仿宋_GBK" w:hAnsi="方正仿宋_GBK" w:cs="方正仿宋_GBK"/>
          <w:sz w:val="32"/>
          <w:szCs w:val="32"/>
          <w:shd w:val="clear" w:color="auto" w:fill="FFFFFF"/>
        </w:rPr>
        <w:lastRenderedPageBreak/>
        <w:t>源与生态保护资金、农村公路专项资金、财金协同支持镇乡产业发展奖补资金等）。</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102.76</w:t>
      </w:r>
      <w:r>
        <w:rPr>
          <w:rFonts w:ascii="方正仿宋_GBK" w:eastAsia="方正仿宋_GBK" w:hAnsi="方正仿宋_GBK" w:cs="方正仿宋_GBK"/>
          <w:sz w:val="32"/>
          <w:szCs w:val="32"/>
          <w:shd w:val="clear" w:color="auto" w:fill="FFFFFF"/>
        </w:rPr>
        <w:t>万元，较上年决算数减少9.75万元，下降8.67%，主要原因是2023年度使用存量资金9.75万元（高铁护路专项资金）。</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0"/>
          <w:szCs w:val="30"/>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1052.43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19.60</w:t>
      </w:r>
      <w:r>
        <w:rPr>
          <w:rFonts w:ascii="方正仿宋_GBK" w:eastAsia="方正仿宋_GBK" w:hAnsi="方正仿宋_GBK" w:cs="方正仿宋_GBK"/>
          <w:sz w:val="32"/>
          <w:szCs w:val="32"/>
          <w:shd w:val="clear" w:color="auto" w:fill="FFFFFF"/>
        </w:rPr>
        <w:t>%，较年初预算数增加145.70万元，增长16.07%，主要原因是</w:t>
      </w:r>
      <w:r>
        <w:rPr>
          <w:rFonts w:ascii="方正仿宋_GBK" w:eastAsia="方正仿宋_GBK" w:hAnsi="方正仿宋_GBK" w:cs="方正仿宋_GBK"/>
          <w:sz w:val="30"/>
          <w:szCs w:val="30"/>
          <w:shd w:val="clear" w:color="auto" w:fill="FFFFFF"/>
        </w:rPr>
        <w:t>主要原因是人员经费及项目经费的追加，其中人员经费（</w:t>
      </w:r>
      <w:r>
        <w:rPr>
          <w:rFonts w:ascii="方正仿宋_GBK" w:eastAsia="方正仿宋_GBK" w:hAnsi="方正仿宋_GBK" w:cs="方正仿宋_GBK"/>
          <w:sz w:val="30"/>
          <w:szCs w:val="30"/>
        </w:rPr>
        <w:t>追加(减)2021年度公务员绩效奖金精算补发预算、追加（减）2022年公务员年度考核奖预算、追加（减）县级行政事业单位和乡镇（街道）2023年7-9月人员经费预算）；项目经费（追加第五次全国经济普查、食品药品安全协管员补助资金、老党员生活补贴、限上企业（个体）发展奖励等）。</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（2）公共安全支出</w:t>
      </w:r>
      <w:r>
        <w:rPr>
          <w:rFonts w:ascii="方正仿宋_GBK" w:eastAsia="方正仿宋_GBK" w:hAnsi="方正仿宋_GBK" w:cs="方正仿宋_GBK"/>
          <w:sz w:val="32"/>
          <w:szCs w:val="32"/>
        </w:rPr>
        <w:t>19.14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0.36</w:t>
      </w:r>
      <w:r>
        <w:rPr>
          <w:rFonts w:ascii="方正仿宋_GBK" w:eastAsia="方正仿宋_GBK" w:hAnsi="方正仿宋_GBK" w:cs="方正仿宋_GBK"/>
          <w:sz w:val="32"/>
          <w:szCs w:val="32"/>
          <w:shd w:val="clear" w:color="auto" w:fill="FFFFFF"/>
        </w:rPr>
        <w:t>%，较年初预算数增加19.14万元，增长100.00%，主要原因是</w:t>
      </w:r>
      <w:r>
        <w:rPr>
          <w:rFonts w:ascii="方正仿宋_GBK" w:eastAsia="方正仿宋_GBK" w:hAnsi="方正仿宋_GBK" w:cs="方正仿宋_GBK"/>
          <w:sz w:val="32"/>
          <w:szCs w:val="32"/>
        </w:rPr>
        <w:t>追加2022年困难群众救助补助资金（新冠疫情慰问)、2022年农村交通安全劝导站劝导员工资、2022年上半年平安建设资金。</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（3）文化旅游体育与传媒支出</w:t>
      </w:r>
      <w:r>
        <w:rPr>
          <w:rFonts w:ascii="方正仿宋_GBK" w:eastAsia="方正仿宋_GBK" w:hAnsi="方正仿宋_GBK" w:cs="方正仿宋_GBK"/>
          <w:sz w:val="32"/>
          <w:szCs w:val="32"/>
        </w:rPr>
        <w:t>85.98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1.60</w:t>
      </w:r>
      <w:r>
        <w:rPr>
          <w:rFonts w:ascii="方正仿宋_GBK" w:eastAsia="方正仿宋_GBK" w:hAnsi="方正仿宋_GBK" w:cs="方正仿宋_GBK"/>
          <w:sz w:val="32"/>
          <w:szCs w:val="32"/>
          <w:shd w:val="clear" w:color="auto" w:fill="FFFFFF"/>
        </w:rPr>
        <w:t>%，较年初预算数增加16.51万元，增长23.77%，主要原因是</w:t>
      </w:r>
      <w:r>
        <w:rPr>
          <w:rFonts w:ascii="方正仿宋_GBK" w:eastAsia="方正仿宋_GBK" w:hAnsi="方正仿宋_GBK" w:cs="方正仿宋_GBK"/>
          <w:sz w:val="32"/>
          <w:szCs w:val="32"/>
        </w:rPr>
        <w:t>追加公共图书馆、美术馆、文化馆（站）免费开发补助资金。</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（4）社会保障与就业支出</w:t>
      </w:r>
      <w:r>
        <w:rPr>
          <w:rFonts w:ascii="方正仿宋_GBK" w:eastAsia="方正仿宋_GBK" w:hAnsi="方正仿宋_GBK" w:cs="方正仿宋_GBK"/>
          <w:sz w:val="32"/>
          <w:szCs w:val="32"/>
        </w:rPr>
        <w:t>424.59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7.91</w:t>
      </w:r>
      <w:r>
        <w:rPr>
          <w:rFonts w:ascii="方正仿宋_GBK" w:eastAsia="方正仿宋_GBK" w:hAnsi="方正仿宋_GBK" w:cs="方正仿宋_GBK"/>
          <w:sz w:val="32"/>
          <w:szCs w:val="32"/>
          <w:shd w:val="clear" w:color="auto" w:fill="FFFFFF"/>
        </w:rPr>
        <w:t>%，较年初预算数增加97.01万元，增长29.61%，主要原因是追加预算用于支2020-2021年事业人员超额绩效精算及三支一扶项目资金，同时加大三保障，临时救助力度，追加专项项目资金（2022年民政专项预算指标的通知（养老中心站、点建设）、2023年残疾人事业发展经费、严重精神障碍患者监护人以奖代补资金、追加抚恤金、困难群众送温暖专项补助资金）。</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（5）卫生健康支出</w:t>
      </w:r>
      <w:r>
        <w:rPr>
          <w:rFonts w:ascii="方正仿宋_GBK" w:eastAsia="方正仿宋_GBK" w:hAnsi="方正仿宋_GBK" w:cs="方正仿宋_GBK"/>
          <w:sz w:val="32"/>
          <w:szCs w:val="32"/>
        </w:rPr>
        <w:t>97.52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1.82</w:t>
      </w:r>
      <w:r>
        <w:rPr>
          <w:rFonts w:ascii="方正仿宋_GBK" w:eastAsia="方正仿宋_GBK" w:hAnsi="方正仿宋_GBK" w:cs="方正仿宋_GBK"/>
          <w:sz w:val="32"/>
          <w:szCs w:val="32"/>
          <w:shd w:val="clear" w:color="auto" w:fill="FFFFFF"/>
        </w:rPr>
        <w:t>%，较年初预算数增加45.87万元，增长88.81%，主要原因是追加项目资金（2023年计划生育特殊家庭节日走访慰问、基本公共卫生服务专项经费、居民医保参保工作经费、新冠疫情防控经费）。</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（6）城乡社区支出</w:t>
      </w:r>
      <w:r>
        <w:rPr>
          <w:rFonts w:ascii="方正仿宋_GBK" w:eastAsia="方正仿宋_GBK" w:hAnsi="方正仿宋_GBK" w:cs="方正仿宋_GBK"/>
          <w:sz w:val="32"/>
          <w:szCs w:val="32"/>
        </w:rPr>
        <w:t>112.26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2.09</w:t>
      </w:r>
      <w:r>
        <w:rPr>
          <w:rFonts w:ascii="方正仿宋_GBK" w:eastAsia="方正仿宋_GBK" w:hAnsi="方正仿宋_GBK" w:cs="方正仿宋_GBK"/>
          <w:sz w:val="32"/>
          <w:szCs w:val="32"/>
          <w:shd w:val="clear" w:color="auto" w:fill="FFFFFF"/>
        </w:rPr>
        <w:t>%，较年初预算数增加2.19万元，增长1.99%，主要原因是增加综合行政执法大队2021-2021年绩效精算。</w:t>
      </w:r>
    </w:p>
    <w:p w:rsidR="007C4821" w:rsidRDefault="001D6CC0">
      <w:pPr>
        <w:pStyle w:val="Char"/>
        <w:spacing w:before="0" w:beforeAutospacing="0" w:after="0" w:afterAutospacing="0" w:line="590" w:lineRule="exact"/>
        <w:ind w:firstLineChars="200" w:firstLine="640"/>
        <w:jc w:val="both"/>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2177.61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40.57</w:t>
      </w:r>
      <w:r>
        <w:rPr>
          <w:rFonts w:ascii="方正仿宋_GBK" w:eastAsia="方正仿宋_GBK" w:hAnsi="方正仿宋_GBK" w:cs="方正仿宋_GBK"/>
          <w:sz w:val="32"/>
          <w:szCs w:val="32"/>
          <w:shd w:val="clear" w:color="auto" w:fill="FFFFFF"/>
        </w:rPr>
        <w:t>%，较年初预算数增加1557.62万元，增长251.23%，主要原因是</w:t>
      </w:r>
      <w:r>
        <w:rPr>
          <w:rFonts w:ascii="方正仿宋_GBK" w:eastAsia="方正仿宋_GBK" w:hAnsi="方正仿宋_GBK" w:cs="方正仿宋_GBK" w:hint="eastAsia"/>
          <w:sz w:val="32"/>
          <w:szCs w:val="32"/>
          <w:shd w:val="clear" w:color="auto" w:fill="FFFFFF"/>
        </w:rPr>
        <w:t>追加项目资金，增加乡村振兴、森林资源培育植被覆盖、水土保持、农村综合改革转移支付资金、2023年财金协同支持镇乡产业发展奖补资金。</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（8）交通运输支出</w:t>
      </w:r>
      <w:r>
        <w:rPr>
          <w:rFonts w:ascii="方正仿宋_GBK" w:eastAsia="方正仿宋_GBK" w:hAnsi="方正仿宋_GBK" w:cs="方正仿宋_GBK"/>
          <w:sz w:val="32"/>
          <w:szCs w:val="32"/>
        </w:rPr>
        <w:t>135.81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2.53</w:t>
      </w:r>
      <w:r>
        <w:rPr>
          <w:rFonts w:ascii="方正仿宋_GBK" w:eastAsia="方正仿宋_GBK" w:hAnsi="方正仿宋_GBK" w:cs="方正仿宋_GBK"/>
          <w:sz w:val="32"/>
          <w:szCs w:val="32"/>
          <w:shd w:val="clear" w:color="auto" w:fill="FFFFFF"/>
        </w:rPr>
        <w:t>%，较年初预算数增加135.81万元，增长100.00%，主要原因是追加公路</w:t>
      </w:r>
      <w:r>
        <w:rPr>
          <w:rFonts w:ascii="方正仿宋_GBK" w:eastAsia="方正仿宋_GBK" w:hAnsi="方正仿宋_GBK" w:cs="方正仿宋_GBK"/>
          <w:sz w:val="32"/>
          <w:szCs w:val="32"/>
          <w:shd w:val="clear" w:color="auto" w:fill="FFFFFF"/>
        </w:rPr>
        <w:lastRenderedPageBreak/>
        <w:t>危桥改造工程及公路应急抢险工程资金、农村公路桥梁检测，维修经费、农村公路日常养护。</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（9）资源勘探信息等支出</w:t>
      </w:r>
      <w:r>
        <w:rPr>
          <w:rFonts w:ascii="方正仿宋_GBK" w:eastAsia="方正仿宋_GBK" w:hAnsi="方正仿宋_GBK" w:cs="方正仿宋_GBK"/>
          <w:sz w:val="32"/>
          <w:szCs w:val="32"/>
        </w:rPr>
        <w:t>1146.60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21.36</w:t>
      </w:r>
      <w:r>
        <w:rPr>
          <w:rFonts w:ascii="方正仿宋_GBK" w:eastAsia="方正仿宋_GBK" w:hAnsi="方正仿宋_GBK" w:cs="方正仿宋_GBK"/>
          <w:sz w:val="32"/>
          <w:szCs w:val="32"/>
          <w:shd w:val="clear" w:color="auto" w:fill="FFFFFF"/>
        </w:rPr>
        <w:t>%，较年初预算数增加746.60万元，增长186.65%，主要原因是增加对中小企业发展扶持的费用补贴。</w:t>
      </w:r>
    </w:p>
    <w:p w:rsidR="007C4821" w:rsidRDefault="001D6CC0">
      <w:pPr>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（10）</w:t>
      </w:r>
      <w:r>
        <w:rPr>
          <w:rFonts w:ascii="方正仿宋_GBK" w:eastAsia="方正仿宋_GBK" w:hAnsi="方正仿宋_GBK" w:cs="方正仿宋_GBK"/>
          <w:sz w:val="32"/>
          <w:szCs w:val="32"/>
        </w:rPr>
        <w:t>住房保障支出111.25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2.07</w:t>
      </w:r>
      <w:r>
        <w:rPr>
          <w:rFonts w:ascii="方正仿宋_GBK" w:eastAsia="方正仿宋_GBK" w:hAnsi="方正仿宋_GBK" w:cs="方正仿宋_GBK"/>
          <w:sz w:val="32"/>
          <w:szCs w:val="32"/>
          <w:shd w:val="clear" w:color="auto" w:fill="FFFFFF"/>
        </w:rPr>
        <w:t>%，较年初预算数增加29.79万元，增长36.57%，主要原因是追加农村低收入群体等重点对象危房改造资金。</w:t>
      </w:r>
    </w:p>
    <w:p w:rsidR="007C4821" w:rsidRDefault="001D6CC0">
      <w:pPr>
        <w:spacing w:line="594"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（11）</w:t>
      </w:r>
      <w:r>
        <w:rPr>
          <w:rFonts w:ascii="方正仿宋_GBK" w:eastAsia="方正仿宋_GBK" w:hAnsi="方正仿宋_GBK" w:cs="方正仿宋_GBK"/>
          <w:sz w:val="32"/>
          <w:szCs w:val="32"/>
        </w:rPr>
        <w:t>灾害防治及应急管理支出4.99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0.09</w:t>
      </w:r>
      <w:r>
        <w:rPr>
          <w:rFonts w:ascii="方正仿宋_GBK" w:eastAsia="方正仿宋_GBK" w:hAnsi="方正仿宋_GBK" w:cs="方正仿宋_GBK"/>
          <w:sz w:val="32"/>
          <w:szCs w:val="32"/>
          <w:shd w:val="clear" w:color="auto" w:fill="FFFFFF"/>
        </w:rPr>
        <w:t>%，较年初预算数增加4.89万元，增长4890.00%，主要原因是主要原因是追加2023年自然灾害救灾补助资金和2022-2023年度冬春救助资金。</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C4821" w:rsidRDefault="001D6CC0">
      <w:pPr>
        <w:pStyle w:val="Char"/>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2049.61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1738.14</w:t>
      </w:r>
      <w:r>
        <w:rPr>
          <w:rFonts w:ascii="方正仿宋_GBK" w:eastAsia="方正仿宋_GBK" w:hAnsi="方正仿宋_GBK" w:cs="方正仿宋_GBK"/>
          <w:sz w:val="32"/>
          <w:szCs w:val="32"/>
          <w:shd w:val="clear" w:color="auto" w:fill="FFFFFF"/>
        </w:rPr>
        <w:t>万元，较上年决算数增加304.28万元，增长21.22%，主要原因是</w:t>
      </w:r>
      <w:r>
        <w:rPr>
          <w:rFonts w:ascii="方正仿宋_GBK" w:eastAsia="方正仿宋_GBK" w:hAnsi="方正仿宋_GBK" w:cs="方正仿宋_GBK" w:hint="eastAsia"/>
          <w:sz w:val="32"/>
          <w:szCs w:val="32"/>
          <w:shd w:val="clear" w:color="auto" w:fill="FFFFFF"/>
        </w:rPr>
        <w:t>人员职级晋升工资浮动，2023年追加绩效精算资金，村干部工资调标。</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hint="eastAsia"/>
          <w:sz w:val="32"/>
          <w:szCs w:val="32"/>
          <w:shd w:val="clear" w:color="auto" w:fill="FFFFFF"/>
        </w:rPr>
        <w:t>基本工资262.69万元、津贴补贴129.21万元、奖金222.56万元、伙食补助74.03万元、绩效工资347.11万元、机关事业单位基本养老保险缴费102.57万元、职业年金缴费47.25万元、职工基本医疗保险缴费62.33万元、其他社会保障缴费1.92万元、住房公积金65.95万元、医疗费10.55万元、其他工资福利支出18.35万元、抚恤金23.79万元、生活补助</w:t>
      </w:r>
      <w:r>
        <w:rPr>
          <w:rFonts w:ascii="方正仿宋_GBK" w:eastAsia="方正仿宋_GBK" w:hAnsi="方正仿宋_GBK" w:cs="方正仿宋_GBK" w:hint="eastAsia"/>
          <w:sz w:val="32"/>
          <w:szCs w:val="32"/>
          <w:shd w:val="clear" w:color="auto" w:fill="FFFFFF"/>
        </w:rPr>
        <w:lastRenderedPageBreak/>
        <w:t>362.51万元、医疗补助费3.4万元、奖励金3.93万元。</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311.46</w:t>
      </w:r>
      <w:r>
        <w:rPr>
          <w:rFonts w:ascii="方正仿宋_GBK" w:eastAsia="方正仿宋_GBK" w:hAnsi="方正仿宋_GBK" w:cs="方正仿宋_GBK"/>
          <w:sz w:val="32"/>
          <w:szCs w:val="32"/>
          <w:shd w:val="clear" w:color="auto" w:fill="FFFFFF"/>
        </w:rPr>
        <w:t>万元，较上年决算数减少444.39万元，下降58.79%，主要原因是</w:t>
      </w:r>
      <w:r>
        <w:rPr>
          <w:rFonts w:ascii="方正仿宋_GBK" w:eastAsia="方正仿宋_GBK" w:hAnsi="方正仿宋_GBK" w:cs="方正仿宋_GBK" w:hint="eastAsia"/>
          <w:sz w:val="32"/>
          <w:szCs w:val="32"/>
          <w:shd w:val="clear" w:color="auto" w:fill="FFFFFF"/>
        </w:rPr>
        <w:t>严格控制公用经费支出。</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hint="eastAsia"/>
          <w:sz w:val="32"/>
          <w:szCs w:val="32"/>
          <w:shd w:val="clear" w:color="auto" w:fill="FFFFFF"/>
        </w:rPr>
        <w:t>办公费15.51万元、印刷费1.04万元、水费1.17万元、电费10.48万元、邮电费42.85万元、差旅费94.53万元、维修（护）费32.00万元、租赁费1.97万元、会议费3.87万元、培训费1.90万元、劳务费2.43万元、委托业务费24.36万元、工会经费38.20万元、福利费10.40万元、公务车运行维护费6.79万元、其他交通费用21.62万元、其他商品和服务支出1.01万元、办公设备购置1.34万元等。</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C4821" w:rsidRPr="001D6CC0" w:rsidRDefault="001D6CC0" w:rsidP="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4.61</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4.61</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0.65</w:t>
      </w:r>
      <w:r>
        <w:rPr>
          <w:rFonts w:ascii="方正仿宋_GBK" w:eastAsia="方正仿宋_GBK" w:hAnsi="方正仿宋_GBK" w:cs="方正仿宋_GBK"/>
          <w:sz w:val="32"/>
          <w:szCs w:val="32"/>
          <w:shd w:val="clear" w:color="auto" w:fill="FFFFFF"/>
        </w:rPr>
        <w:t>万元，较上年决算数减少16.64万元，下降96.24%，主要原因是彩票公益等政府性基本预算资金安排的项目均已建设完工，无需更多资金投入。本年支出</w:t>
      </w:r>
      <w:r>
        <w:rPr>
          <w:rFonts w:ascii="方正仿宋_GBK" w:eastAsia="方正仿宋_GBK" w:hAnsi="方正仿宋_GBK" w:cs="方正仿宋_GBK"/>
          <w:sz w:val="32"/>
          <w:szCs w:val="32"/>
        </w:rPr>
        <w:t>0.65</w:t>
      </w:r>
      <w:r>
        <w:rPr>
          <w:rFonts w:ascii="方正仿宋_GBK" w:eastAsia="方正仿宋_GBK" w:hAnsi="方正仿宋_GBK" w:cs="方正仿宋_GBK"/>
          <w:sz w:val="32"/>
          <w:szCs w:val="32"/>
          <w:shd w:val="clear" w:color="auto" w:fill="FFFFFF"/>
        </w:rPr>
        <w:t>万元，较上年决算数减少16.64万元，下降96.24%，主要原因是主要原因是彩票公益等政府性基本预算资金安排的项目均已建设完工，无需更多资金投入。收入0.65万元，支出0.65万元，支出平衡。</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本部门2023年度无国有资本经营预算财政拨款支出。</w:t>
      </w:r>
    </w:p>
    <w:p w:rsidR="007C4821" w:rsidRDefault="001D6CC0">
      <w:pPr>
        <w:pStyle w:val="a6"/>
        <w:shd w:val="clear" w:color="auto" w:fill="FFFFFF"/>
        <w:spacing w:before="0" w:beforeAutospacing="0" w:after="0" w:afterAutospacing="0" w:line="594" w:lineRule="exact"/>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7C4821" w:rsidRDefault="001D6CC0">
      <w:pPr>
        <w:pStyle w:val="Char"/>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2023年度“三公”经费支出共计</w:t>
      </w:r>
      <w:r>
        <w:rPr>
          <w:rFonts w:ascii="方正仿宋_GBK" w:eastAsia="方正仿宋_GBK" w:hAnsi="方正仿宋_GBK" w:cs="方正仿宋_GBK"/>
          <w:sz w:val="32"/>
          <w:szCs w:val="32"/>
        </w:rPr>
        <w:t>11.69</w:t>
      </w:r>
      <w:r>
        <w:rPr>
          <w:rFonts w:ascii="方正仿宋_GBK" w:eastAsia="方正仿宋_GBK" w:hAnsi="方正仿宋_GBK" w:cs="方正仿宋_GBK"/>
          <w:sz w:val="32"/>
          <w:szCs w:val="32"/>
          <w:shd w:val="clear" w:color="auto" w:fill="FFFFFF"/>
        </w:rPr>
        <w:t>万元，较年初预算数增加7.19万元，增长159.78%，主要原因是</w:t>
      </w:r>
      <w:r>
        <w:rPr>
          <w:rFonts w:ascii="方正仿宋_GBK" w:eastAsia="方正仿宋_GBK" w:hAnsi="方正仿宋_GBK" w:cs="方正仿宋_GBK" w:hint="eastAsia"/>
          <w:sz w:val="32"/>
          <w:szCs w:val="32"/>
          <w:shd w:val="clear" w:color="auto" w:fill="FFFFFF"/>
        </w:rPr>
        <w:t>在严控</w:t>
      </w:r>
      <w:r w:rsidR="00BA2258">
        <w:rPr>
          <w:rFonts w:ascii="方正仿宋_GBK" w:eastAsia="方正仿宋_GBK" w:hAnsi="方正仿宋_GBK" w:cs="方正仿宋_GBK"/>
          <w:sz w:val="32"/>
          <w:szCs w:val="32"/>
          <w:shd w:val="clear" w:color="auto" w:fill="FFFFFF"/>
        </w:rPr>
        <w:t>“三公”</w:t>
      </w:r>
      <w:r>
        <w:rPr>
          <w:rFonts w:ascii="方正仿宋_GBK" w:eastAsia="方正仿宋_GBK" w:hAnsi="方正仿宋_GBK" w:cs="方正仿宋_GBK" w:hint="eastAsia"/>
          <w:sz w:val="32"/>
          <w:szCs w:val="32"/>
          <w:shd w:val="clear" w:color="auto" w:fill="FFFFFF"/>
        </w:rPr>
        <w:t>经费的标准下，不超上年决算数，2023年年初预算数概算过低，公车实际运行中，资金短缺，造成资金调剂追加。</w:t>
      </w:r>
      <w:r>
        <w:rPr>
          <w:rFonts w:ascii="方正仿宋_GBK" w:eastAsia="方正仿宋_GBK" w:hAnsi="方正仿宋_GBK" w:cs="方正仿宋_GBK"/>
          <w:sz w:val="32"/>
          <w:szCs w:val="32"/>
          <w:shd w:val="clear" w:color="auto" w:fill="FFFFFF"/>
        </w:rPr>
        <w:t>较上年支出数减少0.01万元，下降0.09%，</w:t>
      </w:r>
      <w:r>
        <w:rPr>
          <w:rFonts w:ascii="方正仿宋_GBK" w:eastAsia="方正仿宋_GBK" w:hAnsi="方正仿宋_GBK" w:cs="方正仿宋_GBK" w:hint="eastAsia"/>
          <w:sz w:val="32"/>
          <w:szCs w:val="32"/>
          <w:shd w:val="clear" w:color="auto" w:fill="FFFFFF"/>
        </w:rPr>
        <w:t>主要原因是严格控制</w:t>
      </w:r>
      <w:r w:rsidR="00BA2258">
        <w:rPr>
          <w:rFonts w:ascii="方正仿宋_GBK" w:eastAsia="方正仿宋_GBK" w:hAnsi="方正仿宋_GBK" w:cs="方正仿宋_GBK"/>
          <w:sz w:val="32"/>
          <w:szCs w:val="32"/>
          <w:shd w:val="clear" w:color="auto" w:fill="FFFFFF"/>
        </w:rPr>
        <w:t>“三公”</w:t>
      </w:r>
      <w:r>
        <w:rPr>
          <w:rFonts w:ascii="方正仿宋_GBK" w:eastAsia="方正仿宋_GBK" w:hAnsi="方正仿宋_GBK" w:cs="方正仿宋_GBK" w:hint="eastAsia"/>
          <w:sz w:val="32"/>
          <w:szCs w:val="32"/>
          <w:shd w:val="clear" w:color="auto" w:fill="FFFFFF"/>
        </w:rPr>
        <w:t>经费开支，按照只减不增的要求从严控制“三公”经费，严格落实公车使用规定，公车运行维护成本下降。强化公务接待支出管理，严格遵守公务接待开支范围和开支标准，不超范围接待。</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1D6CC0" w:rsidRPr="001D6CC0" w:rsidRDefault="001D6CC0" w:rsidP="001D6CC0">
      <w:pPr>
        <w:pStyle w:val="a6"/>
        <w:shd w:val="clear" w:color="auto" w:fill="FFFFFF"/>
        <w:spacing w:line="594" w:lineRule="exact"/>
        <w:ind w:firstLineChars="200" w:firstLine="640"/>
        <w:jc w:val="both"/>
        <w:rPr>
          <w:rFonts w:ascii="方正仿宋_GBK" w:eastAsia="方正仿宋_GBK" w:hAnsi="方正仿宋_GBK" w:cs="方正仿宋_GBK" w:hint="default"/>
          <w:sz w:val="32"/>
          <w:szCs w:val="32"/>
          <w:shd w:val="clear" w:color="auto" w:fill="FFFFFF"/>
        </w:rPr>
      </w:pPr>
      <w:r w:rsidRPr="001D6CC0">
        <w:rPr>
          <w:rFonts w:ascii="方正仿宋_GBK" w:eastAsia="方正仿宋_GBK" w:hAnsi="方正仿宋_GBK" w:cs="方正仿宋_GBK" w:hint="default"/>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7C4821" w:rsidRDefault="001D6CC0" w:rsidP="001D6CC0">
      <w:pPr>
        <w:pStyle w:val="a6"/>
        <w:shd w:val="clear" w:color="auto" w:fill="FFFFFF"/>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1D6CC0">
        <w:rPr>
          <w:rFonts w:ascii="方正仿宋_GBK" w:eastAsia="方正仿宋_GBK" w:hAnsi="方正仿宋_GBK" w:cs="方正仿宋_GBK" w:hint="default"/>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7C4821" w:rsidRDefault="001D6CC0">
      <w:pPr>
        <w:pStyle w:val="a6"/>
        <w:shd w:val="clear" w:color="auto" w:fill="FFFFFF"/>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公务车运行维护费6.79万元，主要用于市、县内外因公出行、应急检查等因公开展的相关工作所需车辆的燃料费、维修费、过路费、保险费等。费用支出较年初预算数增加5.79</w:t>
      </w:r>
      <w:r>
        <w:rPr>
          <w:rFonts w:ascii="方正仿宋_GBK" w:eastAsia="方正仿宋_GBK" w:hAnsi="方正仿宋_GBK" w:cs="方正仿宋_GBK"/>
          <w:sz w:val="32"/>
          <w:szCs w:val="32"/>
          <w:shd w:val="clear" w:color="auto" w:fill="FFFFFF"/>
        </w:rPr>
        <w:lastRenderedPageBreak/>
        <w:t>万元，增长579.00%，主要原因是在严控三公经费的标准下，不超2022年决算数的基础上，若2023年年初预算数概算过低，公车实际运行中，容易造成资金短缺。较上年支出数无增减，基本持平。主要原因是严格控制三公经费支出情况，按照标准使用公务车外出办事。</w:t>
      </w:r>
    </w:p>
    <w:p w:rsidR="007C4821" w:rsidRDefault="001D6CC0">
      <w:pPr>
        <w:pStyle w:val="Char"/>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公务接待费4.91万元，主要用于接待接待上级部门到我单位学习调研督导各项工作推进情况及招商引资接待费等。费用支出较年初预算数增加1.41万元，增长40.29%，主要原因是在严控三公经费的标准下，不超2022年决算数的基础上，若2023年年初预算数概算过低，在公务接待方面的支出资金不足。较上年支出数无增减，基本持平，主要原因是严格规定接待费标准，确保不超接待标准。</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7C4821" w:rsidRDefault="001D6CC0">
      <w:pPr>
        <w:pStyle w:val="a6"/>
        <w:shd w:val="clear" w:color="auto" w:fill="FFFFFF"/>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年度本部门因公出国（境）共计0个团组，0人；公务用车购置0辆，公务车保有量为2辆；国内公务接待95批次846人，其中：国内外事接待0批次，0人；国（境）外公务接待0批次，0人。2023年本部门人均接待费58.02元，车均购置费0万元，车均维护费3.39万元。</w:t>
      </w:r>
    </w:p>
    <w:p w:rsidR="007C4821" w:rsidRDefault="001D6CC0">
      <w:pPr>
        <w:pStyle w:val="a6"/>
        <w:shd w:val="clear" w:color="auto" w:fill="FFFFFF"/>
        <w:spacing w:before="0" w:beforeAutospacing="0" w:after="0" w:afterAutospacing="0" w:line="594" w:lineRule="exact"/>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7.63</w:t>
      </w:r>
      <w:r>
        <w:rPr>
          <w:rFonts w:ascii="方正仿宋_GBK" w:eastAsia="方正仿宋_GBK" w:hAnsi="方正仿宋_GBK" w:cs="方正仿宋_GBK"/>
          <w:sz w:val="32"/>
          <w:szCs w:val="32"/>
          <w:shd w:val="clear" w:color="auto" w:fill="FFFFFF"/>
        </w:rPr>
        <w:t>万元，较上年决算数增加0.38万元，增长5.24%，主要原因是农业服务中心序时开展与农林水有关工作所必需的会议。本年度培训费支出</w:t>
      </w:r>
      <w:r>
        <w:rPr>
          <w:rFonts w:ascii="方正仿宋_GBK" w:eastAsia="方正仿宋_GBK" w:hAnsi="方正仿宋_GBK" w:cs="方正仿宋_GBK"/>
          <w:sz w:val="32"/>
          <w:szCs w:val="32"/>
        </w:rPr>
        <w:t>3.20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lastRenderedPageBreak/>
        <w:t>较上年决算数减少4.77万元，下降59.85%，主要原因是职工业务能力熟练，无需组织过多培训，支出减少。</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C4821" w:rsidRDefault="001D6CC0">
      <w:pPr>
        <w:pStyle w:val="a6"/>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236.31</w:t>
      </w:r>
      <w:r>
        <w:rPr>
          <w:rFonts w:ascii="方正仿宋_GBK" w:eastAsia="方正仿宋_GBK" w:hAnsi="方正仿宋_GBK" w:cs="方正仿宋_GBK"/>
          <w:sz w:val="32"/>
          <w:szCs w:val="32"/>
          <w:shd w:val="clear" w:color="auto" w:fill="FFFFFF"/>
        </w:rPr>
        <w:t>万元，机关运行经费主要用于开支办公费13.45万元、印刷费1.03万元、水费0.62万元、电费6.56万元、邮电费40.03万元、差旅费47.11万元、维修（护）费32.00万元、租赁费1.97万元、会议费0.72万元、培训费1.90万元、劳务费2.43万元、委托业务费16.33万元、工会经费35.02万元、福利费6.38万元、公务车运行维护费6.79万元、其他交通费用21.62万元、其他商品和服务支出1.01万元、办公设备购置1.34万元。机关运行经费较上年支出数减少192.63万元，下降44.91%，主要原因是5个站所室事业单位从2023年度开始，独立进行会计核算，严把支出关，严格执行中央“三项规定”精神和厉行节约要求，强化支出管理。</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C4821" w:rsidRDefault="001D6CC0">
      <w:pPr>
        <w:pStyle w:val="a6"/>
        <w:snapToGrid w:val="0"/>
        <w:spacing w:before="0" w:beforeAutospacing="0" w:after="0" w:afterAutospacing="0" w:line="594"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C4821" w:rsidRDefault="00457553">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1" w:name="_GoBack"/>
      <w:bookmarkEnd w:id="1"/>
    </w:p>
    <w:p w:rsidR="007C4821" w:rsidRDefault="001D6CC0">
      <w:pPr>
        <w:pStyle w:val="a6"/>
        <w:numPr>
          <w:ilvl w:val="0"/>
          <w:numId w:val="1"/>
        </w:numPr>
        <w:shd w:val="clear" w:color="auto" w:fill="FFFFFF"/>
        <w:spacing w:before="0" w:beforeAutospacing="0" w:after="0" w:afterAutospacing="0" w:line="594" w:lineRule="exact"/>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（一）部门自评情况</w:t>
      </w:r>
    </w:p>
    <w:p w:rsidR="007C4821" w:rsidRDefault="001D6CC0">
      <w:pPr>
        <w:pStyle w:val="Char"/>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部门整体和73个二级项目开展了绩效自评，涉及财政拨款项目支出资金3319.22万元。其中：曹回镇人民政府（本级）69个，涉及财政拨款项目支出资金2767.02万元，农业服务中心3个，涉及财政拨款项目支出资金540.80万元，劳动就业和社会保障服务所1个，涉及财政拨款项目支出资金11.40万元。</w:t>
      </w:r>
    </w:p>
    <w:p w:rsidR="007C4821" w:rsidRDefault="007C4821">
      <w:pPr>
        <w:pStyle w:val="Char"/>
        <w:spacing w:beforeLines="100" w:before="312" w:beforeAutospacing="0" w:afterLines="100" w:after="312" w:afterAutospacing="0" w:line="594" w:lineRule="exact"/>
        <w:jc w:val="both"/>
        <w:rPr>
          <w:rFonts w:ascii="方正仿宋_GBK" w:eastAsia="方正仿宋_GBK" w:hAnsi="方正仿宋_GBK" w:cs="方正仿宋_GBK"/>
          <w:sz w:val="32"/>
          <w:szCs w:val="32"/>
          <w:shd w:val="clear" w:color="auto" w:fill="FFFFFF"/>
        </w:rPr>
      </w:pPr>
    </w:p>
    <w:p w:rsidR="007C4821" w:rsidRDefault="007C4821">
      <w:pPr>
        <w:pStyle w:val="Char"/>
        <w:spacing w:beforeLines="100" w:before="312" w:beforeAutospacing="0" w:afterLines="100" w:after="312" w:afterAutospacing="0" w:line="594" w:lineRule="exact"/>
        <w:jc w:val="both"/>
        <w:rPr>
          <w:rFonts w:ascii="方正仿宋_GBK" w:eastAsia="方正仿宋_GBK" w:hAnsi="方正仿宋_GBK" w:cs="方正仿宋_GBK"/>
          <w:sz w:val="32"/>
          <w:szCs w:val="32"/>
          <w:shd w:val="clear" w:color="auto" w:fill="FFFFFF"/>
        </w:rPr>
      </w:pPr>
    </w:p>
    <w:p w:rsidR="007C4821" w:rsidRDefault="007C4821">
      <w:pPr>
        <w:pStyle w:val="Char"/>
        <w:spacing w:beforeLines="100" w:before="312" w:beforeAutospacing="0" w:afterLines="100" w:after="312" w:afterAutospacing="0" w:line="594" w:lineRule="exact"/>
        <w:jc w:val="both"/>
        <w:rPr>
          <w:rFonts w:ascii="方正仿宋_GBK" w:eastAsia="方正仿宋_GBK" w:hAnsi="方正仿宋_GBK" w:cs="方正仿宋_GBK"/>
          <w:sz w:val="32"/>
          <w:szCs w:val="32"/>
          <w:shd w:val="clear" w:color="auto" w:fill="FFFFFF"/>
        </w:rPr>
      </w:pPr>
    </w:p>
    <w:p w:rsidR="007C4821" w:rsidRDefault="007C4821">
      <w:pPr>
        <w:pStyle w:val="Char"/>
        <w:spacing w:beforeLines="100" w:before="312" w:beforeAutospacing="0" w:afterLines="100" w:after="312" w:afterAutospacing="0" w:line="594" w:lineRule="exact"/>
        <w:jc w:val="both"/>
        <w:rPr>
          <w:rFonts w:ascii="方正仿宋_GBK" w:eastAsia="方正仿宋_GBK" w:hAnsi="方正仿宋_GBK" w:cs="方正仿宋_GBK"/>
          <w:sz w:val="32"/>
          <w:szCs w:val="32"/>
          <w:shd w:val="clear" w:color="auto" w:fill="FFFFFF"/>
        </w:rPr>
      </w:pPr>
    </w:p>
    <w:p w:rsidR="007C4821" w:rsidRDefault="007C4821">
      <w:pPr>
        <w:pStyle w:val="Char"/>
        <w:spacing w:beforeLines="100" w:before="312" w:beforeAutospacing="0" w:afterLines="100" w:after="312" w:afterAutospacing="0" w:line="594" w:lineRule="exact"/>
        <w:jc w:val="both"/>
        <w:rPr>
          <w:rFonts w:ascii="方正仿宋_GBK" w:eastAsia="方正仿宋_GBK" w:hAnsi="方正仿宋_GBK" w:cs="方正仿宋_GBK"/>
          <w:sz w:val="32"/>
          <w:szCs w:val="32"/>
          <w:shd w:val="clear" w:color="auto" w:fill="FFFFFF"/>
        </w:rPr>
      </w:pPr>
    </w:p>
    <w:p w:rsidR="007C4821" w:rsidRDefault="007C4821">
      <w:pPr>
        <w:pStyle w:val="Char"/>
        <w:spacing w:beforeLines="100" w:before="312" w:beforeAutospacing="0" w:afterLines="100" w:after="312" w:afterAutospacing="0" w:line="594" w:lineRule="exact"/>
        <w:jc w:val="both"/>
        <w:rPr>
          <w:rFonts w:ascii="方正仿宋_GBK" w:eastAsia="方正仿宋_GBK" w:hAnsi="方正仿宋_GBK" w:cs="方正仿宋_GBK"/>
          <w:sz w:val="32"/>
          <w:szCs w:val="32"/>
          <w:shd w:val="clear" w:color="auto" w:fill="FFFFFF"/>
        </w:rPr>
      </w:pPr>
    </w:p>
    <w:p w:rsidR="007C4821" w:rsidRDefault="001D6CC0">
      <w:pPr>
        <w:pStyle w:val="Char"/>
        <w:spacing w:beforeLines="100" w:before="312" w:beforeAutospacing="0" w:afterLines="100" w:after="312" w:afterAutospacing="0" w:line="594" w:lineRule="exact"/>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垫江县曹回镇人民政府部门整体绩效自评表</w:t>
      </w:r>
    </w:p>
    <w:p w:rsidR="007C4821" w:rsidRDefault="001D6CC0">
      <w:pPr>
        <w:pStyle w:val="Char"/>
        <w:spacing w:before="0" w:beforeAutospacing="0"/>
        <w:jc w:val="center"/>
        <w:rPr>
          <w:rFonts w:ascii="方正仿宋_GBK" w:eastAsia="方正仿宋_GBK" w:hAnsi="方正仿宋_GBK" w:cs="方正仿宋_GBK"/>
          <w:sz w:val="32"/>
          <w:szCs w:val="32"/>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8.4pt;height:483.25pt">
            <v:imagedata r:id="rId8" o:title=""/>
          </v:shape>
        </w:pict>
      </w:r>
    </w:p>
    <w:p w:rsidR="007C4821" w:rsidRDefault="001D6CC0">
      <w:pPr>
        <w:pStyle w:val="Char"/>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报告中主要列举以下6个二级项目：残疾人事业发展、垫江县优抚事业补助资金、残疾人联络、调整清算下达2020年森林植被恢复费（第一批）（渝财农﹝2021﹞59号）、2022年水土保持工程建设、高校毕业生“三支一扶”计划补助资金。</w:t>
      </w:r>
    </w:p>
    <w:p w:rsidR="007C4821" w:rsidRDefault="001D6CC0">
      <w:pPr>
        <w:pStyle w:val="Char"/>
        <w:spacing w:beforeLines="100" w:before="312" w:beforeAutospacing="0" w:afterLines="100" w:after="312" w:afterAutospacing="0" w:line="594" w:lineRule="exact"/>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垫江县曹回镇人民政府项目支出绩效自评表（二级项目）</w:t>
      </w:r>
    </w:p>
    <w:p w:rsidR="007C4821" w:rsidRDefault="001D6CC0">
      <w:pPr>
        <w:pStyle w:val="Char"/>
        <w:spacing w:before="0" w:beforeAutospacing="0"/>
        <w:jc w:val="center"/>
      </w:pPr>
      <w:r>
        <w:pict>
          <v:shape id="Picture 2" o:spid="_x0000_i1026" type="#_x0000_t75" style="width:411.25pt;height:281.1pt">
            <v:imagedata r:id="rId9" o:title=""/>
          </v:shape>
        </w:pict>
      </w:r>
    </w:p>
    <w:p w:rsidR="007C4821" w:rsidRDefault="001D6CC0">
      <w:pPr>
        <w:pStyle w:val="Char"/>
        <w:spacing w:before="0" w:beforeAutospacing="0"/>
        <w:jc w:val="center"/>
      </w:pPr>
      <w:r>
        <w:pict>
          <v:shape id="Picture 3" o:spid="_x0000_i1027" type="#_x0000_t75" style="width:411.25pt;height:305.3pt">
            <v:imagedata r:id="rId10" o:title=""/>
          </v:shape>
        </w:pict>
      </w:r>
    </w:p>
    <w:p w:rsidR="007C4821" w:rsidRDefault="001D6CC0">
      <w:pPr>
        <w:pStyle w:val="Char"/>
        <w:spacing w:before="0" w:beforeAutospacing="0"/>
        <w:jc w:val="center"/>
      </w:pPr>
      <w:r>
        <w:lastRenderedPageBreak/>
        <w:pict>
          <v:shape id="Picture 4" o:spid="_x0000_i1028" type="#_x0000_t75" style="width:411.25pt;height:268.4pt">
            <v:imagedata r:id="rId11" o:title=""/>
          </v:shape>
        </w:pict>
      </w:r>
    </w:p>
    <w:p w:rsidR="007C4821" w:rsidRDefault="001D6CC0">
      <w:pPr>
        <w:pStyle w:val="Char"/>
        <w:spacing w:before="0" w:beforeAutospacing="0"/>
        <w:jc w:val="center"/>
      </w:pPr>
      <w:r>
        <w:pict>
          <v:shape id="Picture 5" o:spid="_x0000_i1029" type="#_x0000_t75" style="width:411.25pt;height:374.4pt">
            <v:imagedata r:id="rId12" o:title=""/>
          </v:shape>
        </w:pict>
      </w:r>
    </w:p>
    <w:p w:rsidR="007C4821" w:rsidRDefault="001D6CC0">
      <w:pPr>
        <w:pStyle w:val="Char"/>
        <w:spacing w:before="0" w:beforeAutospacing="0"/>
        <w:jc w:val="center"/>
      </w:pPr>
      <w:r>
        <w:lastRenderedPageBreak/>
        <w:pict>
          <v:shape id="Picture 6" o:spid="_x0000_i1030" type="#_x0000_t75" style="width:411.25pt;height:292.6pt">
            <v:imagedata r:id="rId13" o:title=""/>
          </v:shape>
        </w:pict>
      </w:r>
    </w:p>
    <w:p w:rsidR="007C4821" w:rsidRDefault="007C4821">
      <w:pPr>
        <w:pStyle w:val="Char"/>
        <w:spacing w:before="0" w:beforeAutospacing="0"/>
        <w:jc w:val="center"/>
      </w:pPr>
    </w:p>
    <w:p w:rsidR="007C4821" w:rsidRDefault="001D6CC0">
      <w:pPr>
        <w:pStyle w:val="Char"/>
        <w:spacing w:before="0" w:beforeAutospacing="0"/>
        <w:jc w:val="center"/>
        <w:rPr>
          <w:rFonts w:ascii="楷体" w:eastAsia="楷体" w:hAnsi="楷体" w:cs="楷体"/>
          <w:b/>
          <w:bCs/>
          <w:sz w:val="32"/>
          <w:szCs w:val="32"/>
          <w:shd w:val="clear" w:color="auto" w:fill="FFFFFF"/>
        </w:rPr>
      </w:pPr>
      <w:r>
        <w:pict>
          <v:shape id="Picture 7" o:spid="_x0000_i1031" type="#_x0000_t75" style="width:411.25pt;height:303pt">
            <v:imagedata r:id="rId14" o:title=""/>
          </v:shape>
        </w:pict>
      </w:r>
    </w:p>
    <w:p w:rsidR="007C4821" w:rsidRDefault="001D6CC0">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（二）部门绩效评价情况</w:t>
      </w:r>
    </w:p>
    <w:p w:rsidR="007C4821" w:rsidRDefault="001D6CC0">
      <w:pPr>
        <w:pStyle w:val="2"/>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我部门未组织开展绩效评价。</w:t>
      </w:r>
    </w:p>
    <w:p w:rsidR="007C4821" w:rsidRDefault="001D6CC0">
      <w:pPr>
        <w:pStyle w:val="1"/>
        <w:autoSpaceDE w:val="0"/>
        <w:spacing w:line="594" w:lineRule="exact"/>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（三）财政绩效评价情况</w:t>
      </w:r>
    </w:p>
    <w:p w:rsidR="007C4821" w:rsidRDefault="001D6CC0">
      <w:pPr>
        <w:pStyle w:val="1"/>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县财政局未委托第三方对我部门开展绩效评价。</w:t>
      </w:r>
    </w:p>
    <w:p w:rsidR="007C4821" w:rsidRDefault="001D6CC0">
      <w:pPr>
        <w:pStyle w:val="a6"/>
        <w:shd w:val="clear" w:color="auto" w:fill="FFFFFF"/>
        <w:spacing w:before="0" w:beforeAutospacing="0" w:after="0" w:afterAutospacing="0" w:line="594" w:lineRule="exact"/>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C4821" w:rsidRDefault="001D6CC0">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C4821" w:rsidRDefault="001D6CC0">
      <w:pPr>
        <w:pStyle w:val="a6"/>
        <w:shd w:val="clear" w:color="auto" w:fill="FFFFFF"/>
        <w:spacing w:before="0" w:beforeAutospacing="0" w:after="0" w:afterAutospacing="0" w:line="594" w:lineRule="exact"/>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7C4821" w:rsidRDefault="001D6CC0">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本部门决算公开信息反馈和联系方式：023-74570718</w:t>
      </w:r>
    </w:p>
    <w:p w:rsidR="007C4821" w:rsidRDefault="007C482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sectPr w:rsidR="007C4821">
          <w:footerReference w:type="default" r:id="rId15"/>
          <w:pgSz w:w="11915" w:h="16840"/>
          <w:pgMar w:top="1440" w:right="1800" w:bottom="1440" w:left="1800" w:header="851" w:footer="992" w:gutter="0"/>
          <w:pgNumType w:fmt="numberInDash"/>
          <w:cols w:space="720"/>
          <w:docGrid w:type="lines" w:linePitch="312"/>
        </w:sectPr>
      </w:pPr>
    </w:p>
    <w:p w:rsidR="007C4821" w:rsidRDefault="007C4821">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7C4821">
        <w:trPr>
          <w:trHeight w:val="565"/>
        </w:trPr>
        <w:tc>
          <w:tcPr>
            <w:tcW w:w="22292" w:type="dxa"/>
            <w:gridSpan w:val="4"/>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t>收入支出决算总表</w:t>
            </w:r>
          </w:p>
        </w:tc>
      </w:tr>
      <w:tr w:rsidR="007C4821">
        <w:trPr>
          <w:trHeight w:val="289"/>
        </w:trPr>
        <w:tc>
          <w:tcPr>
            <w:tcW w:w="6581"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4358" w:type="dxa"/>
            <w:tcBorders>
              <w:top w:val="nil"/>
              <w:left w:val="nil"/>
              <w:bottom w:val="nil"/>
              <w:right w:val="nil"/>
            </w:tcBorders>
            <w:tcMar>
              <w:top w:w="15" w:type="dxa"/>
              <w:left w:w="15" w:type="dxa"/>
              <w:right w:w="15" w:type="dxa"/>
            </w:tcMar>
            <w:vAlign w:val="bottom"/>
          </w:tcPr>
          <w:p w:rsidR="007C4821" w:rsidRDefault="007C4821">
            <w:pPr>
              <w:jc w:val="right"/>
              <w:rPr>
                <w:rFonts w:ascii="Arial" w:hAnsi="Arial" w:cs="Arial" w:hint="default"/>
                <w:color w:val="000000"/>
                <w:sz w:val="20"/>
                <w:szCs w:val="20"/>
              </w:rPr>
            </w:pPr>
          </w:p>
        </w:tc>
        <w:tc>
          <w:tcPr>
            <w:tcW w:w="7536"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817"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公开01表</w:t>
            </w:r>
          </w:p>
        </w:tc>
      </w:tr>
      <w:tr w:rsidR="007C4821">
        <w:trPr>
          <w:trHeight w:val="289"/>
        </w:trPr>
        <w:tc>
          <w:tcPr>
            <w:tcW w:w="6581" w:type="dxa"/>
            <w:tcBorders>
              <w:top w:val="nil"/>
              <w:left w:val="nil"/>
              <w:bottom w:val="nil"/>
              <w:right w:val="nil"/>
            </w:tcBorders>
            <w:tcMar>
              <w:top w:w="15" w:type="dxa"/>
              <w:left w:w="15" w:type="dxa"/>
              <w:right w:w="15" w:type="dxa"/>
            </w:tcMar>
            <w:vAlign w:val="bottom"/>
          </w:tcPr>
          <w:p w:rsidR="007C4821" w:rsidRDefault="001D6CC0">
            <w:pPr>
              <w:textAlignment w:val="bottom"/>
              <w:rPr>
                <w:rFonts w:cs="宋体" w:hint="default"/>
                <w:color w:val="000000"/>
              </w:rPr>
            </w:pPr>
            <w:r>
              <w:rPr>
                <w:rFonts w:cs="宋体"/>
              </w:rPr>
              <w:t>公开部门：垫江县曹回镇人民政府</w:t>
            </w:r>
          </w:p>
        </w:tc>
        <w:tc>
          <w:tcPr>
            <w:tcW w:w="4358" w:type="dxa"/>
            <w:tcBorders>
              <w:top w:val="nil"/>
              <w:left w:val="nil"/>
              <w:bottom w:val="nil"/>
              <w:right w:val="nil"/>
            </w:tcBorders>
            <w:tcMar>
              <w:top w:w="15" w:type="dxa"/>
              <w:left w:w="15" w:type="dxa"/>
              <w:right w:w="15" w:type="dxa"/>
            </w:tcMar>
            <w:vAlign w:val="bottom"/>
          </w:tcPr>
          <w:p w:rsidR="007C4821" w:rsidRDefault="007C4821">
            <w:pPr>
              <w:jc w:val="right"/>
              <w:rPr>
                <w:rFonts w:ascii="Arial" w:hAnsi="Arial" w:cs="Arial" w:hint="default"/>
                <w:color w:val="000000"/>
                <w:sz w:val="22"/>
                <w:szCs w:val="22"/>
              </w:rPr>
            </w:pPr>
          </w:p>
        </w:tc>
        <w:tc>
          <w:tcPr>
            <w:tcW w:w="7536"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3817"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支出</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决算数</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5,358.43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1,052.43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0.65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19.14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85.98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424.59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97.52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112.38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2,177.61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135.81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1,146.60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111.25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4.99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0.53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5,359.08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5,368.83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117.12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107.37 </w:t>
            </w:r>
          </w:p>
        </w:tc>
      </w:tr>
      <w:tr w:rsidR="007C4821">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5,476.20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C4821" w:rsidRDefault="001D6CC0">
            <w:pPr>
              <w:wordWrap w:val="0"/>
              <w:jc w:val="right"/>
              <w:textAlignment w:val="center"/>
              <w:rPr>
                <w:rFonts w:cs="宋体" w:hint="default"/>
                <w:color w:val="000000"/>
                <w:sz w:val="20"/>
                <w:szCs w:val="20"/>
              </w:rPr>
            </w:pPr>
            <w:r>
              <w:rPr>
                <w:rFonts w:cs="宋体"/>
                <w:color w:val="000000"/>
                <w:sz w:val="21"/>
                <w:szCs w:val="21"/>
              </w:rPr>
              <w:t xml:space="preserve">5,476.20 </w:t>
            </w:r>
          </w:p>
        </w:tc>
      </w:tr>
    </w:tbl>
    <w:p w:rsidR="007C4821" w:rsidRDefault="001D6CC0">
      <w:pPr>
        <w:rPr>
          <w:rFonts w:cs="宋体" w:hint="default"/>
          <w:sz w:val="21"/>
          <w:szCs w:val="21"/>
        </w:rPr>
      </w:pPr>
      <w:r>
        <w:rPr>
          <w:rFonts w:cs="宋体"/>
          <w:sz w:val="21"/>
          <w:szCs w:val="21"/>
        </w:rPr>
        <w:t>备注：1.本表反映部门本年度的总收支和年末结转结余情况。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C4821" w:rsidRDefault="001D6CC0">
      <w:pPr>
        <w:rPr>
          <w:rFonts w:cs="宋体" w:hint="default"/>
          <w:sz w:val="21"/>
          <w:szCs w:val="21"/>
        </w:rPr>
      </w:pPr>
      <w:r>
        <w:rPr>
          <w:rFonts w:cs="宋体"/>
          <w:sz w:val="21"/>
          <w:szCs w:val="21"/>
        </w:rPr>
        <w:br w:type="page"/>
      </w:r>
    </w:p>
    <w:p w:rsidR="007C4821" w:rsidRDefault="007C4821">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7C4821">
        <w:trPr>
          <w:trHeight w:val="641"/>
        </w:trPr>
        <w:tc>
          <w:tcPr>
            <w:tcW w:w="22220" w:type="dxa"/>
            <w:gridSpan w:val="10"/>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t>收入决算表</w:t>
            </w:r>
          </w:p>
        </w:tc>
      </w:tr>
      <w:tr w:rsidR="007C4821">
        <w:trPr>
          <w:trHeight w:val="328"/>
        </w:trPr>
        <w:tc>
          <w:tcPr>
            <w:tcW w:w="5258" w:type="dxa"/>
            <w:gridSpan w:val="2"/>
            <w:vMerge w:val="restart"/>
            <w:tcBorders>
              <w:top w:val="nil"/>
              <w:left w:val="nil"/>
              <w:right w:val="nil"/>
            </w:tcBorders>
            <w:tcMar>
              <w:top w:w="15" w:type="dxa"/>
              <w:left w:w="15" w:type="dxa"/>
              <w:right w:w="15" w:type="dxa"/>
            </w:tcMar>
            <w:vAlign w:val="bottom"/>
          </w:tcPr>
          <w:p w:rsidR="007C4821" w:rsidRDefault="001D6CC0">
            <w:pPr>
              <w:rPr>
                <w:rFonts w:ascii="Arial" w:hAnsi="Arial" w:cs="Arial" w:hint="default"/>
                <w:color w:val="000000"/>
                <w:sz w:val="22"/>
                <w:szCs w:val="22"/>
              </w:rPr>
            </w:pPr>
            <w:r>
              <w:rPr>
                <w:rFonts w:cs="宋体"/>
              </w:rPr>
              <w:t>公开部门：垫江县曹回镇人民政府</w:t>
            </w:r>
          </w:p>
        </w:tc>
        <w:tc>
          <w:tcPr>
            <w:tcW w:w="241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399"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336"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公开02表</w:t>
            </w:r>
          </w:p>
        </w:tc>
      </w:tr>
      <w:tr w:rsidR="007C4821">
        <w:trPr>
          <w:trHeight w:val="328"/>
        </w:trPr>
        <w:tc>
          <w:tcPr>
            <w:tcW w:w="5258" w:type="dxa"/>
            <w:gridSpan w:val="2"/>
            <w:vMerge/>
            <w:tcBorders>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41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399"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336"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7C4821" w:rsidRDefault="001D6CC0">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C4821" w:rsidRDefault="001D6CC0">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其他收入</w:t>
            </w:r>
          </w:p>
        </w:tc>
      </w:tr>
      <w:tr w:rsidR="007C4821">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5,359.08 </w:t>
            </w:r>
          </w:p>
        </w:tc>
        <w:tc>
          <w:tcPr>
            <w:tcW w:w="239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5,359.08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336"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1,042.68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1,042.68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人大事务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24.20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24.20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17.84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17.84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人大会议</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代表工作</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2.26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2.26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其他人大事务支出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1.30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1.30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政协事务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2010202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886.49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886.49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795.33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795.33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91.02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91.02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信访事务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统计信息事务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4.06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4.06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2010507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专项普查活动</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20113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商贸事务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15.08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15.08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2011302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5.16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5.16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2011308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招商引资</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9.92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9.92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15.06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15.06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15.06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15.06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组织事务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2013299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其他组织事务支出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84.22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84.22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2013699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84.22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84.22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市场监督管理事务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11.52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11.52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2013802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5.76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5.76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2013816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食品安全监管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5.76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5.76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公共安全支出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19.14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19.14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公安</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2040299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其他公安支出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8.54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8.54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10.60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10.60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2049999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10.60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10.60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lastRenderedPageBreak/>
              <w:t>207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85.98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85.98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20701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文化和旅游</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85.98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85.98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2070109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群众文化</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76.95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76.95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2070199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其他文化和旅游支出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9.03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9.03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424.59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424.59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111.56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111.56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0.54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0.54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2080150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99.62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99.62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其他人力资源和社会保障管理事务支出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204.09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204.09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102.57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102.57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47.25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47.25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54.27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54.27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抚恤</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24.03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24.03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2080801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死亡抚恤</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23.79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23.79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2080899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其他优抚支出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退役安置</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0.40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0.40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2080999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其他退役安置支出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0.40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0.40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社会福利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12.47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12.47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2081006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养老服务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12.47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12.47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20811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残疾人事业</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20.10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20.10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2081106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残疾人体育</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其他残疾人事业支出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19.80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19.80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20825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其他生活救助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5.55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5.55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2082501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其他城市生活救助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4.15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4.15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2082502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其他农村生活救助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1.40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1.40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20828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退役军人管理事务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46.39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46.39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2082850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39.02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39.02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2082899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其他退役军人事务管理支出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7.37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7.37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97.52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97.52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公共卫生</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31.89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31.89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基本公共卫生服务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突发公共卫生事件应急处理</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21.16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21.16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其他公共卫生支出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9.15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9.15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计划生育事务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0.28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0.28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2100799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其他计划生育事务支出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62.33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62.33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38.26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38.26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24.07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24.07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21015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医疗保障管理事务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3.02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3.02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lastRenderedPageBreak/>
              <w:t>2101502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1.44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1.44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2101506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医疗保障经办事务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112.38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112.38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98.88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98.88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2120104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城管执法</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98.88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98.88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城乡社区公共设施</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1.01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2120303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小城镇基础设施建设</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1.01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城乡社区环境卫生</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12.38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12.38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2120501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城乡社区环境卫生</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12.38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12.38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0.12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0.12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2120899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农林水支出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2,177.61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2,177.61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农业农村</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679.39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679.39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283.15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283.15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病虫害控制</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5.60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5.60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2130135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农业资源保护修复与利用</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44.40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44.40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2130148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渔业发展</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12.00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12.00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其他农业农村支出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334.24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334.24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林业和草原</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26.37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26.37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2130205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森林资源培育</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26.37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26.37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水利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547.44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547.44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水土保持</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487.80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487.80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防汛</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19.64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19.64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抗旱</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40.00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40.00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13.42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13.42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2130599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13.42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13.42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农村综合改革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910.99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910.99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2130701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对村级公益事业建设的补助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503.00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503.00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2130705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对村民委员会和村党支部的补助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407.99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407.99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交通运输支出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135.81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135.81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公路水路运输</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21.20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21.20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2140106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公路养护</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21.20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21.20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车辆购置税支出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114.61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2140601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车辆购置税用于公路等基础设施建设支出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114.61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114.61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1,146.60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1,146.60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21508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1,146.60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1,146.60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2150899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1,146.60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1,146.60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111.25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111.25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保障性安居工程支出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45.30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45.30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lastRenderedPageBreak/>
              <w:t>2210105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农村危房改造</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45.30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45.30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65.95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65.95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65.95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65.95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灾害防治及应急管理支出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4.99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4.99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应急管理事务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2.80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2.80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其他应急管理支出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自然灾害防治</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0.10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0.10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2240601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地质灾害防治</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0.10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0.10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2240703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自然灾害救灾补助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2.09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2.09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0.53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0.53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22960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彩票公益金安排的支出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0.53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0.53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2296006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用于残疾人事业的彩票公益金支出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0.53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0.53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bl>
    <w:p w:rsidR="007C4821" w:rsidRDefault="001D6CC0">
      <w:pPr>
        <w:ind w:left="630" w:hangingChars="300" w:hanging="630"/>
        <w:rPr>
          <w:rFonts w:cs="宋体" w:hint="default"/>
          <w:sz w:val="21"/>
          <w:szCs w:val="21"/>
        </w:rPr>
      </w:pPr>
      <w:r>
        <w:rPr>
          <w:rFonts w:cs="宋体"/>
          <w:sz w:val="21"/>
          <w:szCs w:val="21"/>
        </w:rPr>
        <w:t>备注：1.本表反映部门本年度取得的各项收入情况。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7C4821" w:rsidRDefault="001D6CC0">
      <w:pPr>
        <w:rPr>
          <w:rFonts w:cs="宋体" w:hint="default"/>
          <w:sz w:val="21"/>
          <w:szCs w:val="21"/>
        </w:rPr>
      </w:pPr>
      <w:r>
        <w:rPr>
          <w:rFonts w:cs="宋体"/>
          <w:sz w:val="21"/>
          <w:szCs w:val="21"/>
        </w:rPr>
        <w:br w:type="page"/>
      </w:r>
    </w:p>
    <w:p w:rsidR="007C4821" w:rsidRDefault="007C4821">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7C4821">
        <w:trPr>
          <w:trHeight w:val="654"/>
        </w:trPr>
        <w:tc>
          <w:tcPr>
            <w:tcW w:w="22180" w:type="dxa"/>
            <w:gridSpan w:val="8"/>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t>支出决算表</w:t>
            </w:r>
          </w:p>
        </w:tc>
      </w:tr>
      <w:tr w:rsidR="007C4821">
        <w:trPr>
          <w:trHeight w:val="342"/>
        </w:trPr>
        <w:tc>
          <w:tcPr>
            <w:tcW w:w="5610" w:type="dxa"/>
            <w:gridSpan w:val="2"/>
            <w:vMerge w:val="restart"/>
            <w:tcBorders>
              <w:top w:val="nil"/>
              <w:left w:val="nil"/>
              <w:right w:val="nil"/>
            </w:tcBorders>
            <w:tcMar>
              <w:top w:w="15" w:type="dxa"/>
              <w:left w:w="15" w:type="dxa"/>
              <w:right w:w="15" w:type="dxa"/>
            </w:tcMar>
            <w:vAlign w:val="bottom"/>
          </w:tcPr>
          <w:p w:rsidR="007C4821" w:rsidRDefault="001D6CC0">
            <w:pPr>
              <w:rPr>
                <w:rFonts w:ascii="Arial" w:hAnsi="Arial" w:cs="Arial" w:hint="default"/>
                <w:color w:val="000000"/>
                <w:sz w:val="20"/>
                <w:szCs w:val="20"/>
              </w:rPr>
            </w:pPr>
            <w:r>
              <w:rPr>
                <w:rFonts w:cs="宋体"/>
              </w:rPr>
              <w:t>公开部门</w:t>
            </w:r>
            <w:r>
              <w:rPr>
                <w:rFonts w:cs="宋体"/>
                <w:color w:val="000000"/>
              </w:rPr>
              <w:t xml:space="preserve">： </w:t>
            </w:r>
            <w:r>
              <w:rPr>
                <w:color w:val="000000"/>
              </w:rPr>
              <w:t xml:space="preserve">垫江县曹回镇人民政府 </w:t>
            </w: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770"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公开03表</w:t>
            </w:r>
          </w:p>
        </w:tc>
      </w:tr>
      <w:tr w:rsidR="007C4821">
        <w:trPr>
          <w:trHeight w:val="342"/>
        </w:trPr>
        <w:tc>
          <w:tcPr>
            <w:tcW w:w="5610" w:type="dxa"/>
            <w:gridSpan w:val="2"/>
            <w:vMerge/>
            <w:tcBorders>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770"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C4821" w:rsidRDefault="001D6CC0">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对附属单位补助支出</w:t>
            </w:r>
          </w:p>
        </w:tc>
      </w:tr>
      <w:tr w:rsidR="007C4821">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5,368.83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2,049.61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3,319.22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70"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1,052.43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795.33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257.09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人大事务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24.20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24.20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17.84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17.84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人大会议</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代表工作</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2.26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2.26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其他人大事务支出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1.30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1.30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政协事务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2010202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886.49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795.33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91.15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795.33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795.33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91.02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91.02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信访事务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统计信息事务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4.06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4.06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2010507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专项普查活动</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20113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商贸事务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15.08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15.08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2011302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5.16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5.16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2011308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招商引资</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9.92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9.92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24.81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24.81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24.81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24.81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组织事务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2013299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其他组织事务支出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84.22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84.22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2013699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84.22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84.22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市场监督管理事务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11.52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11.52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2013802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5.76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5.76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2013816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食品安全监管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5.76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5.76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公共安全支出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19.14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19.14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公安</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lastRenderedPageBreak/>
              <w:t>2040299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其他公安支出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8.54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8.54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2049999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85.98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76.95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9.03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20701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文化和旅游</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85.98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76.95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9.03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2070109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群众文化</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76.95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76.95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2070199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其他文化和旅游支出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9.03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9.03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424.59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366.52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58.07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111.56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99.62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11.94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0.54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0.54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2080150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99.62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99.62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其他人力资源和社会保障管理事务支出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204.09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204.09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102.57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102.57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47.25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47.25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54.27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54.27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抚恤</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24.03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23.79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0.24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2080801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死亡抚恤</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23.79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23.79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2080899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其他优抚支出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退役安置</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2080999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其他退役安置支出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社会福利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12.47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12.47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2081006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养老服务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12.47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12.47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20811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残疾人事业</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20.10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20.10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2081106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残疾人体育</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其他残疾人事业支出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19.80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19.80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20825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其他生活救助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5.55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5.55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2082501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其他城市生活救助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2082502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其他农村生活救助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20828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退役军人管理事务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46.39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39.02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7.37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2082850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39.02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39.02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2082899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其他退役军人事务管理支出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7.37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7.37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97.52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62.33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35.19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公共卫生</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31.89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31.89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基本公共卫生服务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突发公共卫生事件应急处理</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21.16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21.16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其他公共卫生支出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lastRenderedPageBreak/>
              <w:t>21007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计划生育事务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0.28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0.28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2100799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其他计划生育事务支出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0.28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62.33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62.33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38.26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38.26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24.07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24.07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21015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医疗保障管理事务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3.02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3.02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2101502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1.44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1.44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2101506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医疗保障经办事务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1.58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112.38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98.88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13.51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98.88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98.88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2120104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城管执法</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98.88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98.88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城乡社区公共设施</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1.01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2120303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小城镇基础设施建设</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城乡社区环境卫生</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12.38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12.38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2120501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城乡社区环境卫生</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12.38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12.38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0.12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0.12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2120899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农林水支出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2,177.61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583.65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1,593.96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农业农村</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679.39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283.15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396.24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283.15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283.15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病虫害控制</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2130135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农业资源保护修复与利用</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44.40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44.40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2130148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渔业发展</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12.00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其他农业农村支出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334.24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334.24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林业和草原</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26.37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26.37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2130205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森林资源培育</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26.37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26.37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水利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547.44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547.44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水土保持</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487.80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487.80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防汛</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19.64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19.64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抗旱</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13.42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13.42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2130599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13.42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13.42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农村综合改革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910.99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300.50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610.49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2130701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对村级公益事业建设的补助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503.00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503.00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2130705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对村民委员会和村党支部的补助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407.99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300.50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107.49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交通运输支出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135.81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135.81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公路水路运输</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21.20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21.20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lastRenderedPageBreak/>
              <w:t>2140106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公路养护</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21.20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21.20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车辆购置税支出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2140601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车辆购置税用于公路等基础设施建设支出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114.61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114.61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21508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1,146.60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2150899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1,146.60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1,146.60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111.25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65.95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45.30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保障性安居工程支出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45.30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45.30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2210105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农村危房改造</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45.30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45.30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65.95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65.95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65.95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65.95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灾害防治及应急管理支出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4.99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4.99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应急管理事务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其他应急管理支出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2.80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自然灾害防治</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0.10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0.10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2240601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地质灾害防治</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0.10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2.09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2240703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自然灾害救灾补助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2.09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2.09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0.53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0.53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22960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彩票公益金安排的支出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0.53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b/>
                <w:color w:val="000000"/>
                <w:sz w:val="21"/>
                <w:szCs w:val="21"/>
              </w:rPr>
              <w:t xml:space="preserve">0.53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r w:rsidR="007C4821">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2296006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用于残疾人事业的彩票公益金支出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0.53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0.53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18"/>
                <w:szCs w:val="18"/>
              </w:rPr>
            </w:pPr>
            <w:r>
              <w:rPr>
                <w:rFonts w:cs="宋体"/>
                <w:color w:val="000000"/>
                <w:sz w:val="21"/>
                <w:szCs w:val="21"/>
              </w:rPr>
              <w:t xml:space="preserve"> </w:t>
            </w:r>
          </w:p>
        </w:tc>
      </w:tr>
    </w:tbl>
    <w:p w:rsidR="007C4821" w:rsidRDefault="001D6CC0">
      <w:pPr>
        <w:rPr>
          <w:rFonts w:cs="宋体" w:hint="default"/>
          <w:sz w:val="21"/>
          <w:szCs w:val="21"/>
        </w:rPr>
      </w:pPr>
      <w:r>
        <w:rPr>
          <w:rFonts w:cs="宋体"/>
          <w:sz w:val="21"/>
          <w:szCs w:val="21"/>
        </w:rPr>
        <w:t>备注：1.本表反映部门本年度各项支出情况。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C4821" w:rsidRDefault="001D6CC0">
      <w:pPr>
        <w:rPr>
          <w:rFonts w:cs="宋体" w:hint="default"/>
          <w:sz w:val="21"/>
          <w:szCs w:val="21"/>
        </w:rPr>
      </w:pPr>
      <w:r>
        <w:rPr>
          <w:rFonts w:cs="宋体"/>
          <w:sz w:val="21"/>
          <w:szCs w:val="21"/>
        </w:rPr>
        <w:br w:type="page"/>
      </w:r>
    </w:p>
    <w:p w:rsidR="007C4821" w:rsidRDefault="007C4821">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7C4821">
        <w:trPr>
          <w:trHeight w:val="90"/>
        </w:trPr>
        <w:tc>
          <w:tcPr>
            <w:tcW w:w="22360" w:type="dxa"/>
            <w:gridSpan w:val="7"/>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7C4821">
        <w:trPr>
          <w:trHeight w:val="90"/>
        </w:trPr>
        <w:tc>
          <w:tcPr>
            <w:tcW w:w="6742" w:type="dxa"/>
            <w:gridSpan w:val="2"/>
            <w:vMerge w:val="restart"/>
            <w:tcBorders>
              <w:top w:val="nil"/>
              <w:left w:val="nil"/>
              <w:right w:val="nil"/>
            </w:tcBorders>
            <w:tcMar>
              <w:top w:w="15" w:type="dxa"/>
              <w:left w:w="15" w:type="dxa"/>
              <w:right w:w="15" w:type="dxa"/>
            </w:tcMar>
            <w:vAlign w:val="bottom"/>
          </w:tcPr>
          <w:p w:rsidR="007C4821" w:rsidRDefault="001D6CC0">
            <w:pPr>
              <w:rPr>
                <w:rFonts w:ascii="Arial" w:hAnsi="Arial" w:cs="Arial" w:hint="default"/>
                <w:color w:val="000000"/>
                <w:sz w:val="22"/>
                <w:szCs w:val="22"/>
              </w:rPr>
            </w:pPr>
            <w:r>
              <w:rPr>
                <w:rFonts w:cs="宋体"/>
              </w:rPr>
              <w:t>公开部门</w:t>
            </w:r>
            <w:r>
              <w:rPr>
                <w:rFonts w:cs="宋体"/>
                <w:color w:val="000000"/>
              </w:rPr>
              <w:t xml:space="preserve">： </w:t>
            </w:r>
            <w:r>
              <w:rPr>
                <w:color w:val="000000"/>
              </w:rPr>
              <w:t>垫江县曹回镇人民政府</w:t>
            </w:r>
          </w:p>
        </w:tc>
        <w:tc>
          <w:tcPr>
            <w:tcW w:w="375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010"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公开04表</w:t>
            </w:r>
          </w:p>
        </w:tc>
      </w:tr>
      <w:tr w:rsidR="007C4821">
        <w:trPr>
          <w:trHeight w:val="90"/>
        </w:trPr>
        <w:tc>
          <w:tcPr>
            <w:tcW w:w="6742" w:type="dxa"/>
            <w:gridSpan w:val="2"/>
            <w:vMerge/>
            <w:tcBorders>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375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3010"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支     出</w:t>
            </w:r>
          </w:p>
        </w:tc>
      </w:tr>
      <w:tr w:rsidR="007C4821">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决算数</w:t>
            </w:r>
          </w:p>
        </w:tc>
      </w:tr>
      <w:tr w:rsidR="007C4821">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5,358.43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1,052.43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1,052.43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0.65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19.14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19.14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85.98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85.98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424.59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424.59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97.52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97.52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112.38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112.26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0.12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2,177.61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2,177.61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135.81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135.81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1,146.60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1,146.60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111.25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111.25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4.99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4.99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0.53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0.53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7C482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5,359.08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5,368.83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5,368.18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0.65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117.12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107.37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102.76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4.61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112.51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7C4821">
            <w:pPr>
              <w:rPr>
                <w:rFonts w:ascii="Arial" w:hAnsi="Arial" w:cs="Arial" w:hint="default"/>
                <w:color w:val="000000"/>
                <w:sz w:val="20"/>
                <w:szCs w:val="20"/>
              </w:rPr>
            </w:pP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4.61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2"/>
                <w:szCs w:val="22"/>
              </w:rPr>
            </w:pP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2"/>
                <w:szCs w:val="22"/>
              </w:rPr>
            </w:pPr>
          </w:p>
        </w:tc>
      </w:tr>
      <w:tr w:rsidR="007C482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5,476.20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0"/>
                <w:szCs w:val="20"/>
              </w:rPr>
            </w:pPr>
            <w:r>
              <w:rPr>
                <w:rFonts w:cs="宋体"/>
                <w:color w:val="000000"/>
                <w:sz w:val="21"/>
                <w:szCs w:val="21"/>
              </w:rPr>
              <w:t xml:space="preserve">5,476.20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0"/>
                <w:szCs w:val="20"/>
              </w:rPr>
            </w:pPr>
            <w:r>
              <w:rPr>
                <w:rFonts w:cs="宋体"/>
                <w:color w:val="000000"/>
                <w:sz w:val="21"/>
                <w:szCs w:val="21"/>
              </w:rPr>
              <w:t xml:space="preserve">5,470.94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0"/>
                <w:szCs w:val="20"/>
              </w:rPr>
            </w:pPr>
            <w:r>
              <w:rPr>
                <w:rFonts w:cs="宋体"/>
                <w:color w:val="000000"/>
                <w:sz w:val="21"/>
                <w:szCs w:val="21"/>
              </w:rPr>
              <w:t xml:space="preserve">5.26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bl>
    <w:p w:rsidR="007C4821" w:rsidRDefault="001D6CC0">
      <w:pPr>
        <w:rPr>
          <w:rFonts w:cs="宋体" w:hint="default"/>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C4821" w:rsidRDefault="001D6CC0">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7C4821">
        <w:trPr>
          <w:trHeight w:val="510"/>
        </w:trPr>
        <w:tc>
          <w:tcPr>
            <w:tcW w:w="22300" w:type="dxa"/>
            <w:gridSpan w:val="5"/>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7C4821">
        <w:trPr>
          <w:trHeight w:val="255"/>
        </w:trPr>
        <w:tc>
          <w:tcPr>
            <w:tcW w:w="7845" w:type="dxa"/>
            <w:gridSpan w:val="2"/>
            <w:vMerge w:val="restart"/>
            <w:tcBorders>
              <w:top w:val="nil"/>
              <w:left w:val="nil"/>
              <w:right w:val="nil"/>
            </w:tcBorders>
            <w:tcMar>
              <w:top w:w="15" w:type="dxa"/>
              <w:left w:w="15" w:type="dxa"/>
              <w:right w:w="15" w:type="dxa"/>
            </w:tcMar>
            <w:vAlign w:val="bottom"/>
          </w:tcPr>
          <w:p w:rsidR="007C4821" w:rsidRDefault="001D6CC0">
            <w:pPr>
              <w:rPr>
                <w:rFonts w:ascii="Arial" w:hAnsi="Arial" w:cs="Arial" w:hint="default"/>
                <w:color w:val="000000"/>
                <w:sz w:val="20"/>
                <w:szCs w:val="20"/>
              </w:rPr>
            </w:pPr>
            <w:r>
              <w:rPr>
                <w:rFonts w:cs="宋体"/>
              </w:rPr>
              <w:t>公开部门</w:t>
            </w:r>
            <w:r>
              <w:rPr>
                <w:rFonts w:cs="宋体"/>
                <w:color w:val="000000"/>
              </w:rPr>
              <w:t xml:space="preserve">： </w:t>
            </w:r>
            <w:r>
              <w:rPr>
                <w:color w:val="000000"/>
              </w:rPr>
              <w:t>垫江县曹回镇人民政府</w:t>
            </w:r>
          </w:p>
        </w:tc>
        <w:tc>
          <w:tcPr>
            <w:tcW w:w="4817"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4817"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4821"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公开05表</w:t>
            </w:r>
          </w:p>
        </w:tc>
      </w:tr>
      <w:tr w:rsidR="007C4821">
        <w:trPr>
          <w:trHeight w:val="285"/>
        </w:trPr>
        <w:tc>
          <w:tcPr>
            <w:tcW w:w="7845" w:type="dxa"/>
            <w:gridSpan w:val="2"/>
            <w:vMerge/>
            <w:tcBorders>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4817"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4817"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4821"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本年支出</w:t>
            </w:r>
          </w:p>
        </w:tc>
      </w:tr>
      <w:tr w:rsidR="007C4821">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项目支出</w:t>
            </w:r>
          </w:p>
        </w:tc>
      </w:tr>
      <w:tr w:rsidR="007C4821">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5,368.18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2,049.61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3,318.57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1,052.43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795.33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257.09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人大事务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24.20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24.20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17.84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17.84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人大会议</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2.80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2.80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代表工作</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2.26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2.26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其他人大事务支出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1.30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1.30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政协事务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2010202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政府办公厅（室）及相关机构事务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886.49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795.33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91.15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795.33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795.33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91.02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91.02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2010308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信访事务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0.13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0.13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统计信息事务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4.06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4.06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2010507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专项普查活动</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4.06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4.06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20113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商贸事务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15.08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15.08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2011302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5.16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5.16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2011308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招商引资</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9.92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9.92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党委办公厅（室）及相关机构事务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24.81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24.81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24.81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24.81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组织事务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2013299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其他组织事务支出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其他共产党事务支出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84.22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84.22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2013699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其他共产党事务支出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84.22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84.22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20138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市场监督管理事务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11.52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11.52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2013802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5.76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5.76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2013816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食品安全监管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5.76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5.76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公共安全支出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19.14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19.14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公安</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8.54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8.54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2040299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其他公安支出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8.54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8.54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20499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其他公共安全支出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10.60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10.60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2049999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其他公共安全支出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10.60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10.60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文化旅游体育与传媒支出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85.98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76.95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9.03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20701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文化和旅游</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85.98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76.95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9.03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2070109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群众文化</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76.95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76.95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2070199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其他文化和旅游支出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9.03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9.03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424.59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366.52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58.07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111.56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99.62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11.94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0.54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0.54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lastRenderedPageBreak/>
              <w:t>2080150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99.62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99.62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其他人力资源和社会保障管理事务支出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11.40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11.40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204.09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204.09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102.57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102.57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47.25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47.25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54.27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54.27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抚恤</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24.03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23.79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0.24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2080801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死亡抚恤</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23.79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23.79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2080899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其他优抚支出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0.24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0.24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20809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退役安置</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0.40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0.40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2080999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其他退役安置支出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0.40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0.40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社会福利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12.47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12.47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2081006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养老服务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12.47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12.47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20811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残疾人事业</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20.10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20.10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2081106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残疾人体育</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0.29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0.29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2081199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其他残疾人事业支出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19.80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19.80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20825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其他生活救助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5.55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5.55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2082501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其他城市生活救助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4.15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4.15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2082502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其他农村生活救助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1.40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1.40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20828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退役军人管理事务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46.39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39.02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7.37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2082850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39.02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39.02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2082899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其他退役军人事务管理支出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7.37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7.37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97.52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62.33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35.19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公共卫生</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31.89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31.89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基本公共卫生服务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1.58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1.58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突发公共卫生事件应急处理</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21.16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21.16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2100499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其他公共卫生支出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9.15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9.15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计划生育事务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0.28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0.28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2100799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其他计划生育事务支出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0.28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0.28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62.33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62.33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38.26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38.26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24.07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24.07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21015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医疗保障管理事务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3.02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3.02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2101502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1.44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1.44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2101506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医疗保障经办事务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1.58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1.58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112.26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98.88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13.39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98.88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98.88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2120104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城管执法</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98.88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98.88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城乡社区公共设施</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1.01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2120303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小城镇基础设施建设</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1.01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21205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城乡社区环境卫生</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12.38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12.38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2120501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城乡社区环境卫生</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12.38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12.38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农林水支出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2,177.61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583.65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1,593.96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农业农村</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679.39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283.15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396.24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283.15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283.15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病虫害控制</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5.60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5.60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2130135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农业资源保护修复与利用</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44.40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44.40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lastRenderedPageBreak/>
              <w:t>2130148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渔业发展</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12.00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12.00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其他农业农村支出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334.24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334.24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林业和草原</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26.37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26.37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2130205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森林资源培育</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26.37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26.37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水利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547.44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547.44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水土保持</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487.80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487.80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防汛</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19.64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19.64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2130315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抗旱</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40.00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40.00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巩固脱贫攻坚成果衔接乡村振兴</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13.42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13.42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2130599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13.42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13.42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21307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农村综合改革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910.99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300.50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610.49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2130701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对村级公益事业建设的补助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503.00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503.00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2130705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对村民委员会和村党支部的补助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407.99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300.50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107.49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交通运输支出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135.81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135.81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公路水路运输</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21.20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21.20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2140106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公路养护</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21.20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21.20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21406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车辆购置税支出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114.61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114.61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2140601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车辆购置税用于公路等基础设施建设支出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114.61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114.61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资源勘探工业信息等支出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1,146.60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1,146.60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21508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支持中小企业发展和管理支出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1,146.60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1,146.60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2150899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其他支持中小企业发展和管理支出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1,146.60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1,146.60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111.25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65.95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45.30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保障性安居工程支出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45.30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45.30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2210105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农村危房改造</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45.30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45.30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65.95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65.95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65.95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65.95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灾害防治及应急管理支出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4.99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4.99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应急管理事务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2.80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2.80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其他应急管理支出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2.80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2.80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自然灾害防治</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0.10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0.10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2240601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地质灾害防治</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0.10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0.10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22407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b/>
                <w:color w:val="000000"/>
                <w:sz w:val="21"/>
                <w:szCs w:val="21"/>
              </w:rPr>
              <w:t>自然灾害救灾及恢复重建支出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2.09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2.09 </w:t>
            </w:r>
          </w:p>
        </w:tc>
      </w:tr>
      <w:tr w:rsidR="007C4821">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2240703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1"/>
                <w:szCs w:val="21"/>
              </w:rPr>
              <w:t>自然灾害救灾补助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2.09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2.09 </w:t>
            </w:r>
          </w:p>
        </w:tc>
      </w:tr>
    </w:tbl>
    <w:p w:rsidR="007C4821" w:rsidRDefault="001D6CC0">
      <w:pPr>
        <w:rPr>
          <w:rFonts w:cs="宋体" w:hint="default"/>
          <w:sz w:val="21"/>
          <w:szCs w:val="21"/>
        </w:rPr>
      </w:pPr>
      <w:r>
        <w:rPr>
          <w:rFonts w:cs="宋体"/>
          <w:sz w:val="21"/>
          <w:szCs w:val="21"/>
        </w:rPr>
        <w:t>备注：1.本表反映部门本年度一般公共预算财政拨款支出情况。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C4821" w:rsidRDefault="001D6CC0">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7C4821">
        <w:trPr>
          <w:trHeight w:val="590"/>
        </w:trPr>
        <w:tc>
          <w:tcPr>
            <w:tcW w:w="22280" w:type="dxa"/>
            <w:gridSpan w:val="9"/>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7C4821">
        <w:trPr>
          <w:trHeight w:val="302"/>
        </w:trPr>
        <w:tc>
          <w:tcPr>
            <w:tcW w:w="4784" w:type="dxa"/>
            <w:gridSpan w:val="2"/>
            <w:vMerge w:val="restart"/>
            <w:tcBorders>
              <w:top w:val="nil"/>
              <w:left w:val="nil"/>
              <w:right w:val="nil"/>
            </w:tcBorders>
            <w:tcMar>
              <w:top w:w="15" w:type="dxa"/>
              <w:left w:w="15" w:type="dxa"/>
              <w:right w:w="15" w:type="dxa"/>
            </w:tcMar>
            <w:vAlign w:val="bottom"/>
          </w:tcPr>
          <w:p w:rsidR="007C4821" w:rsidRDefault="001D6CC0">
            <w:pPr>
              <w:rPr>
                <w:rFonts w:ascii="Arial" w:hAnsi="Arial" w:cs="Arial" w:hint="default"/>
                <w:color w:val="000000"/>
                <w:sz w:val="22"/>
                <w:szCs w:val="22"/>
              </w:rPr>
            </w:pPr>
            <w:r>
              <w:rPr>
                <w:rFonts w:cs="宋体"/>
              </w:rPr>
              <w:t>公开部门</w:t>
            </w:r>
            <w:r>
              <w:rPr>
                <w:rFonts w:cs="宋体"/>
                <w:color w:val="000000"/>
              </w:rPr>
              <w:t xml:space="preserve">： </w:t>
            </w:r>
            <w:r>
              <w:rPr>
                <w:color w:val="000000"/>
              </w:rPr>
              <w:t>垫江县曹回镇人民政府</w:t>
            </w:r>
          </w:p>
        </w:tc>
        <w:tc>
          <w:tcPr>
            <w:tcW w:w="2829"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12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33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747"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509"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4465"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494"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公开06表</w:t>
            </w:r>
          </w:p>
        </w:tc>
      </w:tr>
      <w:tr w:rsidR="007C4821">
        <w:trPr>
          <w:trHeight w:val="302"/>
        </w:trPr>
        <w:tc>
          <w:tcPr>
            <w:tcW w:w="4784" w:type="dxa"/>
            <w:gridSpan w:val="2"/>
            <w:vMerge/>
            <w:tcBorders>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829"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1122"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330"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747"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1509"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4465"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494"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公用经费</w:t>
            </w:r>
          </w:p>
        </w:tc>
      </w:tr>
      <w:tr w:rsidR="007C4821">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金额</w:t>
            </w:r>
          </w:p>
        </w:tc>
      </w:tr>
      <w:tr w:rsidR="007C4821">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1,344.52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310.12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1.34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262.69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15.51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129.21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1.34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222.56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74.03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347.11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1.17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102.57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10.48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47.25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42.85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62.33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1.92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94.53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65.95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10.55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32.00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18.35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1.97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393.63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3.87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1.90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23.79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362.51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2.43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24.36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38.20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3.93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6.79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21.62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1.01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2"/>
                <w:szCs w:val="22"/>
              </w:rPr>
            </w:pP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2"/>
                <w:szCs w:val="22"/>
              </w:rPr>
            </w:pP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2"/>
                <w:szCs w:val="22"/>
              </w:rPr>
            </w:pPr>
          </w:p>
        </w:tc>
      </w:tr>
      <w:tr w:rsidR="007C482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color w:val="000000"/>
                <w:sz w:val="22"/>
                <w:szCs w:val="22"/>
              </w:rPr>
            </w:pPr>
          </w:p>
        </w:tc>
      </w:tr>
      <w:tr w:rsidR="007C4821">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1,738.14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color w:val="000000"/>
                <w:sz w:val="22"/>
                <w:szCs w:val="22"/>
              </w:rPr>
            </w:pPr>
            <w:r>
              <w:rPr>
                <w:rFonts w:cs="宋体"/>
                <w:color w:val="000000"/>
                <w:sz w:val="21"/>
                <w:szCs w:val="21"/>
              </w:rPr>
              <w:t xml:space="preserve">311.46 </w:t>
            </w:r>
          </w:p>
        </w:tc>
      </w:tr>
    </w:tbl>
    <w:p w:rsidR="007C4821" w:rsidRDefault="001D6CC0">
      <w:pPr>
        <w:rPr>
          <w:rFonts w:cs="宋体" w:hint="default"/>
          <w:sz w:val="21"/>
          <w:szCs w:val="21"/>
        </w:rPr>
      </w:pPr>
      <w:r>
        <w:rPr>
          <w:rFonts w:cs="宋体"/>
          <w:sz w:val="21"/>
          <w:szCs w:val="21"/>
        </w:rPr>
        <w:t>备注：1.本表反映部门本年度一般公共预算财政拨款基本支出明细情况。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C4821" w:rsidRDefault="001D6CC0">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7C4821">
        <w:trPr>
          <w:trHeight w:val="644"/>
        </w:trPr>
        <w:tc>
          <w:tcPr>
            <w:tcW w:w="22240" w:type="dxa"/>
            <w:gridSpan w:val="8"/>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7C4821">
        <w:trPr>
          <w:trHeight w:val="329"/>
        </w:trPr>
        <w:tc>
          <w:tcPr>
            <w:tcW w:w="7151" w:type="dxa"/>
            <w:gridSpan w:val="2"/>
            <w:vMerge w:val="restart"/>
            <w:tcBorders>
              <w:top w:val="nil"/>
              <w:left w:val="nil"/>
              <w:right w:val="nil"/>
            </w:tcBorders>
            <w:tcMar>
              <w:top w:w="15" w:type="dxa"/>
              <w:left w:w="15" w:type="dxa"/>
              <w:right w:w="15" w:type="dxa"/>
            </w:tcMar>
            <w:vAlign w:val="bottom"/>
          </w:tcPr>
          <w:p w:rsidR="007C4821" w:rsidRDefault="001D6CC0">
            <w:pPr>
              <w:rPr>
                <w:rFonts w:ascii="Arial" w:hAnsi="Arial" w:cs="Arial" w:hint="default"/>
                <w:color w:val="000000"/>
                <w:sz w:val="20"/>
                <w:szCs w:val="20"/>
              </w:rPr>
            </w:pPr>
            <w:r>
              <w:rPr>
                <w:rFonts w:cs="宋体"/>
              </w:rPr>
              <w:t>公开部门</w:t>
            </w:r>
            <w:r>
              <w:rPr>
                <w:rFonts w:cs="宋体"/>
                <w:color w:val="000000"/>
              </w:rPr>
              <w:t xml:space="preserve">： </w:t>
            </w:r>
            <w:r>
              <w:rPr>
                <w:color w:val="000000"/>
              </w:rPr>
              <w:t>垫江县曹回镇人民政府</w:t>
            </w:r>
          </w:p>
        </w:tc>
        <w:tc>
          <w:tcPr>
            <w:tcW w:w="247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558"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2639"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公开07表</w:t>
            </w:r>
          </w:p>
        </w:tc>
      </w:tr>
      <w:tr w:rsidR="007C4821">
        <w:trPr>
          <w:trHeight w:val="329"/>
        </w:trPr>
        <w:tc>
          <w:tcPr>
            <w:tcW w:w="7151" w:type="dxa"/>
            <w:gridSpan w:val="2"/>
            <w:vMerge/>
            <w:tcBorders>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558"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2639"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年末结转和结余</w:t>
            </w:r>
          </w:p>
        </w:tc>
      </w:tr>
      <w:tr w:rsidR="007C4821">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4.61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0.65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0.65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0.65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4.61 </w:t>
            </w:r>
          </w:p>
        </w:tc>
      </w:tr>
      <w:tr w:rsidR="007C4821">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b/>
                <w:color w:val="000000"/>
                <w:sz w:val="21"/>
                <w:szCs w:val="21"/>
              </w:rPr>
              <w:t>212</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b/>
                <w:color w:val="000000"/>
                <w:sz w:val="21"/>
                <w:szCs w:val="21"/>
              </w:rPr>
              <w:t>城乡社区支出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4.61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0.12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0.12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0.12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4.61 </w:t>
            </w:r>
          </w:p>
        </w:tc>
      </w:tr>
      <w:tr w:rsidR="007C4821">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b/>
                <w:color w:val="000000"/>
                <w:sz w:val="21"/>
                <w:szCs w:val="21"/>
              </w:rPr>
              <w:t>21208</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4.61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0.12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0.12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0.12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4.61 </w:t>
            </w:r>
          </w:p>
        </w:tc>
      </w:tr>
      <w:tr w:rsidR="007C4821">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color w:val="000000"/>
                <w:sz w:val="21"/>
                <w:szCs w:val="21"/>
              </w:rPr>
              <w:t>2120804</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color w:val="000000"/>
                <w:sz w:val="21"/>
                <w:szCs w:val="21"/>
              </w:rPr>
              <w:t>农村基础设施建设支出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1.00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1.00 </w:t>
            </w:r>
          </w:p>
        </w:tc>
      </w:tr>
      <w:tr w:rsidR="007C4821">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color w:val="000000"/>
                <w:sz w:val="21"/>
                <w:szCs w:val="21"/>
              </w:rPr>
              <w:t>2120899</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3.61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0.12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0.12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0.12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3.61 </w:t>
            </w:r>
          </w:p>
        </w:tc>
      </w:tr>
      <w:tr w:rsidR="007C4821">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b/>
                <w:color w:val="000000"/>
                <w:sz w:val="21"/>
                <w:szCs w:val="21"/>
              </w:rPr>
              <w:t>229</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b/>
                <w:color w:val="000000"/>
                <w:sz w:val="21"/>
                <w:szCs w:val="21"/>
              </w:rPr>
              <w:t>其他支出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0.53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0.53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0.53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b/>
                <w:color w:val="000000"/>
                <w:sz w:val="21"/>
                <w:szCs w:val="21"/>
              </w:rPr>
              <w:t>22960</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b/>
                <w:color w:val="000000"/>
                <w:sz w:val="21"/>
                <w:szCs w:val="21"/>
              </w:rPr>
              <w:t>彩票公益金安排的支出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0.53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0.53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color w:val="000000"/>
                <w:sz w:val="21"/>
                <w:szCs w:val="21"/>
              </w:rPr>
              <w:t xml:space="preserve">0.53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r w:rsidR="007C4821">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color w:val="000000"/>
                <w:sz w:val="21"/>
                <w:szCs w:val="21"/>
              </w:rPr>
              <w:t>2296006</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jc w:val="both"/>
              <w:textAlignment w:val="center"/>
              <w:rPr>
                <w:rFonts w:cs="宋体" w:hint="default"/>
                <w:color w:val="000000"/>
                <w:sz w:val="22"/>
                <w:szCs w:val="22"/>
              </w:rPr>
            </w:pPr>
            <w:r>
              <w:rPr>
                <w:rFonts w:cs="宋体"/>
                <w:color w:val="000000"/>
                <w:sz w:val="21"/>
                <w:szCs w:val="21"/>
              </w:rPr>
              <w:t>用于残疾人事业的彩票公益金支出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0.53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0.53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0.53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color w:val="000000"/>
                <w:sz w:val="21"/>
                <w:szCs w:val="21"/>
              </w:rPr>
              <w:t xml:space="preserve"> </w:t>
            </w:r>
          </w:p>
        </w:tc>
      </w:tr>
    </w:tbl>
    <w:p w:rsidR="007C4821" w:rsidRDefault="001D6CC0">
      <w:pPr>
        <w:rPr>
          <w:rFonts w:cs="宋体" w:hint="default"/>
          <w:sz w:val="21"/>
          <w:szCs w:val="21"/>
        </w:rPr>
      </w:pPr>
      <w:r>
        <w:rPr>
          <w:rFonts w:cs="宋体"/>
          <w:sz w:val="21"/>
          <w:szCs w:val="21"/>
        </w:rPr>
        <w:t>备注：1.本表反映部门本年度政府性基金预算财政拨款收入支出及结转和结余情况。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C4821" w:rsidRDefault="001D6CC0">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7C4821">
        <w:trPr>
          <w:trHeight w:val="650"/>
        </w:trPr>
        <w:tc>
          <w:tcPr>
            <w:tcW w:w="22220" w:type="dxa"/>
            <w:gridSpan w:val="5"/>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7C4821">
        <w:trPr>
          <w:trHeight w:val="332"/>
        </w:trPr>
        <w:tc>
          <w:tcPr>
            <w:tcW w:w="7149" w:type="dxa"/>
            <w:gridSpan w:val="2"/>
            <w:vMerge w:val="restart"/>
            <w:tcBorders>
              <w:top w:val="nil"/>
              <w:left w:val="nil"/>
              <w:right w:val="nil"/>
            </w:tcBorders>
            <w:tcMar>
              <w:top w:w="15" w:type="dxa"/>
              <w:left w:w="15" w:type="dxa"/>
              <w:right w:w="15" w:type="dxa"/>
            </w:tcMar>
            <w:vAlign w:val="bottom"/>
          </w:tcPr>
          <w:p w:rsidR="007C4821" w:rsidRDefault="001D6CC0">
            <w:pPr>
              <w:rPr>
                <w:rFonts w:ascii="Arial" w:hAnsi="Arial" w:cs="Arial" w:hint="default"/>
                <w:color w:val="000000"/>
                <w:sz w:val="20"/>
                <w:szCs w:val="20"/>
              </w:rPr>
            </w:pPr>
            <w:r>
              <w:rPr>
                <w:rFonts w:cs="宋体"/>
              </w:rPr>
              <w:t>公开部门</w:t>
            </w:r>
            <w:r>
              <w:rPr>
                <w:rFonts w:cs="宋体"/>
                <w:color w:val="000000"/>
              </w:rPr>
              <w:t xml:space="preserve">： </w:t>
            </w:r>
            <w:r>
              <w:rPr>
                <w:color w:val="000000"/>
              </w:rPr>
              <w:t>垫江县曹回镇人民政府</w:t>
            </w:r>
          </w:p>
        </w:tc>
        <w:tc>
          <w:tcPr>
            <w:tcW w:w="4736"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542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4912"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公开08表</w:t>
            </w:r>
          </w:p>
        </w:tc>
      </w:tr>
      <w:tr w:rsidR="007C4821">
        <w:trPr>
          <w:trHeight w:val="332"/>
        </w:trPr>
        <w:tc>
          <w:tcPr>
            <w:tcW w:w="7149" w:type="dxa"/>
            <w:gridSpan w:val="2"/>
            <w:vMerge/>
            <w:tcBorders>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4736"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5423"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4912"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C4821" w:rsidRDefault="001D6CC0">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C4821" w:rsidRDefault="001D6CC0">
            <w:pPr>
              <w:jc w:val="center"/>
              <w:textAlignment w:val="bottom"/>
              <w:rPr>
                <w:rFonts w:cs="宋体" w:hint="default"/>
                <w:b/>
                <w:color w:val="000000"/>
                <w:sz w:val="22"/>
                <w:szCs w:val="22"/>
              </w:rPr>
            </w:pPr>
            <w:r>
              <w:rPr>
                <w:rFonts w:cs="宋体"/>
                <w:b/>
                <w:color w:val="000000"/>
                <w:sz w:val="22"/>
                <w:szCs w:val="22"/>
              </w:rPr>
              <w:t>本年支出</w:t>
            </w:r>
          </w:p>
        </w:tc>
      </w:tr>
      <w:tr w:rsidR="007C4821">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项目支出</w:t>
            </w:r>
          </w:p>
        </w:tc>
      </w:tr>
      <w:tr w:rsidR="007C4821">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jc w:val="center"/>
              <w:rPr>
                <w:rFonts w:cs="宋体" w:hint="default"/>
                <w:b/>
                <w:color w:val="000000"/>
                <w:sz w:val="22"/>
                <w:szCs w:val="22"/>
              </w:rPr>
            </w:pPr>
          </w:p>
        </w:tc>
      </w:tr>
      <w:tr w:rsidR="007C4821">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423"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7C4821">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tcMar>
              <w:top w:w="15" w:type="dxa"/>
              <w:left w:w="15" w:type="dxa"/>
              <w:right w:w="15" w:type="dxa"/>
            </w:tcMar>
            <w:vAlign w:val="center"/>
          </w:tcPr>
          <w:p w:rsidR="007C4821" w:rsidRDefault="001D6CC0">
            <w:pPr>
              <w:wordWrap w:val="0"/>
              <w:jc w:val="right"/>
              <w:textAlignment w:val="center"/>
              <w:rPr>
                <w:rFonts w:cs="宋体" w:hint="default"/>
                <w:b/>
                <w:color w:val="000000"/>
                <w:sz w:val="22"/>
                <w:szCs w:val="22"/>
              </w:rPr>
            </w:pPr>
            <w:r>
              <w:rPr>
                <w:rFonts w:cs="宋体"/>
                <w:b/>
                <w:bCs/>
                <w:color w:val="000000"/>
                <w:sz w:val="21"/>
                <w:szCs w:val="21"/>
              </w:rPr>
              <w:t xml:space="preserve"> </w:t>
            </w:r>
          </w:p>
        </w:tc>
      </w:tr>
    </w:tbl>
    <w:p w:rsidR="007C4821" w:rsidRDefault="001D6CC0">
      <w:pPr>
        <w:rPr>
          <w:rFonts w:cs="宋体" w:hint="default"/>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r>
      <w:r>
        <w:rPr>
          <w:rFonts w:cs="宋体"/>
          <w:sz w:val="21"/>
          <w:szCs w:val="21"/>
        </w:rPr>
        <w:br/>
      </w:r>
    </w:p>
    <w:p w:rsidR="007C4821" w:rsidRDefault="001D6CC0">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7C4821">
        <w:trPr>
          <w:trHeight w:val="510"/>
        </w:trPr>
        <w:tc>
          <w:tcPr>
            <w:tcW w:w="22168" w:type="dxa"/>
            <w:gridSpan w:val="5"/>
            <w:tcBorders>
              <w:top w:val="nil"/>
              <w:left w:val="nil"/>
              <w:bottom w:val="nil"/>
              <w:right w:val="nil"/>
            </w:tcBorders>
            <w:tcMar>
              <w:top w:w="15" w:type="dxa"/>
              <w:left w:w="15" w:type="dxa"/>
              <w:right w:w="15" w:type="dxa"/>
            </w:tcMar>
            <w:vAlign w:val="bottom"/>
          </w:tcPr>
          <w:p w:rsidR="007C4821" w:rsidRDefault="001D6CC0">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7C4821">
        <w:trPr>
          <w:trHeight w:val="255"/>
        </w:trPr>
        <w:tc>
          <w:tcPr>
            <w:tcW w:w="5159"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822" w:type="dxa"/>
            <w:tcBorders>
              <w:top w:val="nil"/>
              <w:left w:val="nil"/>
              <w:bottom w:val="nil"/>
              <w:right w:val="nil"/>
            </w:tcBorders>
            <w:tcMar>
              <w:top w:w="15" w:type="dxa"/>
              <w:left w:w="15" w:type="dxa"/>
              <w:right w:w="15" w:type="dxa"/>
            </w:tcMar>
            <w:vAlign w:val="bottom"/>
          </w:tcPr>
          <w:p w:rsidR="007C4821" w:rsidRDefault="007C4821">
            <w:pPr>
              <w:jc w:val="center"/>
              <w:rPr>
                <w:rFonts w:ascii="Arial" w:hAnsi="Arial" w:cs="Arial" w:hint="default"/>
                <w:color w:val="000000"/>
                <w:sz w:val="20"/>
                <w:szCs w:val="20"/>
              </w:rPr>
            </w:pPr>
          </w:p>
        </w:tc>
        <w:tc>
          <w:tcPr>
            <w:tcW w:w="3281" w:type="dxa"/>
            <w:tcBorders>
              <w:top w:val="nil"/>
              <w:left w:val="nil"/>
              <w:bottom w:val="nil"/>
              <w:right w:val="nil"/>
            </w:tcBorders>
            <w:tcMar>
              <w:top w:w="15" w:type="dxa"/>
              <w:left w:w="15" w:type="dxa"/>
              <w:right w:w="15" w:type="dxa"/>
            </w:tcMar>
            <w:vAlign w:val="bottom"/>
          </w:tcPr>
          <w:p w:rsidR="007C4821" w:rsidRDefault="007C4821">
            <w:pPr>
              <w:jc w:val="right"/>
              <w:rPr>
                <w:rFonts w:ascii="Arial" w:hAnsi="Arial" w:cs="Arial" w:hint="default"/>
                <w:color w:val="000000"/>
                <w:sz w:val="20"/>
                <w:szCs w:val="20"/>
              </w:rPr>
            </w:pPr>
          </w:p>
        </w:tc>
        <w:tc>
          <w:tcPr>
            <w:tcW w:w="6581"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0"/>
                <w:szCs w:val="20"/>
              </w:rPr>
            </w:pPr>
          </w:p>
        </w:tc>
        <w:tc>
          <w:tcPr>
            <w:tcW w:w="3325"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公开09表</w:t>
            </w:r>
          </w:p>
        </w:tc>
      </w:tr>
      <w:tr w:rsidR="007C4821">
        <w:trPr>
          <w:trHeight w:val="285"/>
        </w:trPr>
        <w:tc>
          <w:tcPr>
            <w:tcW w:w="5159" w:type="dxa"/>
            <w:tcBorders>
              <w:top w:val="nil"/>
              <w:left w:val="nil"/>
              <w:bottom w:val="nil"/>
              <w:right w:val="nil"/>
            </w:tcBorders>
            <w:tcMar>
              <w:top w:w="15" w:type="dxa"/>
              <w:left w:w="15" w:type="dxa"/>
              <w:right w:w="15" w:type="dxa"/>
            </w:tcMar>
            <w:vAlign w:val="bottom"/>
          </w:tcPr>
          <w:p w:rsidR="007C4821" w:rsidRDefault="001D6CC0">
            <w:pPr>
              <w:textAlignment w:val="bottom"/>
              <w:rPr>
                <w:rFonts w:ascii="Arial" w:hAnsi="Arial" w:cs="Arial" w:hint="default"/>
                <w:color w:val="000000"/>
                <w:sz w:val="22"/>
                <w:szCs w:val="22"/>
              </w:rPr>
            </w:pPr>
            <w:r>
              <w:rPr>
                <w:rFonts w:cs="宋体"/>
              </w:rPr>
              <w:t>公开部门</w:t>
            </w:r>
            <w:r>
              <w:rPr>
                <w:rFonts w:cs="宋体"/>
                <w:color w:val="000000"/>
              </w:rPr>
              <w:t xml:space="preserve">： </w:t>
            </w:r>
            <w:r>
              <w:rPr>
                <w:color w:val="000000"/>
              </w:rPr>
              <w:t>垫江县曹回镇人民政府</w:t>
            </w:r>
          </w:p>
        </w:tc>
        <w:tc>
          <w:tcPr>
            <w:tcW w:w="3822" w:type="dxa"/>
            <w:tcBorders>
              <w:top w:val="nil"/>
              <w:left w:val="nil"/>
              <w:bottom w:val="nil"/>
              <w:right w:val="nil"/>
            </w:tcBorders>
            <w:tcMar>
              <w:top w:w="15" w:type="dxa"/>
              <w:left w:w="15" w:type="dxa"/>
              <w:right w:w="15" w:type="dxa"/>
            </w:tcMar>
            <w:vAlign w:val="bottom"/>
          </w:tcPr>
          <w:p w:rsidR="007C4821" w:rsidRDefault="007C4821">
            <w:pPr>
              <w:jc w:val="center"/>
              <w:rPr>
                <w:rFonts w:cs="宋体" w:hint="default"/>
                <w:color w:val="000000"/>
                <w:sz w:val="22"/>
                <w:szCs w:val="22"/>
              </w:rPr>
            </w:pPr>
          </w:p>
        </w:tc>
        <w:tc>
          <w:tcPr>
            <w:tcW w:w="3281" w:type="dxa"/>
            <w:tcBorders>
              <w:top w:val="nil"/>
              <w:left w:val="nil"/>
              <w:bottom w:val="nil"/>
              <w:right w:val="nil"/>
            </w:tcBorders>
            <w:tcMar>
              <w:top w:w="15" w:type="dxa"/>
              <w:left w:w="15" w:type="dxa"/>
              <w:right w:w="15" w:type="dxa"/>
            </w:tcMar>
            <w:vAlign w:val="bottom"/>
          </w:tcPr>
          <w:p w:rsidR="007C4821" w:rsidRDefault="007C4821">
            <w:pPr>
              <w:jc w:val="right"/>
              <w:rPr>
                <w:rFonts w:ascii="Arial" w:hAnsi="Arial" w:cs="Arial" w:hint="default"/>
                <w:color w:val="000000"/>
                <w:sz w:val="22"/>
                <w:szCs w:val="22"/>
              </w:rPr>
            </w:pPr>
          </w:p>
        </w:tc>
        <w:tc>
          <w:tcPr>
            <w:tcW w:w="6581" w:type="dxa"/>
            <w:tcBorders>
              <w:top w:val="nil"/>
              <w:left w:val="nil"/>
              <w:bottom w:val="nil"/>
              <w:right w:val="nil"/>
            </w:tcBorders>
            <w:tcMar>
              <w:top w:w="15" w:type="dxa"/>
              <w:left w:w="15" w:type="dxa"/>
              <w:right w:w="15" w:type="dxa"/>
            </w:tcMar>
            <w:vAlign w:val="bottom"/>
          </w:tcPr>
          <w:p w:rsidR="007C4821" w:rsidRDefault="007C4821">
            <w:pPr>
              <w:rPr>
                <w:rFonts w:ascii="Arial" w:hAnsi="Arial" w:cs="Arial" w:hint="default"/>
                <w:color w:val="000000"/>
                <w:sz w:val="22"/>
                <w:szCs w:val="22"/>
              </w:rPr>
            </w:pPr>
          </w:p>
        </w:tc>
        <w:tc>
          <w:tcPr>
            <w:tcW w:w="3325" w:type="dxa"/>
            <w:tcBorders>
              <w:top w:val="nil"/>
              <w:left w:val="nil"/>
              <w:bottom w:val="nil"/>
              <w:right w:val="nil"/>
            </w:tcBorders>
            <w:tcMar>
              <w:top w:w="15" w:type="dxa"/>
              <w:left w:w="15" w:type="dxa"/>
              <w:right w:w="15" w:type="dxa"/>
            </w:tcMar>
            <w:vAlign w:val="bottom"/>
          </w:tcPr>
          <w:p w:rsidR="007C4821" w:rsidRDefault="001D6CC0">
            <w:pPr>
              <w:jc w:val="right"/>
              <w:textAlignment w:val="bottom"/>
              <w:rPr>
                <w:rFonts w:cs="宋体" w:hint="default"/>
                <w:color w:val="000000"/>
              </w:rPr>
            </w:pPr>
            <w:r>
              <w:rPr>
                <w:rFonts w:cs="宋体"/>
                <w:color w:val="000000"/>
              </w:rPr>
              <w:t>单位：</w:t>
            </w:r>
            <w:r>
              <w:rPr>
                <w:rFonts w:cs="宋体"/>
              </w:rPr>
              <w:t>万元</w:t>
            </w:r>
          </w:p>
        </w:tc>
      </w:tr>
      <w:tr w:rsidR="007C4821">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C4821" w:rsidRDefault="001D6CC0">
            <w:pPr>
              <w:jc w:val="center"/>
              <w:textAlignment w:val="center"/>
              <w:rPr>
                <w:rFonts w:cs="宋体" w:hint="default"/>
                <w:b/>
                <w:color w:val="000000"/>
                <w:sz w:val="22"/>
                <w:szCs w:val="22"/>
              </w:rPr>
            </w:pPr>
            <w:r>
              <w:rPr>
                <w:rFonts w:cs="宋体"/>
                <w:b/>
                <w:color w:val="000000"/>
                <w:sz w:val="22"/>
                <w:szCs w:val="22"/>
              </w:rPr>
              <w:t>决算数</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236.31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11.69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11.69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236.31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6.79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6.79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2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6.79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6.79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4.91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4.91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4.91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2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2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95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846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7.63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7C4821">
            <w:pPr>
              <w:jc w:val="right"/>
              <w:rPr>
                <w:rFonts w:ascii="Arial" w:hAnsi="Arial" w:cs="Arial" w:hint="default"/>
                <w:color w:val="000000"/>
                <w:sz w:val="20"/>
                <w:szCs w:val="20"/>
              </w:rPr>
            </w:pPr>
          </w:p>
        </w:tc>
      </w:tr>
      <w:tr w:rsidR="007C4821">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C4821" w:rsidRDefault="001D6CC0">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C4821" w:rsidRDefault="001D6CC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C4821" w:rsidRDefault="001D6CC0">
            <w:pPr>
              <w:wordWrap w:val="0"/>
              <w:jc w:val="right"/>
              <w:textAlignment w:val="bottom"/>
              <w:rPr>
                <w:rFonts w:ascii="Arial" w:hAnsi="Arial" w:cs="Arial" w:hint="default"/>
                <w:color w:val="000000"/>
                <w:sz w:val="20"/>
                <w:szCs w:val="20"/>
              </w:rPr>
            </w:pPr>
            <w:r>
              <w:rPr>
                <w:rFonts w:cs="宋体"/>
                <w:color w:val="000000"/>
                <w:sz w:val="21"/>
                <w:szCs w:val="21"/>
              </w:rPr>
              <w:t xml:space="preserve">3.20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C4821" w:rsidRDefault="007C4821">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C4821" w:rsidRDefault="007C4821">
            <w:pPr>
              <w:jc w:val="right"/>
              <w:rPr>
                <w:rFonts w:ascii="Arial" w:hAnsi="Arial" w:cs="Arial" w:hint="default"/>
                <w:color w:val="000000"/>
                <w:sz w:val="20"/>
                <w:szCs w:val="20"/>
              </w:rPr>
            </w:pPr>
          </w:p>
        </w:tc>
      </w:tr>
    </w:tbl>
    <w:p w:rsidR="007C4821" w:rsidRDefault="001D6CC0">
      <w:pPr>
        <w:rPr>
          <w:rFonts w:cs="宋体" w:hint="default"/>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7C4821" w:rsidRDefault="007C4821">
      <w:pPr>
        <w:rPr>
          <w:rFonts w:cs="宋体" w:hint="default"/>
          <w:color w:val="000000"/>
          <w:sz w:val="21"/>
          <w:szCs w:val="21"/>
        </w:rPr>
      </w:pPr>
    </w:p>
    <w:p w:rsidR="007C4821" w:rsidRDefault="007C4821">
      <w:pPr>
        <w:rPr>
          <w:rFonts w:cs="宋体" w:hint="default"/>
          <w:color w:val="000000"/>
          <w:sz w:val="21"/>
          <w:szCs w:val="21"/>
        </w:rPr>
      </w:pPr>
    </w:p>
    <w:p w:rsidR="007C4821" w:rsidRDefault="007C4821">
      <w:pPr>
        <w:rPr>
          <w:rFonts w:cs="宋体" w:hint="default"/>
          <w:color w:val="000000"/>
          <w:sz w:val="21"/>
          <w:szCs w:val="21"/>
        </w:rPr>
      </w:pPr>
    </w:p>
    <w:p w:rsidR="007C4821" w:rsidRDefault="007C4821">
      <w:pPr>
        <w:rPr>
          <w:rFonts w:cs="宋体" w:hint="default"/>
          <w:color w:val="000000"/>
          <w:sz w:val="21"/>
          <w:szCs w:val="21"/>
        </w:rPr>
      </w:pPr>
    </w:p>
    <w:p w:rsidR="007C4821" w:rsidRDefault="007C4821">
      <w:pPr>
        <w:rPr>
          <w:rFonts w:cs="宋体" w:hint="default"/>
          <w:color w:val="000000"/>
          <w:sz w:val="21"/>
          <w:szCs w:val="21"/>
        </w:rPr>
      </w:pPr>
    </w:p>
    <w:p w:rsidR="007C4821" w:rsidRDefault="007C4821">
      <w:pPr>
        <w:rPr>
          <w:rFonts w:cs="宋体" w:hint="default"/>
          <w:color w:val="000000"/>
          <w:sz w:val="21"/>
          <w:szCs w:val="21"/>
        </w:rPr>
      </w:pPr>
    </w:p>
    <w:p w:rsidR="007C4821" w:rsidRDefault="007C4821">
      <w:pPr>
        <w:rPr>
          <w:rFonts w:cs="宋体" w:hint="default"/>
          <w:color w:val="000000"/>
          <w:sz w:val="21"/>
          <w:szCs w:val="21"/>
        </w:rPr>
      </w:pPr>
    </w:p>
    <w:p w:rsidR="007C4821" w:rsidRDefault="007C4821">
      <w:pPr>
        <w:rPr>
          <w:rFonts w:cs="宋体" w:hint="default"/>
          <w:color w:val="000000"/>
          <w:sz w:val="21"/>
          <w:szCs w:val="21"/>
        </w:rPr>
      </w:pPr>
    </w:p>
    <w:p w:rsidR="007C4821" w:rsidRDefault="007C4821">
      <w:pPr>
        <w:rPr>
          <w:rFonts w:cs="宋体" w:hint="default"/>
          <w:color w:val="000000"/>
          <w:sz w:val="21"/>
          <w:szCs w:val="21"/>
        </w:rPr>
      </w:pPr>
    </w:p>
    <w:p w:rsidR="007C4821" w:rsidRDefault="007C4821">
      <w:pPr>
        <w:pStyle w:val="1"/>
        <w:autoSpaceDE w:val="0"/>
        <w:ind w:firstLineChars="0" w:firstLine="0"/>
        <w:rPr>
          <w:rFonts w:cs="宋体"/>
          <w:sz w:val="21"/>
          <w:szCs w:val="21"/>
        </w:rPr>
      </w:pPr>
    </w:p>
    <w:sectPr w:rsidR="007C4821">
      <w:headerReference w:type="default" r:id="rId16"/>
      <w:footerReference w:type="default" r:id="rId17"/>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D15" w:rsidRDefault="007F6D15">
      <w:pPr>
        <w:rPr>
          <w:rFonts w:hint="default"/>
        </w:rPr>
      </w:pPr>
      <w:r>
        <w:separator/>
      </w:r>
    </w:p>
  </w:endnote>
  <w:endnote w:type="continuationSeparator" w:id="0">
    <w:p w:rsidR="007F6D15" w:rsidRDefault="007F6D1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C0" w:rsidRDefault="001D6CC0">
    <w:pPr>
      <w:pStyle w:val="a4"/>
      <w:rPr>
        <w:rFonts w:hint="default"/>
      </w:rPr>
    </w:pPr>
    <w:r>
      <w:rPr>
        <w:rFonts w:hint="default"/>
      </w:rPr>
      <w:pict>
        <v:rect id="文本框 1" o:spid="_x0000_s2051" style="position:absolute;margin-left:0;margin-top:0;width:2in;height:2in;z-index:251660288;mso-wrap-style:none;mso-position-horizontal:center;mso-position-horizontal-relative:margin" o:preferrelative="t" filled="f" stroked="f">
          <v:textbox style="mso-fit-shape-to-text:t" inset="0,0,0,0">
            <w:txbxContent>
              <w:p w:rsidR="001D6CC0" w:rsidRDefault="001D6CC0">
                <w:pPr>
                  <w:pStyle w:val="a4"/>
                  <w:rPr>
                    <w:rFonts w:hint="default"/>
                  </w:rPr>
                </w:pPr>
                <w:r>
                  <w:fldChar w:fldCharType="begin"/>
                </w:r>
                <w:r>
                  <w:instrText xml:space="preserve"> PAGE  \* MERGEFORMAT </w:instrText>
                </w:r>
                <w:r>
                  <w:fldChar w:fldCharType="separate"/>
                </w:r>
                <w:r w:rsidR="00457553">
                  <w:rPr>
                    <w:rFonts w:hint="default"/>
                    <w:noProof/>
                  </w:rPr>
                  <w:t>- 20 -</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C0" w:rsidRDefault="001D6CC0">
    <w:pPr>
      <w:pStyle w:val="a4"/>
      <w:jc w:val="both"/>
      <w:rPr>
        <w:rFonts w:hint="default"/>
      </w:rPr>
    </w:pPr>
    <w:r>
      <w:rPr>
        <w:rFonts w:hint="default"/>
      </w:rPr>
      <w:pict>
        <v:rect id="文本框 127" o:spid="_x0000_s2050" style="position:absolute;left:0;text-align:left;margin-left:0;margin-top:0;width:2in;height:2in;z-index:251659264;mso-wrap-style:none;mso-position-horizontal:center;mso-position-horizontal-relative:margin" o:preferrelative="t" o:allowoverlap="f" filled="f" stroked="f">
          <v:textbox style="mso-fit-shape-to-text:t" inset="0,0,0,0">
            <w:txbxContent>
              <w:p w:rsidR="001D6CC0" w:rsidRDefault="001D6CC0">
                <w:pPr>
                  <w:pStyle w:val="a4"/>
                  <w:rPr>
                    <w:rFonts w:hint="default"/>
                  </w:rPr>
                </w:pPr>
                <w:r>
                  <w:t xml:space="preserve"> </w:t>
                </w:r>
                <w:r>
                  <w:fldChar w:fldCharType="begin"/>
                </w:r>
                <w:r>
                  <w:instrText>PAGE   \* MERGEFORMAT</w:instrText>
                </w:r>
                <w:r>
                  <w:fldChar w:fldCharType="separate"/>
                </w:r>
                <w:r w:rsidR="00457553">
                  <w:rPr>
                    <w:rFonts w:hint="default"/>
                    <w:noProof/>
                  </w:rPr>
                  <w:t>- 26 -</w:t>
                </w:r>
                <w:r>
                  <w:fldChar w:fldCharType="end"/>
                </w:r>
                <w:r>
                  <w:t xml:space="preserve"> </w:t>
                </w:r>
              </w:p>
            </w:txbxContent>
          </v:textbox>
          <w10:wrap anchorx="margin"/>
        </v:rect>
      </w:pict>
    </w:r>
    <w:r>
      <w:rPr>
        <w:rFonts w:hint="default"/>
      </w:rPr>
      <w:pict>
        <v:rect id="文本框 126" o:spid="_x0000_s2049" style="position:absolute;left:0;text-align:left;margin-left:0;margin-top:1160.4pt;width:2in;height:17.4pt;z-index:251658240;mso-wrap-style:none;mso-position-horizontal:center;mso-position-horizontal-relative:margin;mso-position-vertical-relative:page" o:preferrelative="t" o:allowoverlap="f" filled="f" stroked="f">
          <v:textbox inset="0,0,0,0">
            <w:txbxContent>
              <w:p w:rsidR="001D6CC0" w:rsidRDefault="001D6CC0">
                <w:pPr>
                  <w:pStyle w:val="a4"/>
                  <w:jc w:val="both"/>
                  <w:rPr>
                    <w:rFonts w:cs="宋体" w:hint="default"/>
                  </w:rPr>
                </w:pPr>
                <w:r>
                  <w:rPr>
                    <w:rFonts w:cs="宋体"/>
                  </w:rPr>
                  <w:t>— 27.1 —</w:t>
                </w: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D15" w:rsidRDefault="007F6D15">
      <w:pPr>
        <w:rPr>
          <w:rFonts w:hint="default"/>
        </w:rPr>
      </w:pPr>
      <w:r>
        <w:separator/>
      </w:r>
    </w:p>
  </w:footnote>
  <w:footnote w:type="continuationSeparator" w:id="0">
    <w:p w:rsidR="007F6D15" w:rsidRDefault="007F6D1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C0" w:rsidRDefault="001D6CC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1D6CC0"/>
    <w:rsid w:val="002E5443"/>
    <w:rsid w:val="00457553"/>
    <w:rsid w:val="00550ABE"/>
    <w:rsid w:val="007B419D"/>
    <w:rsid w:val="007C4821"/>
    <w:rsid w:val="007F6D15"/>
    <w:rsid w:val="009B67B8"/>
    <w:rsid w:val="00B03CCD"/>
    <w:rsid w:val="00BA2258"/>
    <w:rsid w:val="00E76362"/>
    <w:rsid w:val="00F73F90"/>
    <w:rsid w:val="01474EBF"/>
    <w:rsid w:val="01560B9A"/>
    <w:rsid w:val="018F0B1E"/>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3784C"/>
    <w:rsid w:val="0A86124A"/>
    <w:rsid w:val="0AB54CC0"/>
    <w:rsid w:val="0ADE090E"/>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D8329C"/>
    <w:rsid w:val="163A6CEE"/>
    <w:rsid w:val="172018FF"/>
    <w:rsid w:val="173708E3"/>
    <w:rsid w:val="17C374FC"/>
    <w:rsid w:val="189079DC"/>
    <w:rsid w:val="189B0D0B"/>
    <w:rsid w:val="18B43F7C"/>
    <w:rsid w:val="194A1770"/>
    <w:rsid w:val="19B906A4"/>
    <w:rsid w:val="19B915C3"/>
    <w:rsid w:val="1B6F15B6"/>
    <w:rsid w:val="1BAA2EDC"/>
    <w:rsid w:val="1C5C0973"/>
    <w:rsid w:val="1CA55E64"/>
    <w:rsid w:val="1CBD7271"/>
    <w:rsid w:val="1D014A01"/>
    <w:rsid w:val="1D022362"/>
    <w:rsid w:val="1D024523"/>
    <w:rsid w:val="1D1B04B0"/>
    <w:rsid w:val="1DBD6767"/>
    <w:rsid w:val="1DC52125"/>
    <w:rsid w:val="1DD26311"/>
    <w:rsid w:val="1E117F64"/>
    <w:rsid w:val="1E374ACB"/>
    <w:rsid w:val="1ECF0A66"/>
    <w:rsid w:val="1EF67CA4"/>
    <w:rsid w:val="1F020D3A"/>
    <w:rsid w:val="1F2C5189"/>
    <w:rsid w:val="1F4B0B02"/>
    <w:rsid w:val="1F8232BD"/>
    <w:rsid w:val="1FBB35CD"/>
    <w:rsid w:val="1FCD26AF"/>
    <w:rsid w:val="20642787"/>
    <w:rsid w:val="21556F04"/>
    <w:rsid w:val="22403BD3"/>
    <w:rsid w:val="24B92327"/>
    <w:rsid w:val="24C14514"/>
    <w:rsid w:val="2533755C"/>
    <w:rsid w:val="25431230"/>
    <w:rsid w:val="25791755"/>
    <w:rsid w:val="26396DF4"/>
    <w:rsid w:val="27167136"/>
    <w:rsid w:val="27B23302"/>
    <w:rsid w:val="282F2EFC"/>
    <w:rsid w:val="29310A5F"/>
    <w:rsid w:val="29C37A35"/>
    <w:rsid w:val="2A076083"/>
    <w:rsid w:val="2A73162E"/>
    <w:rsid w:val="2B167953"/>
    <w:rsid w:val="2B200583"/>
    <w:rsid w:val="2B8209DE"/>
    <w:rsid w:val="2C6762A3"/>
    <w:rsid w:val="2EBF7B3E"/>
    <w:rsid w:val="2ECD1756"/>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42218"/>
    <w:rsid w:val="342D7BC6"/>
    <w:rsid w:val="352930DB"/>
    <w:rsid w:val="35573069"/>
    <w:rsid w:val="355F6038"/>
    <w:rsid w:val="358C217E"/>
    <w:rsid w:val="35A2048B"/>
    <w:rsid w:val="363A5186"/>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B374B0C"/>
    <w:rsid w:val="3C566AD6"/>
    <w:rsid w:val="3C6A5B02"/>
    <w:rsid w:val="3CC94A4B"/>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9F72B69"/>
    <w:rsid w:val="4A263DF2"/>
    <w:rsid w:val="4A6F6675"/>
    <w:rsid w:val="4B135857"/>
    <w:rsid w:val="4B6607C1"/>
    <w:rsid w:val="4B7951CB"/>
    <w:rsid w:val="4B7C315C"/>
    <w:rsid w:val="4DAC4ACA"/>
    <w:rsid w:val="4DBE01D2"/>
    <w:rsid w:val="4F0C6BA3"/>
    <w:rsid w:val="4F186D58"/>
    <w:rsid w:val="4FEA65B7"/>
    <w:rsid w:val="50521BD4"/>
    <w:rsid w:val="50F06B6E"/>
    <w:rsid w:val="521627B9"/>
    <w:rsid w:val="52234D33"/>
    <w:rsid w:val="522F6E0C"/>
    <w:rsid w:val="52463BA1"/>
    <w:rsid w:val="52F163D4"/>
    <w:rsid w:val="531A2DB4"/>
    <w:rsid w:val="53C0244D"/>
    <w:rsid w:val="53DD4D4E"/>
    <w:rsid w:val="53E578CE"/>
    <w:rsid w:val="541330F0"/>
    <w:rsid w:val="54272666"/>
    <w:rsid w:val="543B029D"/>
    <w:rsid w:val="54861779"/>
    <w:rsid w:val="54B54386"/>
    <w:rsid w:val="552256E1"/>
    <w:rsid w:val="554E5773"/>
    <w:rsid w:val="555A3CBC"/>
    <w:rsid w:val="5582012B"/>
    <w:rsid w:val="558E4E05"/>
    <w:rsid w:val="55BE2E85"/>
    <w:rsid w:val="56530F5D"/>
    <w:rsid w:val="567700D3"/>
    <w:rsid w:val="56A02C2D"/>
    <w:rsid w:val="56FF7E9E"/>
    <w:rsid w:val="578867FC"/>
    <w:rsid w:val="5842572D"/>
    <w:rsid w:val="5A3B59D6"/>
    <w:rsid w:val="5AD134D8"/>
    <w:rsid w:val="5C0A270F"/>
    <w:rsid w:val="5C263CE4"/>
    <w:rsid w:val="5C5D2777"/>
    <w:rsid w:val="5CF66BF3"/>
    <w:rsid w:val="5D290C69"/>
    <w:rsid w:val="5D333476"/>
    <w:rsid w:val="5F2D4A41"/>
    <w:rsid w:val="60C74F6C"/>
    <w:rsid w:val="61025A59"/>
    <w:rsid w:val="613D5BBC"/>
    <w:rsid w:val="61536C39"/>
    <w:rsid w:val="62944DD7"/>
    <w:rsid w:val="6319381F"/>
    <w:rsid w:val="63C25DC5"/>
    <w:rsid w:val="63C62057"/>
    <w:rsid w:val="64571EF5"/>
    <w:rsid w:val="64FB113D"/>
    <w:rsid w:val="651A3349"/>
    <w:rsid w:val="656152C6"/>
    <w:rsid w:val="6587477F"/>
    <w:rsid w:val="658C3A08"/>
    <w:rsid w:val="65C031CA"/>
    <w:rsid w:val="65CE6852"/>
    <w:rsid w:val="66267C04"/>
    <w:rsid w:val="663F505A"/>
    <w:rsid w:val="66967186"/>
    <w:rsid w:val="66EE5541"/>
    <w:rsid w:val="67903975"/>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3B4C8B"/>
    <w:rsid w:val="6F5A53AC"/>
    <w:rsid w:val="6FAC003D"/>
    <w:rsid w:val="6FE55E12"/>
    <w:rsid w:val="6FFB2E76"/>
    <w:rsid w:val="708F6F7F"/>
    <w:rsid w:val="70D94BD3"/>
    <w:rsid w:val="71C34D91"/>
    <w:rsid w:val="72692F3A"/>
    <w:rsid w:val="72DB435C"/>
    <w:rsid w:val="72E2613A"/>
    <w:rsid w:val="72F771F4"/>
    <w:rsid w:val="736650B0"/>
    <w:rsid w:val="73934AD2"/>
    <w:rsid w:val="750837F0"/>
    <w:rsid w:val="754758CF"/>
    <w:rsid w:val="764F62AB"/>
    <w:rsid w:val="765C45EC"/>
    <w:rsid w:val="768A7619"/>
    <w:rsid w:val="772E1EBA"/>
    <w:rsid w:val="77EB79F7"/>
    <w:rsid w:val="796D60A4"/>
    <w:rsid w:val="79A031D5"/>
    <w:rsid w:val="79F35377"/>
    <w:rsid w:val="7A1525F7"/>
    <w:rsid w:val="7B420052"/>
    <w:rsid w:val="7B4D1359"/>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69D42A4"/>
  <w15:docId w15:val="{50CB70AC-EFF3-4B09-A12B-5F567329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qFormat/>
    <w:rPr>
      <w:b/>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paragraph" w:customStyle="1" w:styleId="2">
    <w:name w:val="列出段落2"/>
    <w:uiPriority w:val="99"/>
    <w:qFormat/>
    <w:pPr>
      <w:ind w:firstLineChars="200" w:firstLine="420"/>
    </w:pPr>
    <w:rPr>
      <w:rFonts w:ascii="宋体" w:hAnsi="宋体"/>
      <w:sz w:val="24"/>
      <w:szCs w:val="24"/>
    </w:rPr>
  </w:style>
  <w:style w:type="character" w:customStyle="1" w:styleId="21">
    <w:name w:val="21"/>
    <w:qFormat/>
    <w:rPr>
      <w:rFonts w:ascii="Wingdings" w:hAnsi="Wingdings" w:cs="Wingdings"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4590</Words>
  <Characters>26163</Characters>
  <Application>Microsoft Office Word</Application>
  <DocSecurity>0</DocSecurity>
  <Lines>218</Lines>
  <Paragraphs>61</Paragraphs>
  <ScaleCrop>false</ScaleCrop>
  <Company>微软中国</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垫江县曹回镇人民政府2023年度决算公开说明</dc:title>
  <dc:creator>Administrator</dc:creator>
  <cp:lastModifiedBy>吴幽</cp:lastModifiedBy>
  <cp:revision>2</cp:revision>
  <cp:lastPrinted>2024-08-23T01:46:00Z</cp:lastPrinted>
  <dcterms:created xsi:type="dcterms:W3CDTF">2024-07-11T02:00:00Z</dcterms:created>
  <dcterms:modified xsi:type="dcterms:W3CDTF">2024-09-09T09:43:00Z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