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垫江县曹回镇人民政府（本级）</w:t>
      </w:r>
    </w:p>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spacing w:before="0" w:beforeAutospacing="0" w:after="0" w:afterAutospacing="0" w:line="594" w:lineRule="exact"/>
        <w:ind w:firstLine="642" w:firstLineChars="200"/>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pPr>
        <w:pStyle w:val="7"/>
        <w:shd w:val="clear" w:color="auto" w:fill="FFFFFF"/>
        <w:spacing w:before="0" w:beforeAutospacing="0" w:after="0" w:afterAutospacing="0" w:line="594" w:lineRule="exact"/>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bookmarkStart w:id="1" w:name="_GoBack"/>
      <w:bookmarkEnd w:id="1"/>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rPr>
      </w:pPr>
      <w:bookmarkStart w:id="0" w:name="OLE_LINK1"/>
      <w:r>
        <w:rPr>
          <w:rFonts w:ascii="方正仿宋_GBK" w:hAnsi="方正仿宋_GBK" w:eastAsia="方正仿宋_GBK" w:cs="方正仿宋_GBK"/>
          <w:sz w:val="32"/>
          <w:szCs w:val="32"/>
          <w:shd w:val="clear" w:color="auto" w:fill="FFFFFF"/>
        </w:rPr>
        <w:t>（1）党政办公室。负责纪检、武装、政务公开等工作。负责机关文秘、会务、档案、保密、后勤服务等工作。负责牵头协调办理人大代表和政协委员的议案、提案、建议、意见。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党群工作办公室。负责党的建设、组织、宣传、统战、民宗侨台、机构编制、人事、绩效管理、群团、党务公开等相关工作。负责镇公共服务中心和村（社区）便民服务中心的监督和管理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（3）人大办公室。负责镇人民代表大会、主席团履行法定职权的具体工作。组织人大代表视察、调研、评议等工作。完成党委、人大主席团交办的其他工作。 </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经济发展办公室（挂统计办公室、农村经营管理办公室、扶贫开发办公室牌子）。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财政办公室。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民政和社会事务办公室（挂卫生健康办公室牌子）。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平安建设办公室。负责普法教育、防邪、禁毒、综治、信访、维稳等工作。负责基层民间矛盾纠纷调解工作。负责高铁沿线护路管理工作。组织、指导、协调、检查、督促辖区内各基层组织和企事业单位的社会治安综合治理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规划建设管理环保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应急管理办公室。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bookmarkEnd w:id="0"/>
    <w:p>
      <w:pPr>
        <w:pStyle w:val="7"/>
        <w:shd w:val="clear" w:color="auto" w:fill="FFFFFF"/>
        <w:spacing w:before="0" w:beforeAutospacing="0" w:after="0" w:afterAutospacing="0" w:line="594" w:lineRule="exact"/>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内设1个行政单位。同上年相比减少农业服务中心、文化服务中心、劳动就业和社会保障服务所、退役军人服务站、综合行政执法大队共5个事业单位，减少的主要原因是各站所室事业单位从2023年度开始，独立进行会计核算。本单位2023年在职职工25人。其中：行政人员25人。其中：同上年相比减少3人。（调离3人，新进2人，退休2人）。</w:t>
      </w:r>
    </w:p>
    <w:p>
      <w:pPr>
        <w:pStyle w:val="7"/>
        <w:shd w:val="clear" w:color="auto" w:fill="FFFFFF"/>
        <w:spacing w:before="0" w:beforeAutospacing="0" w:after="0" w:afterAutospacing="0" w:line="594" w:lineRule="exact"/>
        <w:ind w:firstLine="642"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二、部门决算情况说明</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spacing w:before="0" w:beforeAutospacing="0" w:after="0" w:afterAutospacing="0" w:line="594" w:lineRule="exact"/>
        <w:ind w:firstLine="642"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2023年度收入总计4209.44万元，支出总计</w:t>
      </w:r>
      <w:r>
        <w:rPr>
          <w:rFonts w:ascii="方正仿宋_GBK" w:hAnsi="方正仿宋_GBK" w:eastAsia="方正仿宋_GBK" w:cs="方正仿宋_GBK"/>
          <w:sz w:val="32"/>
          <w:szCs w:val="32"/>
        </w:rPr>
        <w:t>4209.44</w:t>
      </w:r>
      <w:r>
        <w:rPr>
          <w:rFonts w:ascii="方正仿宋_GBK" w:hAnsi="方正仿宋_GBK" w:eastAsia="方正仿宋_GBK" w:cs="方正仿宋_GBK"/>
          <w:sz w:val="32"/>
          <w:szCs w:val="32"/>
          <w:shd w:val="clear" w:color="auto" w:fill="FFFFFF"/>
        </w:rPr>
        <w:t>万元。收支较上年决算数减少251.69万元，下降5.64%，主要原因是各事业站所室从2023年开始独立核算，且2022年度使用存量资金安排支出，2023年仅涉及9.75万元。</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2023年度收入合计4092.32万元，较上年决算数增加248.11万元，增长6.45%，主要原因是财政支持力度大，2023年项目支出安排增加。其中：财政拨款收入</w:t>
      </w:r>
      <w:r>
        <w:rPr>
          <w:rFonts w:ascii="方正仿宋_GBK" w:hAnsi="方正仿宋_GBK" w:eastAsia="方正仿宋_GBK" w:cs="方正仿宋_GBK"/>
          <w:sz w:val="32"/>
          <w:szCs w:val="32"/>
        </w:rPr>
        <w:t>4092.32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117.12</w:t>
      </w:r>
      <w:r>
        <w:rPr>
          <w:rFonts w:ascii="方正仿宋_GBK" w:hAnsi="方正仿宋_GBK" w:eastAsia="方正仿宋_GBK" w:cs="方正仿宋_GBK"/>
          <w:sz w:val="32"/>
          <w:szCs w:val="32"/>
          <w:shd w:val="clear" w:color="auto" w:fill="FFFFFF"/>
        </w:rPr>
        <w:t>万元。</w:t>
      </w:r>
    </w:p>
    <w:p>
      <w:pPr>
        <w:pStyle w:val="7"/>
        <w:shd w:val="clear" w:color="auto" w:fill="FFFFFF"/>
        <w:spacing w:before="0" w:beforeAutospacing="0" w:after="0" w:afterAutospacing="0" w:line="594" w:lineRule="exact"/>
        <w:ind w:firstLine="642"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4102.07</w:t>
      </w:r>
      <w:r>
        <w:rPr>
          <w:rFonts w:ascii="方正仿宋_GBK" w:hAnsi="方正仿宋_GBK" w:eastAsia="方正仿宋_GBK" w:cs="方正仿宋_GBK"/>
          <w:sz w:val="32"/>
          <w:szCs w:val="32"/>
          <w:shd w:val="clear" w:color="auto" w:fill="FFFFFF"/>
        </w:rPr>
        <w:t>万元，较上年决算数减少241.94万元，下降5.57%，主要原因是2022年度使用存量资金安排支出，2023年仅涉及9.75万元。其中：基本支出</w:t>
      </w:r>
      <w:r>
        <w:rPr>
          <w:rFonts w:ascii="方正仿宋_GBK" w:hAnsi="方正仿宋_GBK" w:eastAsia="方正仿宋_GBK" w:cs="方正仿宋_GBK"/>
          <w:sz w:val="32"/>
          <w:szCs w:val="32"/>
        </w:rPr>
        <w:t>1335.05</w:t>
      </w:r>
      <w:r>
        <w:rPr>
          <w:rFonts w:ascii="方正仿宋_GBK" w:hAnsi="方正仿宋_GBK" w:eastAsia="方正仿宋_GBK" w:cs="方正仿宋_GBK"/>
          <w:sz w:val="32"/>
          <w:szCs w:val="32"/>
          <w:shd w:val="clear" w:color="auto" w:fill="FFFFFF"/>
        </w:rPr>
        <w:t>万元，占32.55%；项目支出</w:t>
      </w:r>
      <w:r>
        <w:rPr>
          <w:rFonts w:ascii="方正仿宋_GBK" w:hAnsi="方正仿宋_GBK" w:eastAsia="方正仿宋_GBK" w:cs="方正仿宋_GBK"/>
          <w:sz w:val="32"/>
          <w:szCs w:val="32"/>
        </w:rPr>
        <w:t>2767.02</w:t>
      </w:r>
      <w:r>
        <w:rPr>
          <w:rFonts w:ascii="方正仿宋_GBK" w:hAnsi="方正仿宋_GBK" w:eastAsia="方正仿宋_GBK" w:cs="方正仿宋_GBK"/>
          <w:sz w:val="32"/>
          <w:szCs w:val="32"/>
          <w:shd w:val="clear" w:color="auto" w:fill="FFFFFF"/>
        </w:rPr>
        <w:t>万元，占67.45%；经营支出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107.37</w:t>
      </w:r>
      <w:r>
        <w:rPr>
          <w:rFonts w:ascii="方正仿宋_GBK" w:hAnsi="方正仿宋_GBK" w:eastAsia="方正仿宋_GBK" w:cs="方正仿宋_GBK"/>
          <w:sz w:val="32"/>
          <w:szCs w:val="32"/>
          <w:shd w:val="clear" w:color="auto" w:fill="FFFFFF"/>
        </w:rPr>
        <w:t>万元，较上年决算数减少9.75万元，下降8.32%，主要原因是2023年度使用存量资金9.75万元（高铁护路专项资金）。</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hd w:val="clear" w:color="auto" w:fill="FFFFFF"/>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2023年度财政拨款收、支总计4209.44万元。与2022年相比，财政拨款收、支总计各减少251.69万元，下降5.64%。主要原因各事业站所室从2023年开始独立核算，且2022年度使用存量资金安排支出，2023年仅涉及9.75万元。</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4091.67</w:t>
      </w:r>
      <w:r>
        <w:rPr>
          <w:rFonts w:ascii="方正仿宋_GBK" w:hAnsi="方正仿宋_GBK" w:eastAsia="方正仿宋_GBK" w:cs="方正仿宋_GBK"/>
          <w:sz w:val="32"/>
          <w:szCs w:val="32"/>
          <w:shd w:val="clear" w:color="auto" w:fill="FFFFFF"/>
        </w:rPr>
        <w:t>万元，较上年决算数增加264.75万元，增长6.92%。主要原因是财政支持力度大，2023年项目支出安排增加。较年初预算数增加2183.30万元，增长114.41%。主要原因是年初预算结束，年中项目资金追加多（追加农村综合改革转移支付、中央农业资源与生态保护资金、农村公路专项资金、财金协同支持镇乡产业发展奖补资金等）。此外，年初财政拨款结转和结余</w:t>
      </w:r>
      <w:r>
        <w:rPr>
          <w:rFonts w:ascii="方正仿宋_GBK" w:hAnsi="方正仿宋_GBK" w:eastAsia="方正仿宋_GBK" w:cs="方正仿宋_GBK"/>
          <w:sz w:val="32"/>
          <w:szCs w:val="32"/>
        </w:rPr>
        <w:t>112.51</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4101.42</w:t>
      </w:r>
      <w:r>
        <w:rPr>
          <w:rFonts w:ascii="方正仿宋_GBK" w:hAnsi="方正仿宋_GBK" w:eastAsia="方正仿宋_GBK" w:cs="方正仿宋_GBK"/>
          <w:sz w:val="32"/>
          <w:szCs w:val="32"/>
          <w:shd w:val="clear" w:color="auto" w:fill="FFFFFF"/>
        </w:rPr>
        <w:t>万元，较上年决算数减少225.29万元，下降5.21%。主要原因是2022年使用大量存量资金安排支出，2023年仅涉及9.75万元。较年初预算数增加2193.05万元，增长114.92%。主要原因是年初预算结束，年中项目资金追加多（追加农村综合改革转移支付、中央农业资源与生态保护资金、农村公路专项资金、财金协同支持镇乡产业发展奖补资金等）。</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102.76</w:t>
      </w:r>
      <w:r>
        <w:rPr>
          <w:rFonts w:ascii="方正仿宋_GBK" w:hAnsi="方正仿宋_GBK" w:eastAsia="方正仿宋_GBK" w:cs="方正仿宋_GBK"/>
          <w:sz w:val="32"/>
          <w:szCs w:val="32"/>
          <w:shd w:val="clear" w:color="auto" w:fill="FFFFFF"/>
        </w:rPr>
        <w:t>万元，较上年决算数减少9.75万元，下降8.67%，主要原因是2023年度使用存量资金9.75万元（高铁护路专项资金）。</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0"/>
          <w:szCs w:val="30"/>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1052.43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25.66</w:t>
      </w:r>
      <w:r>
        <w:rPr>
          <w:rFonts w:ascii="方正仿宋_GBK" w:hAnsi="方正仿宋_GBK" w:eastAsia="方正仿宋_GBK" w:cs="方正仿宋_GBK"/>
          <w:sz w:val="32"/>
          <w:szCs w:val="32"/>
          <w:shd w:val="clear" w:color="auto" w:fill="FFFFFF"/>
        </w:rPr>
        <w:t>%，较年初预算数增加145.70万元，增长16.07%，</w:t>
      </w:r>
      <w:r>
        <w:rPr>
          <w:rFonts w:ascii="方正仿宋_GBK" w:hAnsi="方正仿宋_GBK" w:eastAsia="方正仿宋_GBK" w:cs="方正仿宋_GBK"/>
          <w:sz w:val="30"/>
          <w:szCs w:val="30"/>
          <w:shd w:val="clear" w:color="auto" w:fill="FFFFFF"/>
        </w:rPr>
        <w:t>主要原因是人员经费及项目经费的追加，其中人员经费（</w:t>
      </w:r>
      <w:r>
        <w:rPr>
          <w:rFonts w:ascii="方正仿宋_GBK" w:hAnsi="方正仿宋_GBK" w:eastAsia="方正仿宋_GBK" w:cs="方正仿宋_GBK"/>
          <w:sz w:val="30"/>
          <w:szCs w:val="30"/>
        </w:rPr>
        <w:t>追加(减)2021年度公务员绩效奖金精算补发预算、追加（减）2022年公务员年度考核奖预算、追加（减）县级行政事业单位和乡镇（街道）2023年7-9月人员经费预算）；项目经费（追加第五次全国经济普查、食品药品安全协管员补助资金、老党员生活补贴、限上企业（个体）发展奖励等）。</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19.14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0.47</w:t>
      </w:r>
      <w:r>
        <w:rPr>
          <w:rFonts w:ascii="方正仿宋_GBK" w:hAnsi="方正仿宋_GBK" w:eastAsia="方正仿宋_GBK" w:cs="方正仿宋_GBK"/>
          <w:sz w:val="32"/>
          <w:szCs w:val="32"/>
          <w:shd w:val="clear" w:color="auto" w:fill="FFFFFF"/>
        </w:rPr>
        <w:t>%，较年初预算数增加19.14万元，增长100.00%，主要原因</w:t>
      </w:r>
      <w:r>
        <w:rPr>
          <w:rFonts w:ascii="方正仿宋_GBK" w:hAnsi="方正仿宋_GBK" w:eastAsia="方正仿宋_GBK" w:cs="方正仿宋_GBK"/>
          <w:sz w:val="32"/>
          <w:szCs w:val="32"/>
        </w:rPr>
        <w:t>是追加2022年困难群众救助补助资金（新冠疫情慰问)、2022年农村交通安全劝导站劝导员工资、2022年上半年平安建设资金。</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9.03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%，较年初预算数增加9.03万元，增长100.00%，主要原因是</w:t>
      </w:r>
      <w:r>
        <w:rPr>
          <w:rFonts w:ascii="方正仿宋_GBK" w:hAnsi="方正仿宋_GBK" w:eastAsia="方正仿宋_GBK" w:cs="方正仿宋_GBK"/>
          <w:sz w:val="32"/>
          <w:szCs w:val="32"/>
        </w:rPr>
        <w:t>追加公共图书馆、美术馆、文化馆（站）免费开发补助资金。</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212.43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5.18</w:t>
      </w:r>
      <w:r>
        <w:rPr>
          <w:rFonts w:ascii="方正仿宋_GBK" w:hAnsi="方正仿宋_GBK" w:eastAsia="方正仿宋_GBK" w:cs="方正仿宋_GBK"/>
          <w:sz w:val="32"/>
          <w:szCs w:val="32"/>
          <w:shd w:val="clear" w:color="auto" w:fill="FFFFFF"/>
        </w:rPr>
        <w:t>%，较年初预算数增加71.60万元，增长50.84%，主要原因是财政年初未将农村特困人员救助供养支出纳入预算，同时加大三保障，临时救助力度，追加专项项目资金（2022年民政专项预算指标的通知（养老中心站、点建设）、2023年残疾人事业发展经费、严重精神障碍患者监护人以奖代补资金、追加抚恤金、困难群众送温暖专项补助资金）。</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73.45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1.79</w:t>
      </w:r>
      <w:r>
        <w:rPr>
          <w:rFonts w:ascii="方正仿宋_GBK" w:hAnsi="方正仿宋_GBK" w:eastAsia="方正仿宋_GBK" w:cs="方正仿宋_GBK"/>
          <w:sz w:val="32"/>
          <w:szCs w:val="32"/>
          <w:shd w:val="clear" w:color="auto" w:fill="FFFFFF"/>
        </w:rPr>
        <w:t>%，较年初预算数增加48.26万元，增长191.58%，主要原因是追加项目资金（2023年计划生育特殊家庭节日走访慰问、基本公共卫生服务专项经费、居民医保参保工作经费、新冠疫情防控经费）。</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13.39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0.33</w:t>
      </w:r>
      <w:r>
        <w:rPr>
          <w:rFonts w:ascii="方正仿宋_GBK" w:hAnsi="方正仿宋_GBK" w:eastAsia="方正仿宋_GBK" w:cs="方正仿宋_GBK"/>
          <w:sz w:val="32"/>
          <w:szCs w:val="32"/>
          <w:shd w:val="clear" w:color="auto" w:fill="FFFFFF"/>
        </w:rPr>
        <w:t>%，较年初预算数减少7.61万元，下降36.24%，主要原因是</w:t>
      </w:r>
      <w:r>
        <w:rPr>
          <w:rFonts w:ascii="方正仿宋_GBK" w:hAnsi="方正仿宋_GBK" w:eastAsia="方正仿宋_GBK" w:cs="方正仿宋_GBK"/>
          <w:sz w:val="32"/>
          <w:szCs w:val="32"/>
        </w:rPr>
        <w:t>2023年场镇保洁费11-12月及尾款未支付，2024年1月形成支付。</w:t>
      </w:r>
    </w:p>
    <w:p>
      <w:pPr>
        <w:pStyle w:val="13"/>
        <w:spacing w:before="0" w:beforeAutospacing="0" w:after="0" w:afterAutospacing="0" w:line="590"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1353.67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33.00</w:t>
      </w:r>
      <w:r>
        <w:rPr>
          <w:rFonts w:ascii="方正仿宋_GBK" w:hAnsi="方正仿宋_GBK" w:eastAsia="方正仿宋_GBK" w:cs="方正仿宋_GBK"/>
          <w:sz w:val="32"/>
          <w:szCs w:val="32"/>
          <w:shd w:val="clear" w:color="auto" w:fill="FFFFFF"/>
        </w:rPr>
        <w:t>%，较年初预算数增加988.86万元，增长271.06%，主要原因是</w:t>
      </w:r>
      <w:r>
        <w:rPr>
          <w:rFonts w:hint="eastAsia" w:ascii="方正仿宋_GBK" w:hAnsi="方正仿宋_GBK" w:eastAsia="方正仿宋_GBK" w:cs="方正仿宋_GBK"/>
          <w:sz w:val="32"/>
          <w:szCs w:val="32"/>
          <w:shd w:val="clear" w:color="auto" w:fill="FFFFFF"/>
        </w:rPr>
        <w:t>追加项目资金，增加乡村振兴、森林资源培育植被覆盖、水土保持、农村综合改革转移支付资金、2023年财金协同支持镇乡产业发展奖补资金。</w:t>
      </w:r>
    </w:p>
    <w:p>
      <w:pPr>
        <w:pStyle w:val="13"/>
        <w:spacing w:before="0" w:beforeAutospacing="0" w:after="0" w:afterAutospacing="0" w:line="59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135.81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3.31</w:t>
      </w:r>
      <w:r>
        <w:rPr>
          <w:rFonts w:ascii="方正仿宋_GBK" w:hAnsi="方正仿宋_GBK" w:eastAsia="方正仿宋_GBK" w:cs="方正仿宋_GBK"/>
          <w:sz w:val="32"/>
          <w:szCs w:val="32"/>
          <w:shd w:val="clear" w:color="auto" w:fill="FFFFFF"/>
        </w:rPr>
        <w:t>%，较年初预算数增加135.81万元，增长100.00%，主要原因是</w:t>
      </w:r>
      <w:r>
        <w:rPr>
          <w:rFonts w:hint="eastAsia" w:ascii="方正仿宋_GBK" w:hAnsi="方正仿宋_GBK" w:eastAsia="方正仿宋_GBK" w:cs="方正仿宋_GBK"/>
          <w:sz w:val="32"/>
          <w:szCs w:val="32"/>
          <w:shd w:val="clear" w:color="auto" w:fill="FFFFFF"/>
        </w:rPr>
        <w:t>增加农村公路建设专项资金和农村公路桥梁检测，维修经费。</w:t>
      </w:r>
    </w:p>
    <w:p>
      <w:pPr>
        <w:pStyle w:val="13"/>
        <w:spacing w:before="0" w:beforeAutospacing="0" w:after="0" w:afterAutospacing="0" w:line="59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1146.60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27.96</w:t>
      </w:r>
      <w:r>
        <w:rPr>
          <w:rFonts w:ascii="方正仿宋_GBK" w:hAnsi="方正仿宋_GBK" w:eastAsia="方正仿宋_GBK" w:cs="方正仿宋_GBK"/>
          <w:sz w:val="32"/>
          <w:szCs w:val="32"/>
          <w:shd w:val="clear" w:color="auto" w:fill="FFFFFF"/>
        </w:rPr>
        <w:t>%，较年初预算数增加746.60万元，增长186.65%，主要原因是</w:t>
      </w:r>
      <w:r>
        <w:rPr>
          <w:rFonts w:hint="eastAsia" w:ascii="方正仿宋_GBK" w:hAnsi="方正仿宋_GBK" w:eastAsia="方正仿宋_GBK" w:cs="方正仿宋_GBK"/>
          <w:sz w:val="32"/>
          <w:szCs w:val="32"/>
          <w:shd w:val="clear" w:color="auto" w:fill="FFFFFF"/>
        </w:rPr>
        <w:t>增加对中小企业发展扶持的费用补贴。</w:t>
      </w:r>
    </w:p>
    <w:p>
      <w:pPr>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住房保障支出80.50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1.96</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，较年初预算数增加30.79万元，增长61.94%，主要原因是</w:t>
      </w:r>
      <w:r>
        <w:rPr>
          <w:rFonts w:ascii="方正仿宋_GBK" w:hAnsi="方正仿宋_GBK" w:eastAsia="方正仿宋_GBK" w:cs="方正仿宋_GBK"/>
          <w:sz w:val="32"/>
          <w:szCs w:val="32"/>
          <w:shd w:val="clear" w:color="auto" w:fill="FFFFFF"/>
        </w:rPr>
        <w:t>追加农村低收入群体等重点对象危房改造资金。</w:t>
      </w:r>
    </w:p>
    <w:p>
      <w:pPr>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灾害防治及应急管理支出4.99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0.12</w:t>
      </w:r>
      <w:r>
        <w:rPr>
          <w:rFonts w:ascii="方正仿宋_GBK" w:hAnsi="方正仿宋_GBK" w:eastAsia="方正仿宋_GBK" w:cs="方正仿宋_GBK"/>
          <w:sz w:val="32"/>
          <w:szCs w:val="32"/>
          <w:shd w:val="clear" w:color="auto" w:fill="FFFFFF"/>
        </w:rPr>
        <w:t>%，较年初预算数增加4.89万元，增长4890.00%，主要原因是追加2023年自然灾害救灾补助资金和2022-2023年度冬春救助资金。</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3"/>
        <w:spacing w:before="0" w:beforeAutospacing="0" w:after="0" w:afterAutospacing="0" w:line="59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1335.05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1098.74</w:t>
      </w:r>
      <w:r>
        <w:rPr>
          <w:rFonts w:ascii="方正仿宋_GBK" w:hAnsi="方正仿宋_GBK" w:eastAsia="方正仿宋_GBK" w:cs="方正仿宋_GBK"/>
          <w:sz w:val="32"/>
          <w:szCs w:val="32"/>
          <w:shd w:val="clear" w:color="auto" w:fill="FFFFFF"/>
        </w:rPr>
        <w:t>万元，较上年决算数少335.12万元，下降23.37%，</w:t>
      </w:r>
      <w:r>
        <w:rPr>
          <w:rFonts w:hint="eastAsia" w:ascii="方正仿宋_GBK" w:hAnsi="方正仿宋_GBK" w:eastAsia="方正仿宋_GBK" w:cs="方正仿宋_GBK"/>
          <w:sz w:val="32"/>
          <w:szCs w:val="32"/>
          <w:shd w:val="clear" w:color="auto" w:fill="FFFFFF"/>
        </w:rPr>
        <w:t>主要原因是各事业站所室从2023年开始独立核算。</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125.44万元，津贴补贴103.44万元、奖金222.56万元、伙食补助74.03万元、机关事业单位基本养老保险缴费61.16万元、职业年金缴费26.55万元、职工基本医疗保险缴费38.26万元、其他社会保障缴费1.22万元、住房公积金35.20万元、医疗费4.66万元、其他工资福利支出12.59万元、抚恤金23.79万元、生活补助362.51万元、医疗补助费3.4万元、奖励金3.93万元。</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236.31</w:t>
      </w:r>
      <w:r>
        <w:rPr>
          <w:rFonts w:ascii="方正仿宋_GBK" w:hAnsi="方正仿宋_GBK" w:eastAsia="方正仿宋_GBK" w:cs="方正仿宋_GBK"/>
          <w:sz w:val="32"/>
          <w:szCs w:val="32"/>
          <w:shd w:val="clear" w:color="auto" w:fill="FFFFFF"/>
        </w:rPr>
        <w:t>万元，较上年决算数减少519.54万元，下降68.74%，主要原因是</w:t>
      </w:r>
      <w:r>
        <w:rPr>
          <w:rFonts w:hint="eastAsia" w:ascii="方正仿宋_GBK" w:hAnsi="方正仿宋_GBK" w:eastAsia="方正仿宋_GBK" w:cs="方正仿宋_GBK"/>
          <w:sz w:val="32"/>
          <w:szCs w:val="32"/>
          <w:shd w:val="clear" w:color="auto" w:fill="FFFFFF"/>
        </w:rPr>
        <w:t>5个站所室事业单位从2023年度开始，独立进行会计核算。公用经费用途主要包括办公费13.45万元、印刷费1.03万元、水费0.62万元、电费6.56万元、邮电费40.03万元、差旅费47.11万元、维修（护）费32.00万元、租赁费1.97万元、会议费0.72万元、培训费1.90万元、劳务费2.43万元、委托业务费16.33万元、工会经费35.02万元、福利费6.38万元、公务车运行维护费6.79万元、其他交通费用21.62万元、其他商品费用1.01万元、办公设备购置1.34万元等。</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4.61</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4.61</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0.65</w:t>
      </w:r>
      <w:r>
        <w:rPr>
          <w:rFonts w:ascii="方正仿宋_GBK" w:hAnsi="方正仿宋_GBK" w:eastAsia="方正仿宋_GBK" w:cs="方正仿宋_GBK"/>
          <w:sz w:val="32"/>
          <w:szCs w:val="32"/>
          <w:shd w:val="clear" w:color="auto" w:fill="FFFFFF"/>
        </w:rPr>
        <w:t>万元，较上年决算数减少16.64万元，下降96.24%，主要原因是彩票公益等政府性基本预算资金安排的项目均已建设完工，无需更多资金投入。本年支出</w:t>
      </w:r>
      <w:r>
        <w:rPr>
          <w:rFonts w:ascii="方正仿宋_GBK" w:hAnsi="方正仿宋_GBK" w:eastAsia="方正仿宋_GBK" w:cs="方正仿宋_GBK"/>
          <w:sz w:val="32"/>
          <w:szCs w:val="32"/>
        </w:rPr>
        <w:t>0.65</w:t>
      </w:r>
      <w:r>
        <w:rPr>
          <w:rFonts w:ascii="方正仿宋_GBK" w:hAnsi="方正仿宋_GBK" w:eastAsia="方正仿宋_GBK" w:cs="方正仿宋_GBK"/>
          <w:sz w:val="32"/>
          <w:szCs w:val="32"/>
          <w:shd w:val="clear" w:color="auto" w:fill="FFFFFF"/>
        </w:rPr>
        <w:t>万元，较上年决算数减少16.64万元，下降96.24%，主要原因是主要原因是彩票公益等政府性基本预算资金安排的项目均已建设完工，无需更多资金投入。收入0.65万元，支出0.65万元，支出平衡。</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7"/>
        <w:shd w:val="clear" w:color="auto" w:fill="FFFFFF"/>
        <w:spacing w:before="0" w:beforeAutospacing="0" w:after="0" w:afterAutospacing="0" w:line="594" w:lineRule="exact"/>
        <w:ind w:firstLine="963" w:firstLineChars="3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13"/>
        <w:spacing w:before="0" w:beforeAutospacing="0" w:after="0" w:afterAutospacing="0" w:line="59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11.69</w:t>
      </w:r>
      <w:r>
        <w:rPr>
          <w:rFonts w:ascii="方正仿宋_GBK" w:hAnsi="方正仿宋_GBK" w:eastAsia="方正仿宋_GBK" w:cs="方正仿宋_GBK"/>
          <w:sz w:val="32"/>
          <w:szCs w:val="32"/>
          <w:shd w:val="clear" w:color="auto" w:fill="FFFFFF"/>
        </w:rPr>
        <w:t>万元，较年初预算数增加7.19万元，增长159.78%，主要原因是</w:t>
      </w:r>
      <w:r>
        <w:rPr>
          <w:rFonts w:hint="eastAsia" w:ascii="方正仿宋_GBK" w:hAnsi="方正仿宋_GBK" w:eastAsia="方正仿宋_GBK" w:cs="方正仿宋_GBK"/>
          <w:sz w:val="32"/>
          <w:szCs w:val="32"/>
          <w:shd w:val="clear" w:color="auto" w:fill="FFFFFF"/>
        </w:rPr>
        <w:t>在严控三公经费的标准下，不超上年决算数，2023年年初预算数概算过低，公车实际运行中，资金短缺，造成资金调剂追加。</w:t>
      </w:r>
      <w:r>
        <w:rPr>
          <w:rFonts w:ascii="方正仿宋_GBK" w:hAnsi="方正仿宋_GBK" w:eastAsia="方正仿宋_GBK" w:cs="方正仿宋_GBK"/>
          <w:sz w:val="32"/>
          <w:szCs w:val="32"/>
          <w:shd w:val="clear" w:color="auto" w:fill="FFFFFF"/>
        </w:rPr>
        <w:t>较上年支出数减少0.01万元，下降0.09%，主要原因是</w:t>
      </w:r>
      <w:r>
        <w:rPr>
          <w:rFonts w:hint="eastAsia" w:ascii="方正仿宋_GBK" w:hAnsi="方正仿宋_GBK" w:eastAsia="方正仿宋_GBK" w:cs="方正仿宋_GBK"/>
          <w:sz w:val="32"/>
          <w:szCs w:val="32"/>
          <w:shd w:val="clear" w:color="auto" w:fill="FFFFFF"/>
        </w:rPr>
        <w:t>主要原因是严格控制三公经费开支，按照只减不增的要求从严控制“三公”经费，严格落实公车使用规定，公车运行维护成本下降。强化公务接待支出管理，严格遵守公务接待开支范围和开支标准，不超范围接待。</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13"/>
        <w:spacing w:before="0" w:beforeAutospacing="0" w:after="0" w:afterAutospacing="0" w:line="59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6.79</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市、县内外因公出行、应急检查等因公开展的相关工作所需车辆的燃料费、维修费、过路费、保险费等。</w:t>
      </w:r>
      <w:r>
        <w:rPr>
          <w:rFonts w:ascii="方正仿宋_GBK" w:hAnsi="方正仿宋_GBK" w:eastAsia="方正仿宋_GBK" w:cs="方正仿宋_GBK"/>
          <w:sz w:val="32"/>
          <w:szCs w:val="32"/>
          <w:shd w:val="clear" w:color="auto" w:fill="FFFFFF"/>
        </w:rPr>
        <w:t>费用支出较年初预算数增加5.79万元，增长579.00%，主要原因是</w:t>
      </w:r>
      <w:r>
        <w:rPr>
          <w:rFonts w:hint="eastAsia" w:ascii="方正仿宋_GBK" w:hAnsi="方正仿宋_GBK" w:eastAsia="方正仿宋_GBK" w:cs="方正仿宋_GBK"/>
          <w:sz w:val="32"/>
          <w:szCs w:val="32"/>
          <w:shd w:val="clear" w:color="auto" w:fill="FFFFFF"/>
        </w:rPr>
        <w:t>在严控“三公”经费的标准下，不超2022年决算数的基础上，若2023年年初预算数概算过低，公车实际运行中，容易造成资金短缺。</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rPr>
        <w:t>基本持平。主要原因是严格控制“三公”经费支出情况，按照标准使用公务车外出办事。</w:t>
      </w:r>
    </w:p>
    <w:p>
      <w:pPr>
        <w:pStyle w:val="13"/>
        <w:spacing w:before="0" w:beforeAutospacing="0" w:after="0" w:afterAutospacing="0" w:line="59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4.91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主要用于接待接待上级部门到我单位学习调研督导各项工作推进情况及招商引资接待费等。</w:t>
      </w:r>
      <w:r>
        <w:rPr>
          <w:rFonts w:ascii="方正仿宋_GBK" w:hAnsi="方正仿宋_GBK" w:eastAsia="方正仿宋_GBK" w:cs="方正仿宋_GBK"/>
          <w:sz w:val="32"/>
          <w:szCs w:val="32"/>
          <w:shd w:val="clear" w:color="auto" w:fill="FFFFFF"/>
        </w:rPr>
        <w:t>费用支出较年初预算数增加1.41万元，增长40.29%，主要原因是</w:t>
      </w:r>
      <w:r>
        <w:rPr>
          <w:rFonts w:hint="eastAsia" w:ascii="方正仿宋_GBK" w:hAnsi="方正仿宋_GBK" w:eastAsia="方正仿宋_GBK" w:cs="方正仿宋_GBK"/>
          <w:sz w:val="32"/>
          <w:szCs w:val="32"/>
          <w:shd w:val="clear" w:color="auto" w:fill="FFFFFF"/>
        </w:rPr>
        <w:t>在严控三公经费的标准下，不超2022年决算数的基础上，若2023年年初预算数概算过低，在公务接待方面的支出资金不足。</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rPr>
        <w:t>基本持平，主要原因是严格规定接待费标准，确保不超接待标准。</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846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58.02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3.39</w:t>
      </w:r>
      <w:r>
        <w:rPr>
          <w:rFonts w:ascii="方正仿宋_GBK" w:hAnsi="方正仿宋_GBK" w:eastAsia="方正仿宋_GBK" w:cs="方正仿宋_GBK"/>
          <w:sz w:val="32"/>
          <w:szCs w:val="32"/>
          <w:shd w:val="clear" w:color="auto" w:fill="FFFFFF"/>
        </w:rPr>
        <w:t>万元。</w:t>
      </w:r>
    </w:p>
    <w:p>
      <w:pPr>
        <w:pStyle w:val="7"/>
        <w:shd w:val="clear" w:color="auto" w:fill="FFFFFF"/>
        <w:spacing w:before="0" w:beforeAutospacing="0" w:after="0" w:afterAutospacing="0" w:line="594" w:lineRule="exact"/>
        <w:ind w:firstLine="642" w:firstLineChars="200"/>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4.48</w:t>
      </w:r>
      <w:r>
        <w:rPr>
          <w:rFonts w:ascii="方正仿宋_GBK" w:hAnsi="方正仿宋_GBK" w:eastAsia="方正仿宋_GBK" w:cs="方正仿宋_GBK"/>
          <w:sz w:val="32"/>
          <w:szCs w:val="32"/>
          <w:shd w:val="clear" w:color="auto" w:fill="FFFFFF"/>
        </w:rPr>
        <w:t>万元，较上年决算数减少2.77万元，下降38.21%，主要原因是2023年度会议费未及时在2023年度完成报销，导致支出减少。本年度培训费支出</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万元，较上年决算数减少4.77万元，下降59.85%，主要原因是职工业务能力熟练，无需组织过多培训，支出减少。</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hd w:val="clear" w:color="auto" w:fill="FFFFFF"/>
        <w:spacing w:before="0" w:beforeAutospacing="0" w:after="0" w:afterAutospacing="0" w:line="59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236.31</w:t>
      </w:r>
      <w:r>
        <w:rPr>
          <w:rFonts w:ascii="方正仿宋_GBK" w:hAnsi="方正仿宋_GBK" w:eastAsia="方正仿宋_GBK" w:cs="方正仿宋_GBK"/>
          <w:sz w:val="32"/>
          <w:szCs w:val="32"/>
          <w:shd w:val="clear" w:color="auto" w:fill="FFFFFF"/>
        </w:rPr>
        <w:t>万元，机关运行经费主要用于开支办公费13.45万元、印刷费1.03万元、水费0.62万元、电费6.56万元、邮电费40.03万元、差旅费47.11万元、维修（护）费32.00万元、租赁费1.97万元、会议费0.72万元、培训费1.90万元、劳务费2.43万元、委托业务费16.33万元、工会经费35.02万元、福利费6.38万元、公务车运行维护费6.79万元、其他交通费用21.62万元、其他商品和服务支出1.01万元、办公设备购置1.34万元。机关运行经费较上年支出数减少192.63万元，下降44.91%，主要原因是5个站所室事业单位从2023年度开始，独立进行会计核算，同时严把支出关，严格执行中央“三项规定”精神和厉行节约要求，强化支出管理。</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7"/>
        <w:numPr>
          <w:ilvl w:val="0"/>
          <w:numId w:val="0"/>
        </w:numPr>
        <w:shd w:val="clear" w:color="auto" w:fill="FFFFFF"/>
        <w:spacing w:before="0" w:beforeAutospacing="0" w:after="0" w:afterAutospacing="0" w:line="594" w:lineRule="exact"/>
        <w:ind w:firstLine="642" w:firstLineChars="200"/>
        <w:rPr>
          <w:rStyle w:val="11"/>
          <w:rFonts w:hint="default"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lang w:eastAsia="zh-CN"/>
        </w:rPr>
        <w:t>五</w:t>
      </w:r>
      <w:r>
        <w:rPr>
          <w:rStyle w:val="11"/>
          <w:rFonts w:ascii="黑体" w:hAnsi="黑体" w:eastAsia="黑体" w:cs="黑体"/>
          <w:sz w:val="32"/>
          <w:szCs w:val="32"/>
          <w:shd w:val="clear" w:color="auto" w:fill="FFFFFF"/>
        </w:rPr>
        <w:t>、预算绩效管理情况说明</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3"/>
        <w:spacing w:before="0" w:beforeAutospacing="0" w:after="0" w:afterAutospacing="0" w:line="59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根据预算绩效管理要求，我单位对69个二级项目开展了绩效自评，涉及财政拨款项目支出资金2767.02万元。</w:t>
      </w:r>
    </w:p>
    <w:p>
      <w:pPr>
        <w:pStyle w:val="13"/>
        <w:spacing w:before="312" w:beforeLines="100" w:beforeAutospacing="0" w:after="312" w:afterLines="100" w:afterAutospacing="0" w:line="594" w:lineRule="exact"/>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垫江县曹回镇人民政府项目支出绩效自评表（二级项目）</w:t>
      </w:r>
    </w:p>
    <w:p>
      <w:pPr>
        <w:pStyle w:val="13"/>
        <w:spacing w:before="0" w:beforeAutospacing="0" w:after="0" w:afterAutospacing="0" w:line="590" w:lineRule="exact"/>
        <w:ind w:firstLine="480" w:firstLineChars="200"/>
        <w:jc w:val="both"/>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pict>
          <v:shape id="图片 16" o:spid="_x0000_s1029" o:spt="75" type="#_x0000_t75" style="position:absolute;left:0pt;margin-left:6.45pt;margin-top:2.75pt;height:378.05pt;width:416.65pt;mso-wrap-distance-bottom:0pt;mso-wrap-distance-top:0pt;z-index:251660288;mso-width-relative:page;mso-height-relative:page;" filled="f" o:preferrelative="t" stroked="f" coordsize="21600,21600">
            <v:path/>
            <v:fill on="f" focussize="0,0"/>
            <v:stroke on="f" joinstyle="miter"/>
            <v:imagedata r:id="rId7" o:title=""/>
            <o:lock v:ext="edit" aspectratio="t"/>
            <w10:wrap type="topAndBottom"/>
          </v:shape>
        </w:pict>
      </w:r>
    </w:p>
    <w:p>
      <w:pPr>
        <w:pStyle w:val="13"/>
        <w:spacing w:before="0" w:beforeAutospacing="0" w:after="0" w:afterAutospacing="0" w:line="590" w:lineRule="exact"/>
        <w:jc w:val="both"/>
        <w:rPr>
          <w:rFonts w:ascii="方正仿宋_GBK" w:hAnsi="方正仿宋_GBK" w:eastAsia="方正仿宋_GBK" w:cs="方正仿宋_GBK"/>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r>
        <w:pict>
          <v:shape id="图片 18" o:spid="_x0000_s1030" o:spt="75" type="#_x0000_t75" style="position:absolute;left:0pt;margin-left:2.85pt;margin-top:343.05pt;height:330.3pt;width:418.2pt;mso-wrap-distance-bottom:0pt;mso-wrap-distance-top:0pt;z-index:251659264;mso-width-relative:page;mso-height-relative:page;" filled="f" o:preferrelative="t" stroked="f" coordsize="21600,21600">
            <v:path/>
            <v:fill on="f" focussize="0,0"/>
            <v:stroke on="f" joinstyle="miter"/>
            <v:imagedata r:id="rId8" o:title=""/>
            <o:lock v:ext="edit" aspectratio="t"/>
            <w10:wrap type="topAndBottom"/>
          </v:shape>
        </w:pict>
      </w:r>
      <w:r>
        <w:pict>
          <v:shape id="图片 13" o:spid="_x0000_s1031" o:spt="75" type="#_x0000_t75" style="position:absolute;left:0pt;margin-left:3.1pt;margin-top:11.7pt;height:298.35pt;width:416.75pt;mso-wrap-distance-bottom:0pt;mso-wrap-distance-left:9pt;mso-wrap-distance-right:9pt;mso-wrap-distance-top:0pt;z-index:251658240;mso-width-relative:page;mso-height-relative:page;" filled="f" o:preferrelative="t" stroked="f" coordsize="21600,21600">
            <v:path/>
            <v:fill on="f" focussize="0,0"/>
            <v:stroke on="f" joinstyle="miter"/>
            <v:imagedata r:id="rId9" o:title=""/>
            <o:lock v:ext="edit" aspectratio="t"/>
            <w10:wrap type="square"/>
          </v:shape>
        </w:pic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2"/>
        <w:autoSpaceDE w:val="0"/>
        <w:spacing w:line="594" w:lineRule="exact"/>
        <w:ind w:firstLine="64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2"/>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7"/>
        <w:shd w:val="clear" w:color="auto" w:fill="FFFFFF"/>
        <w:spacing w:before="0" w:beforeAutospacing="0" w:after="0" w:afterAutospacing="0" w:line="594" w:lineRule="exact"/>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hint="eastAsia" w:ascii="方正仿宋_GBK" w:hAnsi="方正仿宋_GBK" w:eastAsia="方正仿宋_GBK" w:cs="方正仿宋_GBK"/>
          <w:sz w:val="32"/>
          <w:szCs w:val="32"/>
          <w:shd w:val="clear" w:color="auto" w:fill="FFFFFF"/>
          <w:lang w:val="en-US" w:eastAsia="zh-CN"/>
        </w:rPr>
        <w:t xml:space="preserve">  </w:t>
      </w:r>
      <w:r>
        <w:rPr>
          <w:rStyle w:val="11"/>
          <w:rFonts w:ascii="黑体" w:hAnsi="黑体" w:eastAsia="黑体" w:cs="黑体"/>
          <w:sz w:val="32"/>
          <w:szCs w:val="32"/>
          <w:shd w:val="clear" w:color="auto" w:fill="FFFFFF"/>
        </w:rPr>
        <w:t>六、专业名词解释</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spacing w:before="0" w:beforeAutospacing="0" w:after="0" w:afterAutospacing="0" w:line="594" w:lineRule="exact"/>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hint="eastAsia" w:ascii="方正仿宋_GBK" w:hAnsi="方正仿宋_GBK" w:eastAsia="方正仿宋_GBK" w:cs="方正仿宋_GBK"/>
          <w:sz w:val="32"/>
          <w:szCs w:val="32"/>
          <w:shd w:val="clear" w:color="auto" w:fill="FFFFFF"/>
          <w:lang w:val="en-US" w:eastAsia="zh-CN"/>
        </w:rPr>
        <w:t xml:space="preserve">  </w:t>
      </w:r>
      <w:r>
        <w:rPr>
          <w:rStyle w:val="11"/>
          <w:rFonts w:ascii="黑体" w:hAnsi="黑体" w:eastAsia="黑体" w:cs="黑体"/>
          <w:sz w:val="32"/>
          <w:szCs w:val="32"/>
          <w:shd w:val="clear" w:color="auto" w:fill="FFFFFF"/>
        </w:rPr>
        <w:t>七、决算公开联系方式及信息反馈渠道</w:t>
      </w:r>
    </w:p>
    <w:p>
      <w:pPr>
        <w:pStyle w:val="12"/>
        <w:autoSpaceDE w:val="0"/>
        <w:spacing w:line="594" w:lineRule="exact"/>
        <w:ind w:firstLine="640"/>
        <w:rPr>
          <w:rStyle w:val="11"/>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本单位决算公开信息反馈和联系方式：023-74570718</w:t>
      </w: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公开单位：垫江县曹回镇人民政府（本级）</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4,091.67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1,052.43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0.65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19.14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9.03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212.43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73.45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1,353.67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135.81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1,146.60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80.50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4.99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0.53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4,092.32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4,102.07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117.12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107.37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4,209.44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4,209.44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公开单位：垫江县曹回镇人民政府（本级）</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4,092.32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4,092.32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1,042.68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1,042.68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人大事务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17.84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17.84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人大会议</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代表工作</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其他人大事务支出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政协事务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2010202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886.49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886.49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795.33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795.33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91.02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91.02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统计信息事务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2010507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专项普查活动</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20113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商贸事务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招商引资</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9.92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9.92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其他组织事务支出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其他共产党事务支出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84.22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84.22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2013699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其他共产党事务支出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84.22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84.22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市场监督管理事务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2013802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2013816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食品安全监管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公共安全支出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19.14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19.14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公安</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2040299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其他公共安全支出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10.60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10.60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2049999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其他公共安全支出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10.60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10.60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9.03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9.03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文化和旅游</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9.03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9.03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其他文化和旅游支出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9.03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9.03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212.43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212.43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141.98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141.98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61.16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61.16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26.55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26.55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54.27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54.27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24.03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24.03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23.79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23.79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其他优抚支出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退役安置</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2080999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其他退役安置支出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0.40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0.40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社会福利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12.47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12.47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2081006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养老服务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12.47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12.47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残疾人事业</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20.10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20.10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残疾人体育</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其他残疾人事业支出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其他生活救助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其他城市生活救助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4.15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4.15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其他农村生活救助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退役军人管理事务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73.45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73.45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31.89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31.89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基本公共卫生服务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其他公共卫生支出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9.15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9.15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计划生育事务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2100799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其他计划生育事务支出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38.26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38.26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38.26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38.26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医疗保障管理事务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2101502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医疗保障经办事务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13.51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13.51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城乡社区公共设施</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2120303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小城镇基础设施建设</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12.38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12.38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1,353.67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1,353.67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343.24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343.24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病虫害控制</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2130135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农业资源保护修复与利用</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3.40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3.40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334.24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334.24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林业和草原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森林资源培育</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水利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59.64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59.64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防汛</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19.64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19.64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抗旱</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13.42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13.42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910.99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910.99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503.00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503.00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407.99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407.99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交通运输支出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135.81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135.81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公路水路运输</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公路养护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车辆购置税支出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2140601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114.61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114.61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1,146.60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1,146.60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1,146.60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1,146.60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1,146.60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1,146.60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80.50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80.50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45.30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45.30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农村危房改造</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45.30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45.30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35.20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35.20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4.99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4.99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应急管理事务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其他应急管理支出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自然灾害救灾补助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22960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彩票公益金安排的支出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2296006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用于残疾人事业的彩票公益金支出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8"/>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 xml:space="preserve">垫江县曹回镇人民政府（本级）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4,102.07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1,335.05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2,767.02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1,052.43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795.33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257.09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人大事务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人大会议</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代表工作</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其他人大事务支出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政协事务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2010202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886.49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795.33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91.15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795.33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795.33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91.02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91.02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统计信息事务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2010507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专项普查活动</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20113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商贸事务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招商引资</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9.92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9.92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其他组织事务支出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其他共产党事务支出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84.22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84.22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2013699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其他共产党事务支出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84.22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84.22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市场监督管理事务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2013802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2013816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食品安全监管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公共安全支出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19.14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19.14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公安</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2040299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其他公共安全支出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2049999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其他公共安全支出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9.03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9.03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文化和旅游</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9.03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9.03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其他文化和旅游支出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9.03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9.03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212.43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165.77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46.67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61.16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61.16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26.55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26.55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54.27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54.27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24.03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23.79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其他优抚支出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退役安置</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2080999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其他退役安置支出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社会福利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12.47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12.47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2081006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养老服务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12.47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12.47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残疾人事业</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残疾人体育</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其他残疾人事业支出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其他生活救助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其他城市生活救助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其他农村生活救助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退役军人管理事务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73.45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38.26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35.19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31.89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31.89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基本公共卫生服务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其他公共卫生支出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计划生育事务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2100799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其他计划生育事务支出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38.26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38.26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38.26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38.26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医疗保障管理事务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2101502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医疗保障经办事务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城乡社区公共设施</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2120303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小城镇基础设施建设</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1,353.67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300.50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1,053.17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343.24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343.24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病虫害控制</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2130135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农业资源保护修复与利用</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334.24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334.24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林业和草原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森林资源培育</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水利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59.64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59.64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防汛</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19.64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19.64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抗旱</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910.99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300.50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610.49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503.00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503.00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407.99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300.50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107.49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交通运输支出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135.81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135.81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公路水路运输</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公路养护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车辆购置税支出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2140601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1,146.60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1,146.60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80.50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农村危房改造</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35.20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35.20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应急管理事务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其他应急管理支出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自然灾害救灾补助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22960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彩票公益金安排的支出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2296006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用于残疾人事业的彩票公益金支出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垫江县曹回镇人民政府（本级）</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4,091.67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1,052.43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1,052.43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0.65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19.14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19.14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9.03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9.03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212.43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212.43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73.45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73.45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13.39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0.12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1,353.67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1,353.67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135.81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135.81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1,146.60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1,146.60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80.50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80.50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4.99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4.99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0.53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0.53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4,092.32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4,102.07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4,101.42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0.65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117.12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107.37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102.76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4.61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112.51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4.61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4,209.44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4,209.44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4,204.18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5.26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垫江县曹回镇人民政府（本级）</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4,101.42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1,335.05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2,766.37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1,052.43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795.33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257.09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人大事务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24.20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24.20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17.84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17.84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人大会议</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代表工作</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2.26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2.26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其他人大事务支出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政协事务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2010202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886.49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795.33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91.15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795.33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795.33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91.02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91.02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统计信息事务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2010507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专项普查活动</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20113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商贸事务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15.08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15.08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5.16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招商引资</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9.92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党委办公厅（室）及相关机构事务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24.81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24.81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24.81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24.81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其他组织事务支出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其他共产党事务支出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84.22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84.22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2013699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其他共产党事务支出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84.22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84.22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市场监督管理事务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11.52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11.52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2013802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2013816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食品安全监管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公共安全支出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19.14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19.14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公安</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8.54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8.54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2040299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其他公共安全支出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10.60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2049999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其他公共安全支出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10.60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文化旅游体育与传媒支出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9.03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9.03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文化和旅游</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9.03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9.03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其他文化和旅游支出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9.03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9.03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212.43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165.77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46.67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0.54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0.54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141.98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141.98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61.16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61.16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26.55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26.55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54.27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54.27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24.03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23.79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23.79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23.79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其他优抚支出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退役安置</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0.40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2080999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其他退役安置支出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0.40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社会福利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12.47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12.47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2081006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养老服务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12.47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12.47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残疾人事业</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20.10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残疾人体育</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0.29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其他残疾人事业支出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其他生活救助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5.55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5.55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其他城市生活救助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4.15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其他农村生活救助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退役军人管理事务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7.37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其他退役军人事务管理支出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7.37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73.45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38.26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35.19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31.89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31.89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基本公共卫生服务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21.16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21.16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其他公共卫生支出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9.15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计划生育事务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0.28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0.28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2100799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其他计划生育事务支出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0.28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0.28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38.26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38.26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38.26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38.26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医疗保障管理事务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3.02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2101502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医疗保障经办事务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13.39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13.39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城乡社区公共设施</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2120303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小城镇基础设施建设</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12.38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12.38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12.38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12.38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1,353.67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300.50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1,053.17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343.24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343.24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病虫害控制</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5.60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2130135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农业资源保护修复与利用</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3.40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334.24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334.24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林业和草原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26.37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26.37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森林资源培育</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26.37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26.37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水利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59.64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59.64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防汛</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19.64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19.64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抗旱</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巩固脱贫攻坚成果衔接乡村振兴</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13.42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13.42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其他巩固脱贫攻坚成果衔接乡村振兴支出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13.42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13.42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910.99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300.50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610.49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503.00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503.00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407.99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300.50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107.49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交通运输支出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135.81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135.81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公路水路运输</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21.20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21.20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公路养护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21.20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21.20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车辆购置税支出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114.61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114.61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2140601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车辆购置税用于公路等基础设施建设支出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114.61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114.61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1,146.60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1,146.60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1,146.60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1,146.60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1,146.60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1,146.60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80.50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35.20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45.30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45.30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45.30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农村危房改造</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45.30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45.30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35.20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35.20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35.20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4.99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4.99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应急管理事务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其他应急管理支出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自然灾害救灾及恢复重建支出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自然灾害救灾补助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2.09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垫江县曹回镇人民政府（本级）</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705.11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234.97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1.34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125.44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13.45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103.44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1.34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222.56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74.03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0.62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61.16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6.56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26.55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38.26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47.11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32.00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12.59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393.63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362.51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2.43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16.33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21.62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1,098.74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236.31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垫江县曹回镇人民政府（本级）</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4.61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0.65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0.65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0.65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4.61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城乡社区支出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4.61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0.12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0.12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0.12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4.61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21208</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4.61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0.12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0.12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0.12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4.61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2120804</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农村基础设施建设支出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2120899</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其他国有土地使用权出让收入安排的支出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3.61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0.12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0.12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0.12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3.61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229</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其他支出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0.53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22960</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彩票公益金安排的支出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0.53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2296006</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用于残疾人事业的彩票公益金支出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0.53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备注：1.本表反映单位本年度政府性基金预算财政拨款收入支出及结转和结余情况。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垫江县曹回镇人民政府（本级）</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垫江县曹回镇人民政府（本级）</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236.31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11.69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11.69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236.31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6.79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6.79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6.79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6.79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4.91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4.91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4.91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95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846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4.48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3.20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rect id="文本框 1" o:spid="_x0000_s2051"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- 16 -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rect id="文本框 127" o:spid="_x0000_s2050" o:spt="1" style="position:absolute;left:0pt;margin-top:0pt;height:144pt;width:144pt;mso-position-horizontal:center;mso-position-horizontal-relative:margin;mso-wrap-style:none;z-index:251659264;mso-width-relative:page;mso-height-relative:page;" filled="f" o:preferrelative="t" stroked="f" coordsize="21600,21600" o:allowoverlap="f">
          <v:path/>
          <v:fill on="f" focussize="0,0"/>
          <v:stroke on="f"/>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rPr>
                  <w:t>- 24 -</w:t>
                </w:r>
                <w:r>
                  <w:fldChar w:fldCharType="end"/>
                </w:r>
                <w:r>
                  <w:t xml:space="preserve"> </w:t>
                </w:r>
              </w:p>
            </w:txbxContent>
          </v:textbox>
        </v:rect>
      </w:pict>
    </w:r>
    <w:r>
      <w:rPr>
        <w:rFonts w:hint="default"/>
      </w:rPr>
      <w:pict>
        <v:rect id="文本框 126" o:spid="_x0000_s2049" o:spt="1" style="position:absolute;left:0pt;margin-top:1160.4pt;height:17.4pt;width:144pt;mso-position-horizontal:center;mso-position-horizontal-relative:margin;mso-position-vertical-relative:page;mso-wrap-style:none;z-index:251658240;mso-width-relative:page;mso-height-relative:page;" filled="f" o:preferrelative="t" stroked="f" coordsize="21600,21600" o:allowoverlap="f">
          <v:path/>
          <v:fill on="f" focussize="0,0"/>
          <v:stroke on="f"/>
          <v:imagedata o:title=""/>
          <o:lock v:ext="edit"/>
          <v:textbox inset="0mm,0mm,0mm,0mm">
            <w:txbxContent>
              <w:p>
                <w:pPr>
                  <w:pStyle w:val="4"/>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140032"/>
    <w:rsid w:val="003606EE"/>
    <w:rsid w:val="00550ABE"/>
    <w:rsid w:val="007B1524"/>
    <w:rsid w:val="007B419D"/>
    <w:rsid w:val="009B67B8"/>
    <w:rsid w:val="00B03CCD"/>
    <w:rsid w:val="00CC05DF"/>
    <w:rsid w:val="00F73F90"/>
    <w:rsid w:val="01474EBF"/>
    <w:rsid w:val="01F3521E"/>
    <w:rsid w:val="03435417"/>
    <w:rsid w:val="03B87EA0"/>
    <w:rsid w:val="03E3214F"/>
    <w:rsid w:val="044C50BA"/>
    <w:rsid w:val="049A781C"/>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6C42B5"/>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BF60EB"/>
    <w:rsid w:val="22403BD3"/>
    <w:rsid w:val="24B92327"/>
    <w:rsid w:val="24C14514"/>
    <w:rsid w:val="2533755C"/>
    <w:rsid w:val="25791755"/>
    <w:rsid w:val="26396DF4"/>
    <w:rsid w:val="27167136"/>
    <w:rsid w:val="27B23302"/>
    <w:rsid w:val="28673056"/>
    <w:rsid w:val="29310A5F"/>
    <w:rsid w:val="296F5A87"/>
    <w:rsid w:val="29C37A35"/>
    <w:rsid w:val="2A076083"/>
    <w:rsid w:val="2A2E492A"/>
    <w:rsid w:val="2A73162E"/>
    <w:rsid w:val="2B167953"/>
    <w:rsid w:val="2B1C376B"/>
    <w:rsid w:val="2B200583"/>
    <w:rsid w:val="2B8209DE"/>
    <w:rsid w:val="2C636760"/>
    <w:rsid w:val="2C6762A3"/>
    <w:rsid w:val="2FCA4B37"/>
    <w:rsid w:val="2FE029D7"/>
    <w:rsid w:val="2FF06E00"/>
    <w:rsid w:val="30586FEC"/>
    <w:rsid w:val="315F0B22"/>
    <w:rsid w:val="31D84415"/>
    <w:rsid w:val="32285F6F"/>
    <w:rsid w:val="322B245D"/>
    <w:rsid w:val="32770556"/>
    <w:rsid w:val="329C0913"/>
    <w:rsid w:val="32AA0460"/>
    <w:rsid w:val="3337290D"/>
    <w:rsid w:val="33E31118"/>
    <w:rsid w:val="33EF7674"/>
    <w:rsid w:val="342D7BC6"/>
    <w:rsid w:val="352930DB"/>
    <w:rsid w:val="35573069"/>
    <w:rsid w:val="355F6038"/>
    <w:rsid w:val="358C217E"/>
    <w:rsid w:val="36C9128A"/>
    <w:rsid w:val="370735F0"/>
    <w:rsid w:val="37841E99"/>
    <w:rsid w:val="37BF1123"/>
    <w:rsid w:val="383C3F15"/>
    <w:rsid w:val="38BE4696"/>
    <w:rsid w:val="3939115E"/>
    <w:rsid w:val="39B82A39"/>
    <w:rsid w:val="39C42CA8"/>
    <w:rsid w:val="39DC4FD6"/>
    <w:rsid w:val="39F03D7A"/>
    <w:rsid w:val="39F33306"/>
    <w:rsid w:val="3A2C1C67"/>
    <w:rsid w:val="3ADD7F09"/>
    <w:rsid w:val="3B1705E5"/>
    <w:rsid w:val="3B18334B"/>
    <w:rsid w:val="3B297AB2"/>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2E5088"/>
    <w:rsid w:val="41314E40"/>
    <w:rsid w:val="416A7E8C"/>
    <w:rsid w:val="41E0734B"/>
    <w:rsid w:val="426C1EA8"/>
    <w:rsid w:val="42736402"/>
    <w:rsid w:val="42CA46A0"/>
    <w:rsid w:val="42E86A87"/>
    <w:rsid w:val="43307B09"/>
    <w:rsid w:val="439A3EB9"/>
    <w:rsid w:val="43BB152F"/>
    <w:rsid w:val="44C37687"/>
    <w:rsid w:val="45CB699A"/>
    <w:rsid w:val="465B470D"/>
    <w:rsid w:val="469D6AD4"/>
    <w:rsid w:val="471E6C84"/>
    <w:rsid w:val="4748792B"/>
    <w:rsid w:val="475D719D"/>
    <w:rsid w:val="47674801"/>
    <w:rsid w:val="48225EF7"/>
    <w:rsid w:val="488F422B"/>
    <w:rsid w:val="48DD6B99"/>
    <w:rsid w:val="48E36915"/>
    <w:rsid w:val="48EB6572"/>
    <w:rsid w:val="493F389B"/>
    <w:rsid w:val="495C4A24"/>
    <w:rsid w:val="497135DF"/>
    <w:rsid w:val="4A263DF2"/>
    <w:rsid w:val="4A6F6675"/>
    <w:rsid w:val="4B135857"/>
    <w:rsid w:val="4B7951CB"/>
    <w:rsid w:val="4B7C315C"/>
    <w:rsid w:val="4DAC4ACA"/>
    <w:rsid w:val="4DBE01D2"/>
    <w:rsid w:val="4F0C6BA3"/>
    <w:rsid w:val="4F186D58"/>
    <w:rsid w:val="503475FE"/>
    <w:rsid w:val="50851129"/>
    <w:rsid w:val="50F06B6E"/>
    <w:rsid w:val="51D21804"/>
    <w:rsid w:val="52234D33"/>
    <w:rsid w:val="522F6E0C"/>
    <w:rsid w:val="52463BA1"/>
    <w:rsid w:val="52F163D4"/>
    <w:rsid w:val="531A2DB4"/>
    <w:rsid w:val="53560F47"/>
    <w:rsid w:val="53C0244D"/>
    <w:rsid w:val="53DD4D4E"/>
    <w:rsid w:val="53E578CE"/>
    <w:rsid w:val="541330F0"/>
    <w:rsid w:val="54272666"/>
    <w:rsid w:val="543B029D"/>
    <w:rsid w:val="54861779"/>
    <w:rsid w:val="552256E1"/>
    <w:rsid w:val="554E5773"/>
    <w:rsid w:val="555A3CBC"/>
    <w:rsid w:val="5582012B"/>
    <w:rsid w:val="558E4E05"/>
    <w:rsid w:val="55BE2E85"/>
    <w:rsid w:val="561D51B4"/>
    <w:rsid w:val="56530F5D"/>
    <w:rsid w:val="567700D3"/>
    <w:rsid w:val="56FF7E9E"/>
    <w:rsid w:val="578867FC"/>
    <w:rsid w:val="58186F97"/>
    <w:rsid w:val="5842572D"/>
    <w:rsid w:val="598B35F5"/>
    <w:rsid w:val="5A3B59D6"/>
    <w:rsid w:val="5AD134D8"/>
    <w:rsid w:val="5C263CE4"/>
    <w:rsid w:val="5C5D2777"/>
    <w:rsid w:val="5CF66BF3"/>
    <w:rsid w:val="5D290C69"/>
    <w:rsid w:val="5E51004B"/>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355788"/>
    <w:rsid w:val="68407834"/>
    <w:rsid w:val="6883293E"/>
    <w:rsid w:val="688412AD"/>
    <w:rsid w:val="68E40C79"/>
    <w:rsid w:val="68EB1B71"/>
    <w:rsid w:val="6AAD2300"/>
    <w:rsid w:val="6B474EF5"/>
    <w:rsid w:val="6C0A5AC5"/>
    <w:rsid w:val="6C560CAE"/>
    <w:rsid w:val="6C576495"/>
    <w:rsid w:val="6CC56480"/>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733B41"/>
    <w:rsid w:val="764F62AB"/>
    <w:rsid w:val="765C45EC"/>
    <w:rsid w:val="768A7619"/>
    <w:rsid w:val="772E1EBA"/>
    <w:rsid w:val="781926BC"/>
    <w:rsid w:val="796D60A4"/>
    <w:rsid w:val="79A031D5"/>
    <w:rsid w:val="79B77FBE"/>
    <w:rsid w:val="7A1525F7"/>
    <w:rsid w:val="7B420052"/>
    <w:rsid w:val="7BD06A28"/>
    <w:rsid w:val="7C3A7C0B"/>
    <w:rsid w:val="7C5248E4"/>
    <w:rsid w:val="7C566698"/>
    <w:rsid w:val="7C5866A3"/>
    <w:rsid w:val="7D7406BB"/>
    <w:rsid w:val="7DE94331"/>
    <w:rsid w:val="7F446A19"/>
    <w:rsid w:val="7F7452B9"/>
    <w:rsid w:val="7FCD167F"/>
    <w:rsid w:val="FD7E9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link w:val="16"/>
    <w:qFormat/>
    <w:uiPriority w:val="0"/>
    <w:pPr>
      <w:spacing w:before="100" w:beforeAutospacing="1" w:after="100" w:afterAutospacing="1"/>
    </w:pPr>
    <w:rPr>
      <w:rFonts w:cs="宋体"/>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8"/>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basedOn w:val="1"/>
    <w:qFormat/>
    <w:uiPriority w:val="0"/>
    <w:pPr>
      <w:spacing w:before="100" w:beforeAutospacing="1" w:after="100" w:afterAutospacing="1"/>
    </w:pPr>
    <w:rPr>
      <w:rFonts w:hint="default"/>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character" w:customStyle="1" w:styleId="16">
    <w:name w:val="正文文本 字符"/>
    <w:basedOn w:val="10"/>
    <w:link w:val="3"/>
    <w:qFormat/>
    <w:uiPriority w:val="0"/>
    <w:rPr>
      <w:rFonts w:ascii="宋体" w:hAnsi="宋体" w:cs="宋体"/>
      <w:kern w:val="0"/>
      <w:sz w:val="24"/>
    </w:rPr>
  </w:style>
  <w:style w:type="character" w:customStyle="1" w:styleId="17">
    <w:name w:val="29"/>
    <w:basedOn w:val="10"/>
    <w:qFormat/>
    <w:uiPriority w:val="0"/>
    <w:rPr>
      <w:rFonts w:hint="default" w:ascii="Times New Roman" w:hAnsi="Times New Roman" w:cs="Times New Roman"/>
      <w:b/>
    </w:rPr>
  </w:style>
  <w:style w:type="character" w:customStyle="1" w:styleId="18">
    <w:name w:val="页眉 字符"/>
    <w:basedOn w:val="10"/>
    <w:link w:val="5"/>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4264</Words>
  <Characters>24305</Characters>
  <Lines>202</Lines>
  <Paragraphs>57</Paragraphs>
  <TotalTime>63</TotalTime>
  <ScaleCrop>false</ScaleCrop>
  <LinksUpToDate>false</LinksUpToDate>
  <CharactersWithSpaces>28512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党政办主任</cp:lastModifiedBy>
  <dcterms:modified xsi:type="dcterms:W3CDTF">2024-09-12T11:06:53Z</dcterms:modified>
  <dc:title>垫江县曹回镇人民政府（本级）2023年度决算公开说明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BB46EABDBB2749749395447164B066B3_12</vt:lpwstr>
  </property>
</Properties>
</file>