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垫江县曹回镇农业服务中心</w:t>
      </w:r>
    </w:p>
    <w:p>
      <w:pPr>
        <w:pStyle w:val="6"/>
        <w:spacing w:before="0" w:beforeAutospacing="0" w:after="0" w:after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spacing w:before="0" w:beforeAutospacing="0" w:after="0" w:afterAutospacing="0" w:line="594" w:lineRule="exact"/>
        <w:ind w:firstLine="642"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spacing w:before="0" w:beforeAutospacing="0" w:after="0" w:afterAutospacing="0" w:line="594" w:lineRule="exact"/>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widowControl w:val="0"/>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负责农业技术的引进、示范与推广。负责动植物病虫害、农业灾情的监测、预报、防治。负责农业生态环境和农业投入品使用监测。承担农产品、水产种苗、水产品质量安全</w:t>
      </w:r>
      <w:r>
        <w:rPr>
          <w:rFonts w:eastAsia="方正仿宋_GBK" w:cs="方正仿宋_GBK"/>
          <w:color w:val="000000"/>
          <w:sz w:val="32"/>
          <w:szCs w:val="32"/>
        </w:rPr>
        <w:t>监管公共服务等工作</w:t>
      </w:r>
      <w:r>
        <w:rPr>
          <w:rFonts w:ascii="方正仿宋_GBK" w:hAnsi="方正仿宋_GBK" w:eastAsia="方正仿宋_GBK" w:cs="方正仿宋_GBK"/>
          <w:color w:val="000000"/>
          <w:sz w:val="32"/>
          <w:szCs w:val="32"/>
        </w:rPr>
        <w:t>。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pPr>
        <w:pStyle w:val="6"/>
        <w:shd w:val="clear" w:color="auto" w:fill="FFFFFF"/>
        <w:spacing w:before="0" w:beforeAutospacing="0" w:after="0" w:afterAutospacing="0" w:line="594" w:lineRule="exact"/>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widowControl w:val="0"/>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本单位为垫江县曹回镇农业服务中心，所属二级预算单位，单位类型为公益一类事业单位。本单位现有在职职工14人。</w:t>
      </w:r>
    </w:p>
    <w:p>
      <w:pPr>
        <w:pStyle w:val="6"/>
        <w:shd w:val="clear" w:color="auto" w:fill="FFFFFF"/>
        <w:spacing w:before="0" w:beforeAutospacing="0" w:after="0" w:afterAutospacing="0" w:line="594" w:lineRule="exact"/>
        <w:ind w:firstLine="642"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spacing w:line="594" w:lineRule="exact"/>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2023年度收入总计880.98万元，支出总计</w:t>
      </w:r>
      <w:r>
        <w:rPr>
          <w:rFonts w:ascii="方正仿宋_GBK" w:hAnsi="方正仿宋_GBK" w:eastAsia="方正仿宋_GBK" w:cs="方正仿宋_GBK"/>
          <w:sz w:val="32"/>
          <w:szCs w:val="32"/>
        </w:rPr>
        <w:t>880.98</w:t>
      </w:r>
      <w:r>
        <w:rPr>
          <w:rFonts w:ascii="方正仿宋_GBK" w:hAnsi="方正仿宋_GBK" w:eastAsia="方正仿宋_GBK" w:cs="方正仿宋_GBK"/>
          <w:sz w:val="32"/>
          <w:szCs w:val="32"/>
          <w:shd w:val="clear" w:color="auto" w:fill="FFFFFF"/>
        </w:rPr>
        <w:t>万元。收支较上年决算数增加880.98万元，增长100.00%，主要原因是本单位为2023年新增</w:t>
      </w:r>
      <w:r>
        <w:rPr>
          <w:rFonts w:ascii="仿宋_GB2312" w:hAnsi="仿宋" w:eastAsia="仿宋_GB2312"/>
          <w:sz w:val="32"/>
          <w:szCs w:val="32"/>
        </w:rPr>
        <w:t>决算单位，无上年数。</w:t>
      </w:r>
    </w:p>
    <w:p>
      <w:pPr>
        <w:spacing w:line="594" w:lineRule="exact"/>
        <w:ind w:firstLine="642"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2023年度收入合计880.98万元，较上年决算数增加880.98万元，增长100.00%，主要原因是本单位为2023年</w:t>
      </w:r>
      <w:r>
        <w:rPr>
          <w:rFonts w:ascii="仿宋_GB2312" w:hAnsi="仿宋" w:eastAsia="仿宋_GB2312"/>
          <w:sz w:val="32"/>
          <w:szCs w:val="32"/>
        </w:rPr>
        <w:t>新增决算单位，无上年数。</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880.98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spacing w:line="594" w:lineRule="exact"/>
        <w:ind w:firstLine="642"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880.98</w:t>
      </w:r>
      <w:r>
        <w:rPr>
          <w:rFonts w:ascii="方正仿宋_GBK" w:hAnsi="方正仿宋_GBK" w:eastAsia="方正仿宋_GBK" w:cs="方正仿宋_GBK"/>
          <w:sz w:val="32"/>
          <w:szCs w:val="32"/>
          <w:shd w:val="clear" w:color="auto" w:fill="FFFFFF"/>
        </w:rPr>
        <w:t>万元，较上年决算数增加880.98万元，增长100.00%，主要原因是本单位为2023年新</w:t>
      </w:r>
      <w:r>
        <w:rPr>
          <w:rFonts w:ascii="仿宋_GB2312" w:hAnsi="仿宋" w:eastAsia="仿宋_GB2312"/>
          <w:sz w:val="32"/>
          <w:szCs w:val="32"/>
        </w:rPr>
        <w:t>增决算单位，无上年数。</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340.18</w:t>
      </w:r>
      <w:r>
        <w:rPr>
          <w:rFonts w:ascii="方正仿宋_GBK" w:hAnsi="方正仿宋_GBK" w:eastAsia="方正仿宋_GBK" w:cs="方正仿宋_GBK"/>
          <w:sz w:val="32"/>
          <w:szCs w:val="32"/>
          <w:shd w:val="clear" w:color="auto" w:fill="FFFFFF"/>
        </w:rPr>
        <w:t>万元，占38.61%；项目支出</w:t>
      </w:r>
      <w:r>
        <w:rPr>
          <w:rFonts w:ascii="方正仿宋_GBK" w:hAnsi="方正仿宋_GBK" w:eastAsia="方正仿宋_GBK" w:cs="方正仿宋_GBK"/>
          <w:sz w:val="32"/>
          <w:szCs w:val="32"/>
        </w:rPr>
        <w:t>540.80</w:t>
      </w:r>
      <w:r>
        <w:rPr>
          <w:rFonts w:ascii="方正仿宋_GBK" w:hAnsi="方正仿宋_GBK" w:eastAsia="方正仿宋_GBK" w:cs="方正仿宋_GBK"/>
          <w:sz w:val="32"/>
          <w:szCs w:val="32"/>
          <w:shd w:val="clear" w:color="auto" w:fill="FFFFFF"/>
        </w:rPr>
        <w:t>万元，占61.39%；经营支出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万元，较上年决算数无增减，主要原因是本单位2023年度新增决算单位，无上年数，收支平衡无结转结余。</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2023年度财政拨款收、支总计880.98万元。与2022年相比，财政拨款收、支总计各增加880.98万元，增长100.00%。主要原因是本单位为2023</w:t>
      </w:r>
      <w:r>
        <w:rPr>
          <w:rFonts w:ascii="仿宋_GB2312" w:hAnsi="仿宋" w:eastAsia="仿宋_GB2312"/>
          <w:sz w:val="32"/>
          <w:szCs w:val="32"/>
        </w:rPr>
        <w:t>年新增决算单位，无上年数。</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880.98</w:t>
      </w:r>
      <w:r>
        <w:rPr>
          <w:rFonts w:ascii="方正仿宋_GBK" w:hAnsi="方正仿宋_GBK" w:eastAsia="方正仿宋_GBK" w:cs="方正仿宋_GBK"/>
          <w:sz w:val="32"/>
          <w:szCs w:val="32"/>
          <w:shd w:val="clear" w:color="auto" w:fill="FFFFFF"/>
        </w:rPr>
        <w:t>万元，较上年决算数增加880.98万元，增长100.00%。主要原因是本单位为2023年</w:t>
      </w:r>
      <w:r>
        <w:rPr>
          <w:rFonts w:ascii="仿宋_GB2312" w:hAnsi="仿宋" w:eastAsia="仿宋_GB2312"/>
          <w:sz w:val="32"/>
          <w:szCs w:val="32"/>
        </w:rPr>
        <w:t>新增决算单位，无上年数。</w:t>
      </w:r>
      <w:r>
        <w:rPr>
          <w:rFonts w:ascii="方正仿宋_GBK" w:hAnsi="方正仿宋_GBK" w:eastAsia="方正仿宋_GBK" w:cs="方正仿宋_GBK"/>
          <w:sz w:val="32"/>
          <w:szCs w:val="32"/>
          <w:shd w:val="clear" w:color="auto" w:fill="FFFFFF"/>
        </w:rPr>
        <w:t>较年初预算数增加566.39万元，增长180.04%。主要原因是追加水土保持、成品油价格调整对渔业的补助、中央农业资源与生态保护资金及人员职级晋升产生的工资浮动。此外，年初财政拨款结转和结余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880.98万元，较上年决算数增加880.98万元，增长100.00%。主要原因是本单位为2023年新增决算单位，无上年数。较年初预算数增加566.39万元，增长180.04%。主要原因是追加水土保持、成品油价格调整对渔业的补助、中央农业资源与生态保护资金及人员职级晋升产生的工资浮动。</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2023年度年末一般公共预算财政拨款结转和结余0.00万元，较上年决算数无增减，主要原因是本单位2023年度新增决算单位，无上年数，收支平衡无结转结余。</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30.17万元，占3.43%，较年初预算数减少0.82万元，下降2.65%，主要原因是年初根据上年产生的工资基数概算本年年初预算数，上年人员晋升产生的工资浮动比2023年大，故预算基数高，2023年支出数为实际正常支出（养老、职业年金）。</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11.84万元，占1.34%，较年初预算数减少1.07万元，下降8.29%，主要原因是年初根据上年产生的工资基数概算本年年初预算数，上年人员晋升产生的工资浮动比2023年大，故预算基数高，2023年支出数为实际正常支出（医疗）。</w:t>
      </w:r>
    </w:p>
    <w:p>
      <w:pPr>
        <w:spacing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（3）农林水支出</w:t>
      </w:r>
      <w:r>
        <w:rPr>
          <w:rFonts w:ascii="方正仿宋_GBK" w:hAnsi="方正仿宋_GBK" w:eastAsia="方正仿宋_GBK" w:cs="方正仿宋_GBK"/>
          <w:sz w:val="32"/>
          <w:szCs w:val="32"/>
        </w:rPr>
        <w:t>823.94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93.53</w:t>
      </w:r>
      <w:r>
        <w:rPr>
          <w:rFonts w:ascii="方正仿宋_GBK" w:hAnsi="方正仿宋_GBK" w:eastAsia="方正仿宋_GBK" w:cs="方正仿宋_GBK"/>
          <w:sz w:val="32"/>
          <w:szCs w:val="32"/>
          <w:shd w:val="clear" w:color="auto" w:fill="FFFFFF"/>
        </w:rPr>
        <w:t>%，较年初预算数增加568.76万元，增长222.89%，主要原因是追加水土保持、成品油价格调整对渔业的补助、中央农业资源与生态保护资金、追加预算支2020-2021年事业人员超额绩效精算。</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住房保障支出15.01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1.70</w:t>
      </w:r>
      <w:r>
        <w:rPr>
          <w:rFonts w:ascii="方正仿宋_GBK" w:hAnsi="方正仿宋_GBK" w:eastAsia="方正仿宋_GBK" w:cs="方正仿宋_GBK"/>
          <w:sz w:val="32"/>
          <w:szCs w:val="32"/>
          <w:shd w:val="clear" w:color="auto" w:fill="FFFFFF"/>
        </w:rPr>
        <w:t>%，较年初预算数减少0.49万元，下降3.16%，主要原因是年初根据上年产生的工资基数概算本年年初预算数，上年人员晋升产生的工资浮动比2023年大，故预算基数高，2023年支出数为实际正常支出（住房公积金）。</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340.18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305.14</w:t>
      </w:r>
      <w:r>
        <w:rPr>
          <w:rFonts w:ascii="方正仿宋_GBK" w:hAnsi="方正仿宋_GBK" w:eastAsia="方正仿宋_GBK" w:cs="方正仿宋_GBK"/>
          <w:sz w:val="32"/>
          <w:szCs w:val="32"/>
          <w:shd w:val="clear" w:color="auto" w:fill="FFFFFF"/>
        </w:rPr>
        <w:t>万元，较上年决算数增加305.14万元，增长100.00%，主要原因是本单位为2023年新增决算单位，无上年数。人员经费用途主要包括基本工资66.16万元、津贴补贴13.39万元、绩效工资162.58万元、机关事业单位基本养老保险缴费20.12万元、职业年金缴费10.06万元、职工基本医疗保险缴费11.84万元、其他社会保障缴费0.34万元、住房公积金15.01万元、医疗费2.77万元、其他工资福利支出2.86万元。公用经费</w:t>
      </w:r>
      <w:r>
        <w:rPr>
          <w:rFonts w:ascii="方正仿宋_GBK" w:hAnsi="方正仿宋_GBK" w:eastAsia="方正仿宋_GBK" w:cs="方正仿宋_GBK"/>
          <w:sz w:val="32"/>
          <w:szCs w:val="32"/>
        </w:rPr>
        <w:t>35.04</w:t>
      </w:r>
      <w:r>
        <w:rPr>
          <w:rFonts w:ascii="方正仿宋_GBK" w:hAnsi="方正仿宋_GBK" w:eastAsia="方正仿宋_GBK" w:cs="方正仿宋_GBK"/>
          <w:sz w:val="32"/>
          <w:szCs w:val="32"/>
          <w:shd w:val="clear" w:color="auto" w:fill="FFFFFF"/>
        </w:rPr>
        <w:t>万元，较上年决算数增加35.04万元，增长100.00%，主要原因是本单位为2023年新增决算单位，无上年数。公用经费用途主要包括办公费0.87万元、印刷费0.01万元、水费0.09万元、电费0.61万元、邮电费2.83万元、差旅费21.13万元、会议费3.15万元、委托业务费2.85万元、工会经费1.55万元、福利费1.94万元等。</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spacing w:before="0" w:beforeAutospacing="0" w:after="0" w:afterAutospacing="0" w:line="594" w:lineRule="exact"/>
        <w:ind w:firstLine="642"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widowControl w:val="0"/>
        <w:snapToGrid w:val="0"/>
        <w:spacing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11"/>
        <w:autoSpaceDE w:val="0"/>
        <w:spacing w:line="594"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rPr>
        <w:t>本单位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w:t>
      </w:r>
      <w:r>
        <w:rPr>
          <w:rFonts w:hint="eastAsia" w:ascii="方正仿宋_GBK" w:hAnsi="方正仿宋_GBK" w:eastAsia="方正仿宋_GBK" w:cs="方正仿宋_GBK"/>
          <w:sz w:val="32"/>
          <w:szCs w:val="32"/>
          <w:shd w:val="clear" w:color="auto" w:fill="FFFFFF"/>
        </w:rPr>
        <w:t>本单位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4" w:lineRule="exact"/>
        <w:ind w:firstLine="642"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3.15</w:t>
      </w:r>
      <w:r>
        <w:rPr>
          <w:rFonts w:ascii="方正仿宋_GBK" w:hAnsi="方正仿宋_GBK" w:eastAsia="方正仿宋_GBK" w:cs="方正仿宋_GBK"/>
          <w:sz w:val="32"/>
          <w:szCs w:val="32"/>
          <w:shd w:val="clear" w:color="auto" w:fill="FFFFFF"/>
        </w:rPr>
        <w:t>万元，较上年决算数增加3.15万元，增长100.00%，主要原因是为本单位2023年农林水方面的工作序时展开所必需的会议。本年度培训费支出0.00万元，较上年决算数无变化，主要原因是本单位为2023年新增决算单位，与政府本级共同办公，职工继续教育培训费在本级支出。</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snapToGrid w:val="0"/>
        <w:spacing w:before="0" w:beforeAutospacing="0" w:after="0" w:afterAutospacing="0" w:line="594" w:lineRule="exact"/>
        <w:ind w:firstLine="640" w:firstLineChars="200"/>
        <w:jc w:val="both"/>
        <w:rPr>
          <w:rStyle w:val="10"/>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lang w:eastAsia="zh-CN"/>
        </w:rPr>
        <w:t>五、</w:t>
      </w:r>
      <w:r>
        <w:rPr>
          <w:rStyle w:val="10"/>
          <w:rFonts w:hint="eastAsia" w:ascii="方正黑体_GBK" w:hAnsi="方正黑体_GBK" w:eastAsia="方正黑体_GBK" w:cs="方正黑体_GBK"/>
          <w:sz w:val="32"/>
          <w:szCs w:val="32"/>
          <w:shd w:val="clear" w:color="auto" w:fill="FFFFFF"/>
        </w:rPr>
        <w:t>预算绩效管理情况说明</w:t>
      </w:r>
    </w:p>
    <w:p>
      <w:pPr>
        <w:pStyle w:val="1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94" w:lineRule="exact"/>
        <w:ind w:firstLine="642"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3个二级项目开展了绩效自评，涉及财政拨款项目支出资金540.80万元。本报告中主要列举以下3个二级项目：2022年水土保持工程建设、中央农业资源与生态保护资金、成品油价格调整对渔业补助资金。</w:t>
      </w:r>
    </w:p>
    <w:p>
      <w:pPr>
        <w:pStyle w:val="12"/>
        <w:spacing w:before="312" w:beforeLines="100" w:beforeAutospacing="0" w:after="312" w:afterLines="100" w:afterAutospacing="0" w:line="594" w:lineRule="exact"/>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曹回镇农业服务中心项目支出绩效自评表（二级项目）</w:t>
      </w:r>
    </w:p>
    <w:p>
      <w:pPr>
        <w:pStyle w:val="12"/>
        <w:spacing w:before="312" w:beforeLines="100" w:beforeAutospacing="0" w:after="312" w:afterLines="100" w:afterAutospacing="0" w:line="594" w:lineRule="exact"/>
        <w:jc w:val="both"/>
        <w:rPr>
          <w:rFonts w:ascii="楷体" w:hAnsi="楷体" w:eastAsia="楷体" w:cs="楷体"/>
          <w:b/>
          <w:bCs/>
          <w:sz w:val="32"/>
          <w:szCs w:val="32"/>
          <w:shd w:val="clear" w:color="auto" w:fill="FFFFFF"/>
        </w:rPr>
      </w:pPr>
      <w:r>
        <w:rPr>
          <w:rFonts w:ascii="宋体" w:hAnsi="宋体" w:eastAsia="宋体" w:cs="Times New Roman"/>
          <w:sz w:val="24"/>
          <w:szCs w:val="24"/>
          <w:lang w:val="en-US" w:eastAsia="zh-CN" w:bidi="ar-SA"/>
        </w:rPr>
        <w:pict>
          <v:shape id="图片 12" o:spid="_x0000_s1029" o:spt="75" type="#_x0000_t75" style="position:absolute;left:0pt;margin-left:11.5pt;margin-top:9.7pt;height:317.3pt;width:396.25pt;mso-wrap-distance-left:9pt;mso-wrap-distance-right:9pt;z-index:-251658240;mso-width-relative:page;mso-height-relative:page;" fillcolor="#FFFFFF" filled="f" o:preferrelative="t" stroked="f" coordsize="21600,21600" wrapcoords="21592 -2 0 0 0 21600 21592 21602 8 21602 21600 21600 21600 0 8 -2 21592 -2">
            <v:path/>
            <v:fill on="f" color2="#FFFFFF" focussize="0,0"/>
            <v:stroke on="f"/>
            <v:imagedata r:id="rId7" gain="65536f" blacklevel="0f" gamma="0" o:title=""/>
            <o:lock v:ext="edit" position="f" selection="f" grouping="f" rotation="f" cropping="f" text="f" aspectratio="t"/>
            <w10:wrap type="through"/>
          </v:shape>
        </w:pict>
      </w:r>
    </w:p>
    <w:p>
      <w:pPr>
        <w:pStyle w:val="11"/>
        <w:autoSpaceDE w:val="0"/>
        <w:spacing w:line="594" w:lineRule="exact"/>
        <w:ind w:firstLine="0" w:firstLineChars="0"/>
        <w:rPr>
          <w:rFonts w:ascii="楷体" w:hAnsi="楷体" w:eastAsia="楷体" w:cs="楷体"/>
          <w:b/>
          <w:bCs/>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pPr>
        <w:jc w:val="center"/>
        <w:rPr>
          <w:rFonts w:hint="default"/>
        </w:rPr>
      </w:pPr>
      <w:r>
        <w:rPr>
          <w:rFonts w:hint="eastAsia" w:ascii="宋体" w:hAnsi="宋体" w:eastAsia="宋体" w:cs="Times New Roman"/>
          <w:sz w:val="24"/>
          <w:szCs w:val="24"/>
          <w:lang w:val="en-US" w:eastAsia="zh-CN" w:bidi="ar-SA"/>
        </w:rPr>
        <w:pict>
          <v:shape id="_x0000_i1025" o:spt="75" type="#_x0000_t75" style="height:280.5pt;width:396.3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p>
    <w:p>
      <w:pPr>
        <w:rPr>
          <w:rFonts w:hint="default"/>
        </w:rPr>
      </w:pPr>
    </w:p>
    <w:p>
      <w:pPr>
        <w:rPr>
          <w:rFonts w:hint="default"/>
        </w:rPr>
      </w:pPr>
    </w:p>
    <w:p>
      <w:pPr>
        <w:jc w:val="center"/>
        <w:rPr>
          <w:rFonts w:hint="default"/>
        </w:rPr>
      </w:pPr>
      <w:r>
        <w:rPr>
          <w:rFonts w:hint="eastAsia" w:ascii="宋体" w:hAnsi="宋体" w:eastAsia="宋体" w:cs="Times New Roman"/>
          <w:sz w:val="24"/>
          <w:szCs w:val="24"/>
          <w:lang w:val="en-US" w:eastAsia="zh-CN" w:bidi="ar-SA"/>
        </w:rPr>
        <w:pict>
          <v:shape id="_x0000_i1031" o:spt="75" type="#_x0000_t75" style="height:276.5pt;width:392.25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p>
    <w:p>
      <w:pPr>
        <w:pStyle w:val="11"/>
        <w:widowControl/>
        <w:wordWrap/>
        <w:autoSpaceDE w:val="0"/>
        <w:adjustRightInd/>
        <w:snapToGrid/>
        <w:spacing w:line="594" w:lineRule="exact"/>
        <w:ind w:left="0" w:leftChars="0" w:right="0" w:firstLine="642" w:firstLineChars="200"/>
        <w:jc w:val="left"/>
        <w:textAlignment w:val="auto"/>
        <w:outlineLvl w:val="9"/>
        <w:rPr>
          <w:rFonts w:hint="eastAsia" w:ascii="楷体" w:hAnsi="楷体" w:eastAsia="楷体" w:cs="楷体"/>
          <w:b/>
          <w:bCs/>
          <w:sz w:val="32"/>
          <w:szCs w:val="32"/>
          <w:shd w:val="clear" w:color="auto" w:fill="FFFFFF"/>
        </w:rPr>
      </w:pPr>
    </w:p>
    <w:p>
      <w:pPr>
        <w:pStyle w:val="11"/>
        <w:widowControl/>
        <w:wordWrap/>
        <w:autoSpaceDE w:val="0"/>
        <w:adjustRightInd/>
        <w:snapToGrid/>
        <w:spacing w:line="594" w:lineRule="exact"/>
        <w:ind w:left="0" w:leftChars="0" w:right="0" w:firstLine="642" w:firstLineChars="200"/>
        <w:jc w:val="left"/>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3"/>
        <w:autoSpaceDE w:val="0"/>
        <w:spacing w:line="594" w:lineRule="exact"/>
        <w:ind w:firstLine="64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spacing w:line="594" w:lineRule="exact"/>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spacing w:line="594" w:lineRule="exact"/>
        <w:ind w:firstLine="640"/>
        <w:rPr>
          <w:rStyle w:val="10"/>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spacing w:before="0" w:beforeAutospacing="0" w:after="0" w:afterAutospacing="0" w:line="594" w:lineRule="exact"/>
        <w:ind w:firstLine="642"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4" w:lineRule="exact"/>
        <w:ind w:firstLine="642" w:firstLineChars="200"/>
        <w:rPr>
          <w:rStyle w:val="10"/>
          <w:rFonts w:hint="default" w:ascii="方正仿宋_GBK" w:hAnsi="方正仿宋_GBK" w:eastAsia="方正仿宋_GBK" w:cs="方正仿宋_GBK"/>
          <w:sz w:val="32"/>
          <w:szCs w:val="32"/>
          <w:shd w:val="clear" w:color="auto" w:fill="FFFFFF"/>
        </w:rPr>
      </w:pPr>
      <w:bookmarkStart w:id="0" w:name="_GoBack"/>
      <w:bookmarkEnd w:id="0"/>
      <w:r>
        <w:rPr>
          <w:rStyle w:val="10"/>
          <w:rFonts w:ascii="黑体" w:hAnsi="黑体" w:eastAsia="黑体" w:cs="黑体"/>
          <w:sz w:val="32"/>
          <w:szCs w:val="32"/>
          <w:shd w:val="clear" w:color="auto" w:fill="FFFFFF"/>
        </w:rPr>
        <w:t>七、决算公开联系方式及信息反馈渠道</w:t>
      </w:r>
    </w:p>
    <w:p>
      <w:pPr>
        <w:pStyle w:val="11"/>
        <w:autoSpaceDE w:val="0"/>
        <w:spacing w:line="594" w:lineRule="exact"/>
        <w:ind w:firstLine="640"/>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本单位决算公开信息反馈和联系方式：023-74570718</w:t>
      </w:r>
    </w:p>
    <w:p>
      <w:pPr>
        <w:pStyle w:val="11"/>
        <w:autoSpaceDE w:val="0"/>
        <w:spacing w:line="594" w:lineRule="exact"/>
        <w:ind w:firstLine="0" w:firstLineChars="0"/>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公开单位：垫江县曹回镇农业服务中心</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880.98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823.94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880.98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880.98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880.98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880.98 </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公开单位：垫江县曹回镇农业服务中心</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880.98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880.98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30.17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30.17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30.17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30.17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20.12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20.12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11.84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11.84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823.94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823.94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336.15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336.15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283.15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283.15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2130135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农业资源保护修复与利用</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41.00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41.00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2130148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渔业发展</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水利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487.80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487.80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水土保持</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487.80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487.80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7"/>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 xml:space="preserve">垫江县曹回镇农业服务中心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880.98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340.18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540.80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11.84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11.84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823.94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283.15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540.80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336.15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283.15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53.00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283.15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283.15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2130135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农业资源保护修复与利用</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41.00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41.00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2130148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渔业发展</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水利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487.80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487.80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水土保持</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487.80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487.80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垫江县曹回镇农业服务中心</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880.98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30.17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30.17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823.94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823.94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15.01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15.01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880.98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880.98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880.98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880.98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880.98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880.98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垫江县曹回镇农业服务中心</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880.98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340.18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540.80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30.17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30.17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30.17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30.17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20.12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20.12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11.84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11.84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11.84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11.84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11.84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11.84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823.94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283.15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540.80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336.15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283.15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283.15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283.15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2130135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农业资源保护修复与利用</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41.00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2130148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渔业发展</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水利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487.80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487.80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水土保持</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487.80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487.80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15.01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15.01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15.01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15.01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15.01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15.01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垫江县曹回镇农业服务中心</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305.14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35.04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66.16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0.87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162.58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20.12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0.61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10.06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0.34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21.13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2.77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305.14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35.04 </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垫江县曹回镇农业服务中心</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垫江县曹回镇农业服务中心</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垫江县曹回镇农业服务中心</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3.15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0000000000000000000"/>
    <w:charset w:val="86"/>
    <w:family w:val="auto"/>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Bitstream Charter">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超粗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ascii="宋体" w:hAnsi="宋体" w:eastAsia="宋体" w:cs="Times New Roman"/>
        <w:sz w:val="18"/>
        <w:szCs w:val="18"/>
        <w:lang w:val="en-US" w:eastAsia="zh-CN" w:bidi="ar-SA"/>
      </w:rPr>
      <w:pict>
        <v:rect id="文本框 1" o:spid="_x0000_s204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ascii="宋体" w:hAnsi="宋体" w:eastAsia="宋体" w:cs="Times New Roman"/>
        <w:sz w:val="18"/>
        <w:szCs w:val="18"/>
        <w:lang w:val="en-US" w:eastAsia="zh-CN" w:bidi="ar-SA"/>
      </w:rPr>
      <w:pict>
        <v:rect id="文本框 127" o:spid="_x0000_s2050" o:spt="1" style="position:absolute;left:0pt;margin-top:0pt;height:144pt;width:144pt;mso-position-horizontal:center;mso-position-horizontal-relative:margin;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rPr>
                  <w:t>- 22 -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2051" o:spt="1" style="position:absolute;left:0pt;margin-top:1160.4pt;height:17.4pt;width:144pt;mso-position-horizontal:center;mso-position-horizontal-relative:margin;mso-position-vertical-relative:page;mso-wrap-style:none;z-index:251658240;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C6D7C5"/>
    <w:multiLevelType w:val="singleLevel"/>
    <w:tmpl w:val="66C6D7C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550ABE"/>
    <w:rsid w:val="0058054A"/>
    <w:rsid w:val="0058779C"/>
    <w:rsid w:val="007B419D"/>
    <w:rsid w:val="00873FEE"/>
    <w:rsid w:val="009B67B8"/>
    <w:rsid w:val="00A749B7"/>
    <w:rsid w:val="00B03CCD"/>
    <w:rsid w:val="00F73F90"/>
    <w:rsid w:val="01474EBF"/>
    <w:rsid w:val="01F3521E"/>
    <w:rsid w:val="023A0FB7"/>
    <w:rsid w:val="03B87EA0"/>
    <w:rsid w:val="03E3214F"/>
    <w:rsid w:val="044C50BA"/>
    <w:rsid w:val="05BC6D49"/>
    <w:rsid w:val="06194FF1"/>
    <w:rsid w:val="06A2550B"/>
    <w:rsid w:val="06F80EE2"/>
    <w:rsid w:val="07001CCA"/>
    <w:rsid w:val="075678DB"/>
    <w:rsid w:val="079D7CC7"/>
    <w:rsid w:val="07F05315"/>
    <w:rsid w:val="08051BCA"/>
    <w:rsid w:val="086C12F4"/>
    <w:rsid w:val="08705944"/>
    <w:rsid w:val="08816E02"/>
    <w:rsid w:val="08BA052C"/>
    <w:rsid w:val="08DB07BA"/>
    <w:rsid w:val="0969353F"/>
    <w:rsid w:val="098269A5"/>
    <w:rsid w:val="098305D0"/>
    <w:rsid w:val="0A3317EA"/>
    <w:rsid w:val="0A5C4B69"/>
    <w:rsid w:val="0A86124A"/>
    <w:rsid w:val="0AB54CC0"/>
    <w:rsid w:val="0B9335CE"/>
    <w:rsid w:val="0BF2311A"/>
    <w:rsid w:val="0C7927C4"/>
    <w:rsid w:val="0C9B098C"/>
    <w:rsid w:val="0D673E11"/>
    <w:rsid w:val="0DDA54E4"/>
    <w:rsid w:val="0DF85BFA"/>
    <w:rsid w:val="0E3A5F83"/>
    <w:rsid w:val="0F486821"/>
    <w:rsid w:val="0F836721"/>
    <w:rsid w:val="0FA25D96"/>
    <w:rsid w:val="0FD30983"/>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4B5156"/>
    <w:rsid w:val="16BE6E2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50091A"/>
    <w:rsid w:val="27B23302"/>
    <w:rsid w:val="28BD3A65"/>
    <w:rsid w:val="29310A5F"/>
    <w:rsid w:val="29C37A35"/>
    <w:rsid w:val="2A076083"/>
    <w:rsid w:val="2A73162E"/>
    <w:rsid w:val="2B0626A5"/>
    <w:rsid w:val="2B167953"/>
    <w:rsid w:val="2B200583"/>
    <w:rsid w:val="2B8209DE"/>
    <w:rsid w:val="2C636760"/>
    <w:rsid w:val="2C6762A3"/>
    <w:rsid w:val="2ECC3CD5"/>
    <w:rsid w:val="2FBB395D"/>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4C5A0D"/>
    <w:rsid w:val="398C207A"/>
    <w:rsid w:val="39AF188A"/>
    <w:rsid w:val="39B82A39"/>
    <w:rsid w:val="39C42CA8"/>
    <w:rsid w:val="39DC4FD6"/>
    <w:rsid w:val="39F03D7A"/>
    <w:rsid w:val="39F33306"/>
    <w:rsid w:val="3A2C1C67"/>
    <w:rsid w:val="3ADD7F09"/>
    <w:rsid w:val="3B1705E5"/>
    <w:rsid w:val="3B18334B"/>
    <w:rsid w:val="3B36794F"/>
    <w:rsid w:val="3B6F6EE0"/>
    <w:rsid w:val="3BF249E7"/>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3D6B01"/>
    <w:rsid w:val="4091157D"/>
    <w:rsid w:val="411B6CE5"/>
    <w:rsid w:val="412070D7"/>
    <w:rsid w:val="41314E40"/>
    <w:rsid w:val="41E0734B"/>
    <w:rsid w:val="426C1EA8"/>
    <w:rsid w:val="42736402"/>
    <w:rsid w:val="42E86A87"/>
    <w:rsid w:val="43307B09"/>
    <w:rsid w:val="439A3EB9"/>
    <w:rsid w:val="43BB152F"/>
    <w:rsid w:val="44C37687"/>
    <w:rsid w:val="4519156F"/>
    <w:rsid w:val="45CB699A"/>
    <w:rsid w:val="46092573"/>
    <w:rsid w:val="465B470D"/>
    <w:rsid w:val="469D6AD4"/>
    <w:rsid w:val="471E6C84"/>
    <w:rsid w:val="473D4EEF"/>
    <w:rsid w:val="4748792B"/>
    <w:rsid w:val="475D719D"/>
    <w:rsid w:val="47674801"/>
    <w:rsid w:val="48225EF7"/>
    <w:rsid w:val="488F422B"/>
    <w:rsid w:val="48E36915"/>
    <w:rsid w:val="48EB6572"/>
    <w:rsid w:val="495C4A24"/>
    <w:rsid w:val="497135DF"/>
    <w:rsid w:val="4A263DF2"/>
    <w:rsid w:val="4A6F6675"/>
    <w:rsid w:val="4B135857"/>
    <w:rsid w:val="4B1F2CC4"/>
    <w:rsid w:val="4B7951CB"/>
    <w:rsid w:val="4B7C315C"/>
    <w:rsid w:val="4D3B4EC4"/>
    <w:rsid w:val="4DAC4ACA"/>
    <w:rsid w:val="4DBE01D2"/>
    <w:rsid w:val="4F0C6BA3"/>
    <w:rsid w:val="4F186D58"/>
    <w:rsid w:val="50897B2F"/>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6154E5"/>
    <w:rsid w:val="5A3B59D6"/>
    <w:rsid w:val="5AD134D8"/>
    <w:rsid w:val="5C263CE4"/>
    <w:rsid w:val="5C5D2777"/>
    <w:rsid w:val="5CF66BF3"/>
    <w:rsid w:val="5D290C69"/>
    <w:rsid w:val="5F2D4A41"/>
    <w:rsid w:val="60284085"/>
    <w:rsid w:val="608C3D21"/>
    <w:rsid w:val="60C74F6C"/>
    <w:rsid w:val="61025A59"/>
    <w:rsid w:val="613D5BBC"/>
    <w:rsid w:val="61536C39"/>
    <w:rsid w:val="62944DD7"/>
    <w:rsid w:val="62A0195F"/>
    <w:rsid w:val="6319381F"/>
    <w:rsid w:val="63916CE9"/>
    <w:rsid w:val="63B4491F"/>
    <w:rsid w:val="63C25DC5"/>
    <w:rsid w:val="63C62057"/>
    <w:rsid w:val="64571EF5"/>
    <w:rsid w:val="64625312"/>
    <w:rsid w:val="64FB113D"/>
    <w:rsid w:val="656152C6"/>
    <w:rsid w:val="6587477F"/>
    <w:rsid w:val="658C3A08"/>
    <w:rsid w:val="65C031CA"/>
    <w:rsid w:val="65CE6852"/>
    <w:rsid w:val="66267C04"/>
    <w:rsid w:val="663F505A"/>
    <w:rsid w:val="66EE5541"/>
    <w:rsid w:val="678D29F1"/>
    <w:rsid w:val="67924660"/>
    <w:rsid w:val="67A65B19"/>
    <w:rsid w:val="683C5113"/>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307267"/>
    <w:rsid w:val="72427182"/>
    <w:rsid w:val="72DB435C"/>
    <w:rsid w:val="72E2613A"/>
    <w:rsid w:val="72F771F4"/>
    <w:rsid w:val="73934AD2"/>
    <w:rsid w:val="750837F0"/>
    <w:rsid w:val="754758CF"/>
    <w:rsid w:val="764F62AB"/>
    <w:rsid w:val="765C45EC"/>
    <w:rsid w:val="768A7619"/>
    <w:rsid w:val="772E1EBA"/>
    <w:rsid w:val="781926BC"/>
    <w:rsid w:val="788543C8"/>
    <w:rsid w:val="796D60A4"/>
    <w:rsid w:val="79A031D5"/>
    <w:rsid w:val="7A1525F7"/>
    <w:rsid w:val="7B420052"/>
    <w:rsid w:val="7BC05E14"/>
    <w:rsid w:val="7BD06A28"/>
    <w:rsid w:val="7C3A7C0B"/>
    <w:rsid w:val="7C5248E4"/>
    <w:rsid w:val="7C566698"/>
    <w:rsid w:val="7C5866A3"/>
    <w:rsid w:val="7D7406BB"/>
    <w:rsid w:val="7DE94331"/>
    <w:rsid w:val="7F3FD1F8"/>
    <w:rsid w:val="7F446A19"/>
    <w:rsid w:val="7F7452B9"/>
    <w:rsid w:val="7FE27B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5"/>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2015</Words>
  <Characters>11491</Characters>
  <Lines>95</Lines>
  <Paragraphs>26</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党政办主任</cp:lastModifiedBy>
  <dcterms:modified xsi:type="dcterms:W3CDTF">2024-09-12T11:22:58Z</dcterms:modified>
  <dc:title>垫江县曹回镇农业服务中心2023年度决算公开说明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BB46EABDBB2749749395447164B066B3_12</vt:lpwstr>
  </property>
</Properties>
</file>