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rPr>
      </w:pPr>
      <w:bookmarkStart w:id="0" w:name="_GoBack"/>
      <w:r>
        <w:rPr>
          <w:rFonts w:ascii="方正小标宋_GBK" w:hAnsi="方正小标宋_GBK" w:eastAsia="方正小标宋_GBK" w:cs="方正小标宋_GBK"/>
          <w:sz w:val="36"/>
          <w:szCs w:val="36"/>
        </w:rPr>
        <w:t>垫江县曹回镇综合行政执法大队</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spacing w:before="0" w:beforeAutospacing="0" w:after="0" w:afterAutospacing="0" w:line="594" w:lineRule="exact"/>
        <w:ind w:firstLine="642" w:firstLineChars="200"/>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spacing w:before="0" w:beforeAutospacing="0" w:after="0" w:afterAutospacing="0" w:line="594" w:lineRule="exact"/>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widowControl w:val="0"/>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负责配合综合行政执法办公室做好有关</w:t>
      </w:r>
      <w:r>
        <w:rPr>
          <w:rStyle w:val="16"/>
          <w:rFonts w:ascii="方正仿宋_GBK" w:hAnsi="方正仿宋_GBK" w:eastAsia="方正仿宋_GBK" w:cs="方正仿宋_GBK"/>
          <w:color w:val="000000"/>
          <w:sz w:val="32"/>
          <w:szCs w:val="32"/>
        </w:rPr>
        <w:t>农林水利、规划建设、卫生健康、市容环卫、环境保护、文化旅游、民政管理、</w:t>
      </w:r>
      <w:r>
        <w:rPr>
          <w:rFonts w:ascii="方正仿宋_GBK" w:hAnsi="方正仿宋_GBK" w:eastAsia="方正仿宋_GBK" w:cs="方正仿宋_GBK"/>
          <w:color w:val="000000"/>
          <w:sz w:val="32"/>
          <w:szCs w:val="32"/>
        </w:rPr>
        <w:t>消防等方面的执法工作。</w:t>
      </w:r>
    </w:p>
    <w:p>
      <w:pPr>
        <w:pStyle w:val="7"/>
        <w:shd w:val="clear" w:color="auto" w:fill="FFFFFF"/>
        <w:spacing w:before="0" w:beforeAutospacing="0" w:after="0" w:afterAutospacing="0" w:line="594" w:lineRule="exact"/>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widowControl w:val="0"/>
        <w:spacing w:line="594" w:lineRule="exact"/>
        <w:ind w:firstLine="640" w:firstLineChars="200"/>
        <w:rPr>
          <w:rStyle w:val="16"/>
          <w:rFonts w:hint="default" w:ascii="方正仿宋_GBK" w:hAnsi="方正仿宋_GBK" w:eastAsia="方正仿宋_GBK" w:cs="方正仿宋_GBK"/>
          <w:color w:val="000000"/>
          <w:sz w:val="32"/>
          <w:szCs w:val="32"/>
        </w:rPr>
      </w:pPr>
      <w:r>
        <w:rPr>
          <w:rStyle w:val="16"/>
          <w:rFonts w:ascii="方正仿宋_GBK" w:hAnsi="方正仿宋_GBK" w:eastAsia="方正仿宋_GBK" w:cs="方正仿宋_GBK"/>
          <w:color w:val="000000"/>
          <w:sz w:val="32"/>
          <w:szCs w:val="32"/>
        </w:rPr>
        <w:t>本单位为垫江县曹回镇综合行政执法大队，所属二级预算单位，单位类型为公益一类事业单位。本单位现有在职职工5人。</w:t>
      </w:r>
    </w:p>
    <w:p>
      <w:pPr>
        <w:pStyle w:val="7"/>
        <w:shd w:val="clear" w:color="auto" w:fill="FFFFFF"/>
        <w:spacing w:before="0" w:beforeAutospacing="0" w:after="0" w:afterAutospacing="0" w:line="594" w:lineRule="exact"/>
        <w:ind w:firstLine="642"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二、部门决算情况说明</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594" w:lineRule="exact"/>
        <w:ind w:firstLine="642"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2023年度收入总计118.55万元，支出总计</w:t>
      </w:r>
      <w:r>
        <w:rPr>
          <w:rFonts w:ascii="方正仿宋_GBK" w:hAnsi="方正仿宋_GBK" w:eastAsia="方正仿宋_GBK" w:cs="方正仿宋_GBK"/>
          <w:sz w:val="32"/>
          <w:szCs w:val="32"/>
        </w:rPr>
        <w:t>118.55</w:t>
      </w:r>
      <w:r>
        <w:rPr>
          <w:rFonts w:ascii="方正仿宋_GBK" w:hAnsi="方正仿宋_GBK" w:eastAsia="方正仿宋_GBK" w:cs="方正仿宋_GBK"/>
          <w:sz w:val="32"/>
          <w:szCs w:val="32"/>
          <w:shd w:val="clear" w:color="auto" w:fill="FFFFFF"/>
        </w:rPr>
        <w:t>万元。收支较上年</w:t>
      </w:r>
      <w:r>
        <w:rPr>
          <w:rStyle w:val="16"/>
          <w:rFonts w:ascii="方正仿宋_GBK" w:hAnsi="方正仿宋_GBK" w:eastAsia="方正仿宋_GBK" w:cs="方正仿宋_GBK"/>
          <w:color w:val="000000"/>
          <w:sz w:val="32"/>
          <w:szCs w:val="32"/>
        </w:rPr>
        <w:t>决算</w:t>
      </w:r>
      <w:r>
        <w:rPr>
          <w:rFonts w:ascii="方正仿宋_GBK" w:hAnsi="方正仿宋_GBK" w:eastAsia="方正仿宋_GBK" w:cs="方正仿宋_GBK"/>
          <w:sz w:val="32"/>
          <w:szCs w:val="32"/>
          <w:shd w:val="clear" w:color="auto" w:fill="FFFFFF"/>
        </w:rPr>
        <w:t>数增加118.55万元，增长100.00%，主要原因是本单位为2023年新增决算单位，无上年数。</w:t>
      </w:r>
    </w:p>
    <w:p>
      <w:pPr>
        <w:spacing w:line="594" w:lineRule="exact"/>
        <w:ind w:firstLine="642"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2023年度收入合计118.55万元，较上年决算数增加118.55万元，增长100.00%，主要原因是本单位为2023年新增决算单位，无上年数。其中：财政拨款收入</w:t>
      </w:r>
      <w:r>
        <w:rPr>
          <w:rFonts w:ascii="方正仿宋_GBK" w:hAnsi="方正仿宋_GBK" w:eastAsia="方正仿宋_GBK" w:cs="方正仿宋_GBK"/>
          <w:sz w:val="32"/>
          <w:szCs w:val="32"/>
        </w:rPr>
        <w:t>118.55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pacing w:line="594" w:lineRule="exact"/>
        <w:ind w:firstLine="642"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118.55</w:t>
      </w:r>
      <w:r>
        <w:rPr>
          <w:rFonts w:ascii="方正仿宋_GBK" w:hAnsi="方正仿宋_GBK" w:eastAsia="方正仿宋_GBK" w:cs="方正仿宋_GBK"/>
          <w:sz w:val="32"/>
          <w:szCs w:val="32"/>
          <w:shd w:val="clear" w:color="auto" w:fill="FFFFFF"/>
        </w:rPr>
        <w:t>万元，较上年决算数增加118.55万元，增长100.00%，主要原因是本单位为2023年新增决算单位，无上年数。其中：基本支出</w:t>
      </w:r>
      <w:r>
        <w:rPr>
          <w:rFonts w:ascii="方正仿宋_GBK" w:hAnsi="方正仿宋_GBK" w:eastAsia="方正仿宋_GBK" w:cs="方正仿宋_GBK"/>
          <w:sz w:val="32"/>
          <w:szCs w:val="32"/>
        </w:rPr>
        <w:t>118.55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万元，较上年决算数无增减，主要原因是本单位为2023年度新增决算单位，无上年数，收支平衡无结转结余。</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2023年度财政拨款收、支总计118.55万元。与2022年相比，财政拨款收、支总计各增加118.55万元，增长100.00%。主要原因是本单位为2023年新增决算单位，无上年数。</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118.55</w:t>
      </w:r>
      <w:r>
        <w:rPr>
          <w:rFonts w:ascii="方正仿宋_GBK" w:hAnsi="方正仿宋_GBK" w:eastAsia="方正仿宋_GBK" w:cs="方正仿宋_GBK"/>
          <w:sz w:val="32"/>
          <w:szCs w:val="32"/>
          <w:shd w:val="clear" w:color="auto" w:fill="FFFFFF"/>
        </w:rPr>
        <w:t>万元，较上年决算数增加118.55万元，增长100.00%。主要原因是本单位为2023年新增决算单位，无上年数。较年初预算数增加9.18万元，增长8.39%。主要原因是人员职级晋升产生的工资浮动影响。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118.55</w:t>
      </w:r>
      <w:r>
        <w:rPr>
          <w:rFonts w:ascii="方正仿宋_GBK" w:hAnsi="方正仿宋_GBK" w:eastAsia="方正仿宋_GBK" w:cs="方正仿宋_GBK"/>
          <w:sz w:val="32"/>
          <w:szCs w:val="32"/>
          <w:shd w:val="clear" w:color="auto" w:fill="FFFFFF"/>
        </w:rPr>
        <w:t>万元，较上年决算数增加118.55万元，增长100.00%。主要原因是本单位为2023年新增决算单位，无上年数。较年初预算数增加9.18万元，增长8.39%。主要原因是人员职级晋升产生的工资浮动影响</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万元，较上年决算数无增减，主要原因是本单位2023年度新增决算单位，无上年数，收支平衡无结转结余。</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10.52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8.87</w:t>
      </w:r>
      <w:r>
        <w:rPr>
          <w:rFonts w:ascii="方正仿宋_GBK" w:hAnsi="方正仿宋_GBK" w:eastAsia="方正仿宋_GBK" w:cs="方正仿宋_GBK"/>
          <w:sz w:val="32"/>
          <w:szCs w:val="32"/>
          <w:shd w:val="clear" w:color="auto" w:fill="FFFFFF"/>
        </w:rPr>
        <w:t>%，较年初预算数减少0.07万元，下降0.66%，主要原因是年初根据上年产生的工资基数概算本年年初预算数，上年人员晋升产生的工资浮动比2023年大，故预算基数高，2023年支出数为实际正常支出（养老、职业年金）。</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4.08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3.44</w:t>
      </w:r>
      <w:r>
        <w:rPr>
          <w:rFonts w:ascii="方正仿宋_GBK" w:hAnsi="方正仿宋_GBK" w:eastAsia="方正仿宋_GBK" w:cs="方正仿宋_GBK"/>
          <w:sz w:val="32"/>
          <w:szCs w:val="32"/>
          <w:shd w:val="clear" w:color="auto" w:fill="FFFFFF"/>
        </w:rPr>
        <w:t>%，较年初预算数减少0.33万元，下降7.48%，主要原因是年初根据上年产生的工资基数概算本年年初预算数，上年人员晋升产生的工资浮动比2023年大，故预算基数高，2023年支出数为实际正常支出（医疗）。</w:t>
      </w:r>
    </w:p>
    <w:p>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（3）城乡社区支出</w:t>
      </w:r>
      <w:r>
        <w:rPr>
          <w:rFonts w:ascii="方正仿宋_GBK" w:hAnsi="方正仿宋_GBK" w:eastAsia="方正仿宋_GBK" w:cs="方正仿宋_GBK"/>
          <w:sz w:val="32"/>
          <w:szCs w:val="32"/>
        </w:rPr>
        <w:t>98.88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83.41</w:t>
      </w:r>
      <w:r>
        <w:rPr>
          <w:rFonts w:ascii="方正仿宋_GBK" w:hAnsi="方正仿宋_GBK" w:eastAsia="方正仿宋_GBK" w:cs="方正仿宋_GBK"/>
          <w:sz w:val="32"/>
          <w:szCs w:val="32"/>
          <w:shd w:val="clear" w:color="auto" w:fill="FFFFFF"/>
        </w:rPr>
        <w:t>%，较年初预算数增加9.81万元，增长11.01%，主要原因是追加预算用于支2020-2021年事业人员超额绩效精算。</w:t>
      </w:r>
    </w:p>
    <w:p>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（4）住</w:t>
      </w:r>
      <w:r>
        <w:rPr>
          <w:rFonts w:ascii="方正仿宋_GBK" w:hAnsi="方正仿宋_GBK" w:eastAsia="方正仿宋_GBK" w:cs="方正仿宋_GBK"/>
          <w:sz w:val="32"/>
          <w:szCs w:val="32"/>
        </w:rPr>
        <w:t>房保障支出5.08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4.28</w:t>
      </w:r>
      <w:r>
        <w:rPr>
          <w:rFonts w:ascii="方正仿宋_GBK" w:hAnsi="方正仿宋_GBK" w:eastAsia="方正仿宋_GBK" w:cs="方正仿宋_GBK"/>
          <w:sz w:val="32"/>
          <w:szCs w:val="32"/>
          <w:shd w:val="clear" w:color="auto" w:fill="FFFFFF"/>
        </w:rPr>
        <w:t>%，较年初预算数减少0.21万元，下降3.97%，主要原因是年初根据上年产生的工资基数概算本年年初预算数，上年人员晋升产生的工资浮动比2023年大，故预算基数高，2023年支出数为实际正常支出（住房公积金）。</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118.55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106.08</w:t>
      </w:r>
      <w:r>
        <w:rPr>
          <w:rFonts w:ascii="方正仿宋_GBK" w:hAnsi="方正仿宋_GBK" w:eastAsia="方正仿宋_GBK" w:cs="方正仿宋_GBK"/>
          <w:sz w:val="32"/>
          <w:szCs w:val="32"/>
          <w:shd w:val="clear" w:color="auto" w:fill="FFFFFF"/>
        </w:rPr>
        <w:t>万元，较上年决算数增加106.08万元，增长100.00%，本单位为2023年</w:t>
      </w:r>
      <w:r>
        <w:rPr>
          <w:rFonts w:ascii="方正仿宋_GBK" w:hAnsi="方正仿宋_GBK" w:eastAsia="方正仿宋_GBK" w:cs="方正仿宋_GBK"/>
          <w:sz w:val="32"/>
          <w:szCs w:val="32"/>
        </w:rPr>
        <w:t>新增决算单位，无上年数。</w:t>
      </w:r>
      <w:r>
        <w:rPr>
          <w:rFonts w:ascii="方正仿宋_GBK" w:hAnsi="方正仿宋_GBK" w:eastAsia="方正仿宋_GBK" w:cs="方正仿宋_GBK"/>
          <w:sz w:val="32"/>
          <w:szCs w:val="32"/>
          <w:shd w:val="clear" w:color="auto" w:fill="FFFFFF"/>
        </w:rPr>
        <w:t>人员经费用途主要包括基本工资22.93万元、津贴补贴3.95万元、绩效工资57.53万元、机关事业单位基本养老保险缴费7.01万元、职业年金缴费3.51万元、职工基本医疗保险缴费4.08万元、其他社会保障缴费0.12万元、住房公积金5.08万元、医疗费0.86万元、其他工资福利支出1.01万元。公用经费</w:t>
      </w:r>
      <w:r>
        <w:rPr>
          <w:rFonts w:ascii="方正仿宋_GBK" w:hAnsi="方正仿宋_GBK" w:eastAsia="方正仿宋_GBK" w:cs="方正仿宋_GBK"/>
          <w:sz w:val="32"/>
          <w:szCs w:val="32"/>
        </w:rPr>
        <w:t>12.47</w:t>
      </w:r>
      <w:r>
        <w:rPr>
          <w:rFonts w:ascii="方正仿宋_GBK" w:hAnsi="方正仿宋_GBK" w:eastAsia="方正仿宋_GBK" w:cs="方正仿宋_GBK"/>
          <w:sz w:val="32"/>
          <w:szCs w:val="32"/>
          <w:shd w:val="clear" w:color="auto" w:fill="FFFFFF"/>
        </w:rPr>
        <w:t>万元，较上年决算数增加12.47万元，增长100.00%，主要原因是2023</w:t>
      </w:r>
      <w:r>
        <w:rPr>
          <w:rFonts w:ascii="方正仿宋_GBK" w:hAnsi="方正仿宋_GBK" w:eastAsia="方正仿宋_GBK" w:cs="方正仿宋_GBK"/>
          <w:sz w:val="32"/>
          <w:szCs w:val="32"/>
        </w:rPr>
        <w:t>年新增决算单位，无上年数。</w:t>
      </w:r>
      <w:r>
        <w:rPr>
          <w:rFonts w:ascii="方正仿宋_GBK" w:hAnsi="方正仿宋_GBK" w:eastAsia="方正仿宋_GBK" w:cs="方正仿宋_GBK"/>
          <w:sz w:val="32"/>
          <w:szCs w:val="32"/>
          <w:shd w:val="clear" w:color="auto" w:fill="FFFFFF"/>
        </w:rPr>
        <w:t>公用经费用途主要包括办公费0.30万元、水费0.11万元、电费0.48万元、差旅费9.62万元、委托业务费0.75万元、工会经费0.53万元、福利费0.67万元等。</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本单位2023年度无国有资本经营预算财政拨款支出。</w:t>
      </w:r>
    </w:p>
    <w:p>
      <w:pPr>
        <w:pStyle w:val="7"/>
        <w:shd w:val="clear" w:color="auto" w:fill="FFFFFF"/>
        <w:spacing w:before="0" w:beforeAutospacing="0" w:after="0" w:afterAutospacing="0" w:line="594" w:lineRule="exact"/>
        <w:ind w:firstLine="642" w:firstLineChars="200"/>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2023年度本单位因公出国（境）共计0个团组，0人；公务用车购置0辆，公务车保有量为0辆；国内公务接待0批次0人，其中：国内外事接待0批次，0人；国（境）外公务接待0批次，0人。2023年本单位人均接待费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spacing w:before="0" w:beforeAutospacing="0" w:after="0" w:afterAutospacing="0" w:line="594" w:lineRule="exact"/>
        <w:ind w:firstLine="642"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7"/>
        <w:numPr>
          <w:numId w:val="0"/>
        </w:numPr>
        <w:shd w:val="clear" w:color="auto" w:fill="FFFFFF"/>
        <w:spacing w:before="0" w:beforeAutospacing="0" w:after="0" w:afterAutospacing="0" w:line="594" w:lineRule="exact"/>
        <w:ind w:firstLine="642" w:firstLineChars="200"/>
        <w:rPr>
          <w:rStyle w:val="11"/>
          <w:rFonts w:hint="default" w:ascii="黑体" w:hAnsi="黑体" w:eastAsia="黑体" w:cs="黑体"/>
          <w:sz w:val="32"/>
          <w:szCs w:val="32"/>
          <w:shd w:val="clear" w:color="auto" w:fill="FFFFFF"/>
        </w:rPr>
      </w:pPr>
      <w:r>
        <w:rPr>
          <w:rStyle w:val="11"/>
          <w:rFonts w:hint="eastAsia" w:ascii="黑体" w:hAnsi="黑体" w:eastAsia="黑体" w:cs="黑体"/>
          <w:sz w:val="32"/>
          <w:szCs w:val="32"/>
          <w:shd w:val="clear" w:color="auto" w:fill="FFFFFF"/>
          <w:lang w:eastAsia="zh-CN"/>
        </w:rPr>
        <w:t>五、</w:t>
      </w:r>
      <w:r>
        <w:rPr>
          <w:rStyle w:val="11"/>
          <w:rFonts w:ascii="黑体" w:hAnsi="黑体" w:eastAsia="黑体" w:cs="黑体"/>
          <w:sz w:val="32"/>
          <w:szCs w:val="32"/>
          <w:shd w:val="clear" w:color="auto" w:fill="FFFFFF"/>
        </w:rPr>
        <w:t>预算绩效管理情况说明</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我单位2023年无项目支出，无单位项目自评情况。</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2"/>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7"/>
        <w:shd w:val="clear" w:color="auto" w:fill="FFFFFF"/>
        <w:spacing w:before="0" w:beforeAutospacing="0" w:after="0" w:afterAutospacing="0" w:line="594" w:lineRule="exact"/>
        <w:rPr>
          <w:rFonts w:hint="default" w:ascii="方正仿宋_GBK" w:hAnsi="方正仿宋_GBK" w:eastAsia="方正仿宋_GBK" w:cs="方正仿宋_GBK"/>
          <w:sz w:val="32"/>
          <w:szCs w:val="32"/>
        </w:rPr>
      </w:pPr>
      <w:r>
        <w:rPr>
          <w:rStyle w:val="11"/>
          <w:rFonts w:hint="eastAsia" w:ascii="方正仿宋_GBK" w:hAnsi="方正仿宋_GBK" w:eastAsia="方正仿宋_GBK" w:cs="方正仿宋_GBK"/>
          <w:sz w:val="32"/>
          <w:szCs w:val="32"/>
          <w:shd w:val="clear" w:color="auto" w:fill="FFFFFF"/>
          <w:lang w:val="en-US" w:eastAsia="zh-CN"/>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594" w:lineRule="exact"/>
        <w:ind w:firstLine="642" w:firstLineChars="200"/>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七、决算公开联系方式及信息反馈渠道</w:t>
      </w:r>
    </w:p>
    <w:p>
      <w:pPr>
        <w:pStyle w:val="12"/>
        <w:autoSpaceDE w:val="0"/>
        <w:spacing w:line="594" w:lineRule="exact"/>
        <w:ind w:firstLine="640"/>
        <w:rPr>
          <w:rStyle w:val="11"/>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本单位决算公开信息反馈和联系方式：023-74570718</w:t>
      </w: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pP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公开单位：垫江县曹回镇综合行政执法大队</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98.88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118.55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118.55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公开单位：垫江县曹回镇综合行政执法大队</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118.55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118.55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98.88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98.88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98.88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98.88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城管执法</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98.88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98.88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 xml:space="preserve">垫江县曹回镇综合行政执法大队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118.55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118.55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10.52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7.01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98.88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城管执法</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98.88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5.08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垫江县曹回镇综合行政执法大队</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10.52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98.88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98.88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118.55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118.55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垫江县曹回镇综合行政执法大队</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118.55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118.55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10.52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10.52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7.01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7.01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98.88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98.88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98.88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98.88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城管执法</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98.88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98.88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5.08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5.08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5.08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5.08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5.08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垫江县曹回镇综合行政执法大队</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106.08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57.53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9.62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106.08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12.47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垫江县曹回镇综合行政执法大队</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垫江县曹回镇综合行政执法大队</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垫江县曹回镇综合行政执法大队</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2"/>
        <w:autoSpaceDE w:val="0"/>
        <w:ind w:firstLine="0" w:firstLineChars="0"/>
        <w:rPr>
          <w:rFonts w:cs="宋体"/>
          <w:sz w:val="21"/>
          <w:szCs w:val="21"/>
        </w:rPr>
      </w:pPr>
    </w:p>
    <w:bookmarkEnd w:id="0"/>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ascii="宋体" w:hAnsi="宋体" w:eastAsia="宋体"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- 7 -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8240;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4"/>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2C2E47"/>
    <w:rsid w:val="00550ABE"/>
    <w:rsid w:val="007B419D"/>
    <w:rsid w:val="00824E65"/>
    <w:rsid w:val="009B67B8"/>
    <w:rsid w:val="00B03CCD"/>
    <w:rsid w:val="00B4192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912F16"/>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606D9B"/>
    <w:rsid w:val="358C217E"/>
    <w:rsid w:val="36C9128A"/>
    <w:rsid w:val="37841E99"/>
    <w:rsid w:val="37BF1123"/>
    <w:rsid w:val="383C3F15"/>
    <w:rsid w:val="38BE4696"/>
    <w:rsid w:val="3939115E"/>
    <w:rsid w:val="39B82A39"/>
    <w:rsid w:val="39C42CA8"/>
    <w:rsid w:val="39DC4FD6"/>
    <w:rsid w:val="39F03D7A"/>
    <w:rsid w:val="39F33306"/>
    <w:rsid w:val="3A2C1C67"/>
    <w:rsid w:val="3AC14675"/>
    <w:rsid w:val="3ADD7F09"/>
    <w:rsid w:val="3B1705E5"/>
    <w:rsid w:val="3B18334B"/>
    <w:rsid w:val="3B36794F"/>
    <w:rsid w:val="3B6F6EE0"/>
    <w:rsid w:val="3C566AD6"/>
    <w:rsid w:val="3C594871"/>
    <w:rsid w:val="3C6A5B02"/>
    <w:rsid w:val="3D2757A1"/>
    <w:rsid w:val="3D3D4FC4"/>
    <w:rsid w:val="3DDF3AB1"/>
    <w:rsid w:val="3E1C7135"/>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43314E"/>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45802"/>
    <w:rsid w:val="5CF66BF3"/>
    <w:rsid w:val="5D290C69"/>
    <w:rsid w:val="5F28525E"/>
    <w:rsid w:val="5F2D4A41"/>
    <w:rsid w:val="60C74F6C"/>
    <w:rsid w:val="61025A59"/>
    <w:rsid w:val="613D5BBC"/>
    <w:rsid w:val="61536C39"/>
    <w:rsid w:val="62944DD7"/>
    <w:rsid w:val="6319381F"/>
    <w:rsid w:val="63C25DC5"/>
    <w:rsid w:val="63C62057"/>
    <w:rsid w:val="64571EF5"/>
    <w:rsid w:val="64A2510B"/>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944AB7"/>
    <w:rsid w:val="781926BC"/>
    <w:rsid w:val="7951212D"/>
    <w:rsid w:val="796D60A4"/>
    <w:rsid w:val="79A031D5"/>
    <w:rsid w:val="7A1525F7"/>
    <w:rsid w:val="7B420052"/>
    <w:rsid w:val="7BD06A28"/>
    <w:rsid w:val="7C3A7C0B"/>
    <w:rsid w:val="7C5248E4"/>
    <w:rsid w:val="7C566698"/>
    <w:rsid w:val="7C5866A3"/>
    <w:rsid w:val="7D7406BB"/>
    <w:rsid w:val="7DE94331"/>
    <w:rsid w:val="7F446A19"/>
    <w:rsid w:val="7F6F30A2"/>
    <w:rsid w:val="7F7452B9"/>
    <w:rsid w:val="7F8756A0"/>
    <w:rsid w:val="7FDF6E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link w:val="16"/>
    <w:qFormat/>
    <w:uiPriority w:val="0"/>
    <w:pPr>
      <w:spacing w:before="100" w:beforeAutospacing="1" w:after="100" w:afterAutospacing="1"/>
    </w:pPr>
    <w:rPr>
      <w:rFonts w:cs="宋体"/>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7"/>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character" w:customStyle="1" w:styleId="16">
    <w:name w:val="正文文本 字符"/>
    <w:basedOn w:val="10"/>
    <w:link w:val="3"/>
    <w:qFormat/>
    <w:uiPriority w:val="0"/>
    <w:rPr>
      <w:rFonts w:ascii="宋体" w:hAnsi="宋体" w:cs="宋体"/>
      <w:kern w:val="0"/>
      <w:sz w:val="24"/>
    </w:rPr>
  </w:style>
  <w:style w:type="character" w:customStyle="1" w:styleId="17">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1868</Words>
  <Characters>10650</Characters>
  <Lines>88</Lines>
  <Paragraphs>24</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党政办主任</cp:lastModifiedBy>
  <dcterms:modified xsi:type="dcterms:W3CDTF">2024-09-12T12:04:45Z</dcterms:modified>
  <dc:title>垫江县曹回镇综合行政执法大队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