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垫江县曹回镇人民政府</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643" w:firstLineChars="200"/>
        <w:textAlignment w:val="auto"/>
        <w:rPr>
          <w:rFonts w:hint="default" w:ascii="黑体" w:hAnsi="黑体" w:eastAsia="黑体" w:cs="黑体"/>
          <w:sz w:val="32"/>
          <w:szCs w:val="32"/>
        </w:rPr>
      </w:pPr>
      <w:r>
        <w:rPr>
          <w:rStyle w:val="12"/>
          <w:rFonts w:ascii="黑体" w:hAnsi="黑体" w:eastAsia="黑体" w:cs="黑体"/>
          <w:sz w:val="32"/>
          <w:szCs w:val="32"/>
          <w:shd w:val="clear" w:color="auto" w:fill="FFFFFF"/>
        </w:rPr>
        <w:t>一、部门基本情况</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420"/>
        <w:textAlignment w:val="auto"/>
        <w:rPr>
          <w:rStyle w:val="12"/>
          <w:rFonts w:hint="default" w:ascii="楷体" w:hAnsi="楷体" w:eastAsia="楷体" w:cs="楷体"/>
          <w:sz w:val="32"/>
          <w:szCs w:val="32"/>
          <w:shd w:val="clear" w:color="auto" w:fill="FFFFFF"/>
        </w:rPr>
      </w:pPr>
      <w:r>
        <w:rPr>
          <w:rStyle w:val="12"/>
          <w:rFonts w:ascii="楷体" w:hAnsi="楷体" w:eastAsia="楷体" w:cs="楷体"/>
          <w:sz w:val="32"/>
          <w:szCs w:val="32"/>
          <w:shd w:val="clear" w:color="auto" w:fill="FFFFFF"/>
        </w:rPr>
        <w:t>（一）职能职责</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方正仿宋_GBK" w:hAnsi="方正仿宋_GBK" w:eastAsia="方正仿宋_GBK" w:cs="方正仿宋_GBK"/>
          <w:sz w:val="32"/>
          <w:szCs w:val="32"/>
          <w:shd w:val="clear" w:color="auto" w:fill="FFFFFF"/>
        </w:rPr>
      </w:pPr>
      <w:bookmarkStart w:id="0" w:name="OLE_LINK1"/>
      <w:r>
        <w:rPr>
          <w:rFonts w:ascii="方正仿宋_GBK" w:hAnsi="方正仿宋_GBK" w:eastAsia="方正仿宋_GBK" w:cs="方正仿宋_GBK"/>
          <w:sz w:val="32"/>
          <w:szCs w:val="32"/>
          <w:shd w:val="clear" w:color="auto" w:fill="FFFFFF"/>
        </w:rPr>
        <w:t>1.聚焦党的建设、经济发展、民生服务、平安法治等主要职能，形成党建统领、权责清晰、运行顺畅、充满活力的基层治理格局，构建简约高效的基层管理体制。以数字化建设为引领，构建“一中心四板块一网格”基层智治体系，推动机构职能和板块运行有机融合，促进条块协同联动、业务流程再造。</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负责为本辖区内农业、工业、服务业等各类产业发展提供政策咨询、市场信息、技术帮扶等服务，承担产业项目的协调、跟踪、建设等事务性工作，负责组织实施产业发展与乡村振兴战略融合相关工作，负责农村集体经济发展的指导、协调、推动，以及农村集体“三资”监管代理服务工作。负责动植物疫病预防控制和检验检疫工作。</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3.负责宣传习近平新时代中国特色社会主义思想，弘扬社会主义核心价值观。负责宣传、意识形态工作，组织开展文明实践活动，指导培养社会志愿者队伍，组织开展志愿服务活动，提供文化艺术教育与服务等工作。</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仿宋_GB2312" w:hAnsi="方正仿宋_GBK" w:eastAsia="仿宋_GB2312" w:cs="方正仿宋_GBK"/>
          <w:color w:val="000000"/>
          <w:sz w:val="32"/>
          <w:szCs w:val="32"/>
        </w:rPr>
      </w:pPr>
      <w:r>
        <w:rPr>
          <w:rFonts w:ascii="方正仿宋_GBK" w:hAnsi="方正仿宋_GBK" w:eastAsia="方正仿宋_GBK" w:cs="方正仿宋_GBK"/>
          <w:sz w:val="32"/>
          <w:szCs w:val="32"/>
          <w:shd w:val="clear" w:color="auto" w:fill="FFFFFF"/>
        </w:rPr>
        <w:t>4.负责政务服务体系建设工作，承担便民服务平台的建设、管理、维护等工作，推行便民服务标准化，推进政务服务工作体系建设，指导村（社区）便民服务工作，负责窗口人员监督管理和考核工作，具体负责社会保险、医疗保险等经办服务，负责社会救助、就业服务等具体工作，负责退役军人服务工作。</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5.负责规划建设服务工作，负责集镇基础设施、公共设施的建设维护和管理，以及地质灾害治理工程建设工作，负责环境卫生治理工作，负责市政设施、园林绿化等管理具体工作，负责农村房屋建设管理等事务性工作，参与辖区内公共设施、公益事业用地和农村村民住宅用地的规划审核，参与开展土地开发利用、土地征收等工作。</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6.负责集中行使依法授权或委托的农林水利、规划建设、卫生健康、市容环卫、环境保护、文化旅游、民政管理、消防等方面的执法工作，协助、配合有关部门及其派驻机构开展联合执法。</w:t>
      </w:r>
    </w:p>
    <w:bookmarkEnd w:id="0"/>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420"/>
        <w:textAlignment w:val="auto"/>
        <w:rPr>
          <w:rFonts w:hint="default" w:ascii="楷体" w:hAnsi="楷体" w:eastAsia="楷体" w:cs="楷体"/>
          <w:sz w:val="32"/>
          <w:szCs w:val="32"/>
        </w:rPr>
      </w:pPr>
      <w:r>
        <w:rPr>
          <w:rStyle w:val="12"/>
          <w:rFonts w:ascii="楷体" w:hAnsi="楷体" w:eastAsia="楷体" w:cs="楷体"/>
          <w:sz w:val="32"/>
          <w:szCs w:val="32"/>
          <w:shd w:val="clear" w:color="auto" w:fill="FFFFFF"/>
        </w:rPr>
        <w:t>（二）机构设置</w:t>
      </w:r>
    </w:p>
    <w:p>
      <w:pPr>
        <w:pStyle w:val="8"/>
        <w:keepNext w:val="0"/>
        <w:keepLines w:val="0"/>
        <w:pageBreakBefore w:val="0"/>
        <w:widowControl/>
        <w:shd w:val="clear" w:color="060000"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Style w:val="18"/>
          <w:rFonts w:hint="default" w:ascii="方正仿宋_GBK" w:hAnsi="方正仿宋_GBK" w:eastAsia="方正仿宋_GBK" w:cs="方正仿宋_GBK"/>
          <w:color w:val="000000"/>
          <w:sz w:val="32"/>
          <w:szCs w:val="32"/>
        </w:rPr>
      </w:pPr>
      <w:r>
        <w:rPr>
          <w:rFonts w:ascii="方正仿宋_GBK" w:hAnsi="方正仿宋_GBK" w:eastAsia="方正仿宋_GBK" w:cs="方正仿宋_GBK"/>
          <w:sz w:val="32"/>
          <w:szCs w:val="32"/>
          <w:shd w:val="clear" w:color="auto" w:fill="FFFFFF"/>
        </w:rPr>
        <w:t>本部门内设1个行政单位，5个公益一类事业单位。本部门2024年12月在职职工55人。其中：垫江县曹回镇人民政府（本级）25人、垫江县曹回镇农业服务中心14人、垫江县曹回镇文化服务中心4人、垫江县曹回镇劳动就业和社会保障服务所4人、垫江县曹回镇退役军人服务站2人、垫江县曹回镇综合行政执法大队6人。具体</w:t>
      </w:r>
      <w:r>
        <w:rPr>
          <w:rStyle w:val="18"/>
          <w:rFonts w:ascii="方正仿宋_GBK" w:hAnsi="方正仿宋_GBK" w:eastAsia="方正仿宋_GBK" w:cs="方正仿宋_GBK"/>
          <w:color w:val="000000"/>
          <w:sz w:val="32"/>
          <w:szCs w:val="32"/>
        </w:rPr>
        <w:t>机构设置如下：</w:t>
      </w:r>
    </w:p>
    <w:p>
      <w:pPr>
        <w:pStyle w:val="8"/>
        <w:keepNext w:val="0"/>
        <w:keepLines w:val="0"/>
        <w:pageBreakBefore w:val="0"/>
        <w:widowControl/>
        <w:shd w:val="clear" w:color="060000"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kern w:val="2"/>
          <w:sz w:val="32"/>
          <w:szCs w:val="32"/>
          <w:shd w:val="clear" w:color="auto" w:fill="FFFFFF"/>
        </w:rPr>
      </w:pPr>
      <w:r>
        <w:rPr>
          <w:rFonts w:ascii="方正仿宋_GBK" w:hAnsi="方正仿宋_GBK" w:eastAsia="方正仿宋_GBK" w:cs="方正仿宋_GBK"/>
          <w:kern w:val="2"/>
          <w:sz w:val="32"/>
          <w:szCs w:val="32"/>
          <w:shd w:val="clear" w:color="auto" w:fill="FFFFFF"/>
        </w:rPr>
        <w:t>1.基层治理综合指挥室。负责承担基层智治体系运行监测、分析研判，以及业务协同流转、应急指挥协调、统筹督查考核和值班备勤职责，负责一体化治理智治平台的日常管理等工作。牵头推进全面深化改革、巡视巡察整改、数字重庆建设等工作。负责机关文秘、会务、档案、机要、保密、后勤服务等工作。</w:t>
      </w:r>
    </w:p>
    <w:p>
      <w:pPr>
        <w:pStyle w:val="8"/>
        <w:keepNext w:val="0"/>
        <w:keepLines w:val="0"/>
        <w:pageBreakBefore w:val="0"/>
        <w:widowControl/>
        <w:shd w:val="clear" w:color="060000"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kern w:val="2"/>
          <w:sz w:val="32"/>
          <w:szCs w:val="32"/>
          <w:shd w:val="clear" w:color="auto" w:fill="FFFFFF"/>
        </w:rPr>
      </w:pPr>
      <w:r>
        <w:rPr>
          <w:rFonts w:ascii="方正仿宋_GBK" w:hAnsi="方正仿宋_GBK" w:eastAsia="方正仿宋_GBK" w:cs="方正仿宋_GBK"/>
          <w:kern w:val="2"/>
          <w:sz w:val="32"/>
          <w:szCs w:val="32"/>
          <w:shd w:val="clear" w:color="auto" w:fill="FFFFFF"/>
        </w:rPr>
        <w:t>2.党的建设办公室。负责党的政治建设、思想建设、组织建设、作风建设、纪律建设、制度建设和反腐败斗争，以及民主法治、意识形态、统一战线、群众团体等工作。</w:t>
      </w:r>
    </w:p>
    <w:p>
      <w:pPr>
        <w:pStyle w:val="8"/>
        <w:keepNext w:val="0"/>
        <w:keepLines w:val="0"/>
        <w:pageBreakBefore w:val="0"/>
        <w:widowControl/>
        <w:shd w:val="clear" w:color="060000"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kern w:val="2"/>
          <w:sz w:val="32"/>
          <w:szCs w:val="32"/>
          <w:shd w:val="clear" w:color="auto" w:fill="FFFFFF"/>
        </w:rPr>
      </w:pPr>
      <w:r>
        <w:rPr>
          <w:rFonts w:ascii="方正仿宋_GBK" w:hAnsi="方正仿宋_GBK" w:eastAsia="方正仿宋_GBK" w:cs="方正仿宋_GBK"/>
          <w:kern w:val="2"/>
          <w:sz w:val="32"/>
          <w:szCs w:val="32"/>
          <w:shd w:val="clear" w:color="auto" w:fill="FFFFFF"/>
        </w:rPr>
        <w:t>3.经济发展办公室。牵头拟订和组织实施本辖区经济社会发展计划，落实区域发展规划、专项规划、国土空间规划，负责经济发展、规划建设、生态环境、市政环卫、农业农村和乡村振兴、交通运输、商贸物流、财政管理、经济社会统计、科技普及等工作，负责国有资产管理、内部审计工作。</w:t>
      </w:r>
    </w:p>
    <w:p>
      <w:pPr>
        <w:pStyle w:val="8"/>
        <w:keepNext w:val="0"/>
        <w:keepLines w:val="0"/>
        <w:pageBreakBefore w:val="0"/>
        <w:widowControl/>
        <w:shd w:val="clear" w:color="060000"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kern w:val="2"/>
          <w:sz w:val="32"/>
          <w:szCs w:val="32"/>
          <w:shd w:val="clear" w:color="auto" w:fill="FFFFFF"/>
        </w:rPr>
      </w:pPr>
      <w:r>
        <w:rPr>
          <w:rFonts w:ascii="方正仿宋_GBK" w:hAnsi="方正仿宋_GBK" w:eastAsia="方正仿宋_GBK" w:cs="方正仿宋_GBK"/>
          <w:kern w:val="2"/>
          <w:sz w:val="32"/>
          <w:szCs w:val="32"/>
          <w:shd w:val="clear" w:color="auto" w:fill="FFFFFF"/>
        </w:rPr>
        <w:t>4.民生服务办公室。负责民政、教育、文化体育、卫生健康、劳动就业、医疗和社会保障、政务服务等工作，负责推动社会事业发展，落实社会保险、社会救助、社会福利、优抚安置、扶贫济困等社会保障政策，优化基本公共服务资源配置和公共服务设施空间布局。</w:t>
      </w:r>
    </w:p>
    <w:p>
      <w:pPr>
        <w:pStyle w:val="8"/>
        <w:keepNext w:val="0"/>
        <w:keepLines w:val="0"/>
        <w:pageBreakBefore w:val="0"/>
        <w:widowControl/>
        <w:shd w:val="clear" w:color="060000"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kern w:val="2"/>
          <w:sz w:val="32"/>
          <w:szCs w:val="32"/>
          <w:shd w:val="clear" w:color="auto" w:fill="FFFFFF"/>
        </w:rPr>
        <w:t>5.平安法治办公室。负责平安综治、应急管理、安全生产、信访稳定、人民武装、消防管理等工作，推动平安法治和社会治理工作落细落实。</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643" w:firstLineChars="200"/>
        <w:textAlignment w:val="auto"/>
        <w:rPr>
          <w:rStyle w:val="12"/>
          <w:rFonts w:hint="default" w:ascii="黑体" w:hAnsi="黑体" w:eastAsia="黑体" w:cs="黑体"/>
          <w:sz w:val="32"/>
          <w:szCs w:val="32"/>
          <w:shd w:val="clear" w:color="auto" w:fill="FFFFFF"/>
        </w:rPr>
      </w:pPr>
      <w:r>
        <w:rPr>
          <w:rStyle w:val="12"/>
          <w:rFonts w:ascii="黑体" w:hAnsi="黑体" w:eastAsia="黑体" w:cs="黑体"/>
          <w:sz w:val="32"/>
          <w:szCs w:val="32"/>
          <w:shd w:val="clear" w:color="auto" w:fill="FFFFFF"/>
        </w:rPr>
        <w:t>二、部门决算收支情况说明</w:t>
      </w:r>
    </w:p>
    <w:p>
      <w:pPr>
        <w:pStyle w:val="13"/>
        <w:keepNext w:val="0"/>
        <w:keepLines w:val="0"/>
        <w:pageBreakBefore w:val="0"/>
        <w:widowControl/>
        <w:kinsoku/>
        <w:wordWrap/>
        <w:overflowPunct/>
        <w:topLinePunct w:val="0"/>
        <w:autoSpaceDE w:val="0"/>
        <w:autoSpaceDN/>
        <w:bidi w:val="0"/>
        <w:adjustRightInd/>
        <w:snapToGrid/>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keepNext w:val="0"/>
        <w:keepLines w:val="0"/>
        <w:pageBreakBefore w:val="0"/>
        <w:widowControl/>
        <w:kinsoku/>
        <w:wordWrap/>
        <w:overflowPunct/>
        <w:topLinePunct w:val="0"/>
        <w:autoSpaceDE/>
        <w:autoSpaceDN/>
        <w:bidi w:val="0"/>
        <w:adjustRightInd/>
        <w:snapToGrid w:val="0"/>
        <w:spacing w:line="600" w:lineRule="exact"/>
        <w:ind w:firstLine="643" w:firstLineChars="200"/>
        <w:textAlignment w:val="auto"/>
        <w:rPr>
          <w:rFonts w:hint="default" w:ascii="方正仿宋_GBK" w:hAnsi="方正仿宋_GBK" w:eastAsia="方正仿宋_GBK" w:cs="方正仿宋_GBK"/>
          <w:sz w:val="32"/>
          <w:szCs w:val="32"/>
          <w:shd w:val="clear" w:color="auto" w:fill="FFFFFF"/>
        </w:rPr>
      </w:pPr>
      <w:r>
        <w:rPr>
          <w:rStyle w:val="12"/>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2024年度收入总计4930.87万元，支出总计</w:t>
      </w:r>
      <w:r>
        <w:rPr>
          <w:rFonts w:ascii="方正仿宋_GBK" w:hAnsi="方正仿宋_GBK" w:eastAsia="方正仿宋_GBK" w:cs="方正仿宋_GBK"/>
          <w:sz w:val="32"/>
          <w:szCs w:val="32"/>
        </w:rPr>
        <w:t>4930.87</w:t>
      </w:r>
      <w:r>
        <w:rPr>
          <w:rFonts w:ascii="方正仿宋_GBK" w:hAnsi="方正仿宋_GBK" w:eastAsia="方正仿宋_GBK" w:cs="方正仿宋_GBK"/>
          <w:sz w:val="32"/>
          <w:szCs w:val="32"/>
          <w:shd w:val="clear" w:color="auto" w:fill="FFFFFF"/>
        </w:rPr>
        <w:t>万元。收、支与2023年度相比，减少545.33万元，下降9.96%，主要原因是2023年补发公务员以前年度奖金、独生子女一次性抚恤金、村干部工资补发，2024年无该项支出；2024年项目支出减少，资金总额降低。</w:t>
      </w:r>
    </w:p>
    <w:p>
      <w:pPr>
        <w:keepNext w:val="0"/>
        <w:keepLines w:val="0"/>
        <w:pageBreakBefore w:val="0"/>
        <w:widowControl/>
        <w:kinsoku/>
        <w:wordWrap/>
        <w:overflowPunct/>
        <w:topLinePunct w:val="0"/>
        <w:autoSpaceDE/>
        <w:autoSpaceDN/>
        <w:bidi w:val="0"/>
        <w:adjustRightInd/>
        <w:snapToGrid w:val="0"/>
        <w:spacing w:line="600" w:lineRule="exact"/>
        <w:ind w:firstLine="643" w:firstLineChars="200"/>
        <w:textAlignment w:val="auto"/>
        <w:rPr>
          <w:rFonts w:hint="default" w:ascii="方正仿宋_GBK" w:hAnsi="方正仿宋_GBK" w:eastAsia="方正仿宋_GBK" w:cs="方正仿宋_GBK"/>
          <w:sz w:val="32"/>
          <w:szCs w:val="32"/>
          <w:shd w:val="clear" w:color="auto" w:fill="FFFFFF"/>
        </w:rPr>
      </w:pPr>
      <w:r>
        <w:rPr>
          <w:rStyle w:val="12"/>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4755.64万元，与2023年度相比，减少603.44万元，下降11.26%，主要原因是2023年补发公务员以前年度奖金、独生子女一次性抚恤金、村干部工资补发，2024年无该项支出；2024年项目支出减少，项目资金总额降低。其中：财政拨款收入</w:t>
      </w:r>
      <w:r>
        <w:rPr>
          <w:rFonts w:ascii="方正仿宋_GBK" w:hAnsi="方正仿宋_GBK" w:eastAsia="方正仿宋_GBK" w:cs="方正仿宋_GBK"/>
          <w:sz w:val="32"/>
          <w:szCs w:val="32"/>
        </w:rPr>
        <w:t>4755.64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175.23</w:t>
      </w:r>
      <w:r>
        <w:rPr>
          <w:rFonts w:ascii="方正仿宋_GBK" w:hAnsi="方正仿宋_GBK" w:eastAsia="方正仿宋_GBK" w:cs="方正仿宋_GBK"/>
          <w:sz w:val="32"/>
          <w:szCs w:val="32"/>
          <w:shd w:val="clear" w:color="auto" w:fill="FFFFFF"/>
        </w:rPr>
        <w:t>万元（存量资金安排项目支出，其中：水土保持146.62万元，渝馨家园20.00万元，充电桩建设7.61万元）。</w:t>
      </w:r>
    </w:p>
    <w:p>
      <w:pPr>
        <w:keepNext w:val="0"/>
        <w:keepLines w:val="0"/>
        <w:pageBreakBefore w:val="0"/>
        <w:widowControl/>
        <w:kinsoku/>
        <w:wordWrap/>
        <w:overflowPunct/>
        <w:topLinePunct w:val="0"/>
        <w:autoSpaceDE/>
        <w:autoSpaceDN/>
        <w:bidi w:val="0"/>
        <w:adjustRightInd/>
        <w:snapToGrid w:val="0"/>
        <w:spacing w:line="600" w:lineRule="exact"/>
        <w:ind w:firstLine="643" w:firstLineChars="200"/>
        <w:textAlignment w:val="auto"/>
        <w:rPr>
          <w:rFonts w:hint="default" w:ascii="方正仿宋_GBK" w:hAnsi="方正仿宋_GBK" w:eastAsia="方正仿宋_GBK" w:cs="方正仿宋_GBK"/>
          <w:sz w:val="32"/>
          <w:szCs w:val="32"/>
          <w:shd w:val="clear" w:color="auto" w:fill="FFFFFF"/>
        </w:rPr>
      </w:pPr>
      <w:r>
        <w:rPr>
          <w:rStyle w:val="12"/>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4929.87</w:t>
      </w:r>
      <w:r>
        <w:rPr>
          <w:rFonts w:ascii="方正仿宋_GBK" w:hAnsi="方正仿宋_GBK" w:eastAsia="方正仿宋_GBK" w:cs="方正仿宋_GBK"/>
          <w:sz w:val="32"/>
          <w:szCs w:val="32"/>
          <w:shd w:val="clear" w:color="auto" w:fill="FFFFFF"/>
        </w:rPr>
        <w:t>万元，与2023年度相比，减少438.96万元，下降8.18%，主要原因是2023年补发公务员以前年度奖金、独生子女一次性抚恤金、村干部工资补发，2024年无该项支出；2024年项目支出减少，项目资金总额降低。其中：基本支出</w:t>
      </w:r>
      <w:r>
        <w:rPr>
          <w:rFonts w:ascii="方正仿宋_GBK" w:hAnsi="方正仿宋_GBK" w:eastAsia="方正仿宋_GBK" w:cs="方正仿宋_GBK"/>
          <w:sz w:val="32"/>
          <w:szCs w:val="32"/>
        </w:rPr>
        <w:t>1997.76</w:t>
      </w:r>
      <w:r>
        <w:rPr>
          <w:rFonts w:ascii="方正仿宋_GBK" w:hAnsi="方正仿宋_GBK" w:eastAsia="方正仿宋_GBK" w:cs="方正仿宋_GBK"/>
          <w:sz w:val="32"/>
          <w:szCs w:val="32"/>
          <w:shd w:val="clear" w:color="auto" w:fill="FFFFFF"/>
        </w:rPr>
        <w:t>万元，占40.52%；项目支出</w:t>
      </w:r>
      <w:r>
        <w:rPr>
          <w:rFonts w:ascii="方正仿宋_GBK" w:hAnsi="方正仿宋_GBK" w:eastAsia="方正仿宋_GBK" w:cs="方正仿宋_GBK"/>
          <w:sz w:val="32"/>
          <w:szCs w:val="32"/>
        </w:rPr>
        <w:t>2932.11</w:t>
      </w:r>
      <w:r>
        <w:rPr>
          <w:rFonts w:ascii="方正仿宋_GBK" w:hAnsi="方正仿宋_GBK" w:eastAsia="方正仿宋_GBK" w:cs="方正仿宋_GBK"/>
          <w:sz w:val="32"/>
          <w:szCs w:val="32"/>
          <w:shd w:val="clear" w:color="auto" w:fill="FFFFFF"/>
        </w:rPr>
        <w:t>万元，占59.48%；经营支出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3" w:firstLineChars="200"/>
        <w:jc w:val="both"/>
        <w:textAlignment w:val="auto"/>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1.00</w:t>
      </w:r>
      <w:r>
        <w:rPr>
          <w:rFonts w:ascii="方正仿宋_GBK" w:hAnsi="方正仿宋_GBK" w:eastAsia="方正仿宋_GBK" w:cs="方正仿宋_GBK"/>
          <w:sz w:val="32"/>
          <w:szCs w:val="32"/>
          <w:shd w:val="clear" w:color="auto" w:fill="FFFFFF"/>
        </w:rPr>
        <w:t>万元，与2023年度相比，减少106.37万元，下降99.07%，主要原因是2024年度清理以前年度存量资金。</w:t>
      </w:r>
    </w:p>
    <w:p>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4930.87万元。与2023年相比，财政拨款收、支总计各减少545.33万元，下降9.96%。主要原因是2023年补发公务员以前年度奖金、独生子女一次性抚恤金、村干部工资补发，2024年无该项支出；2024年项目支出减少，项目资金总额降低。</w:t>
      </w:r>
    </w:p>
    <w:p>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3" w:firstLineChars="200"/>
        <w:jc w:val="both"/>
        <w:textAlignment w:val="auto"/>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4518.19</w:t>
      </w:r>
      <w:r>
        <w:rPr>
          <w:rFonts w:ascii="方正仿宋_GBK" w:hAnsi="方正仿宋_GBK" w:eastAsia="方正仿宋_GBK" w:cs="方正仿宋_GBK"/>
          <w:sz w:val="32"/>
          <w:szCs w:val="32"/>
          <w:shd w:val="clear" w:color="auto" w:fill="FFFFFF"/>
        </w:rPr>
        <w:t>万元，与2023年度相比，减少840.24万元，下降15.68%。主要原因是2023年补发公务员以前年度奖金、独生子女一次性抚恤金、村干部工资补发，2024年无该项支出；2024年项目支出减少，项目资金总额降低。较年初预算数增加508.27万元，增长12.68%。主要原因是年中追加项目资金（乡镇（街道）耕地补足、撂荒地复耕复种补助资金、少数民族发展资金、土地征收补偿费、中央林业改革发展资金--造林补助、提前下达2023年车辆购置税收入补助地方资金等、水土保持项目资金等）。此外，年初财政拨款结转和结余</w:t>
      </w:r>
      <w:r>
        <w:rPr>
          <w:rFonts w:ascii="方正仿宋_GBK" w:hAnsi="方正仿宋_GBK" w:eastAsia="方正仿宋_GBK" w:cs="方正仿宋_GBK"/>
          <w:sz w:val="32"/>
          <w:szCs w:val="32"/>
        </w:rPr>
        <w:t>175.23</w:t>
      </w:r>
      <w:r>
        <w:rPr>
          <w:rFonts w:ascii="方正仿宋_GBK" w:hAnsi="方正仿宋_GBK" w:eastAsia="方正仿宋_GBK" w:cs="方正仿宋_GBK"/>
          <w:sz w:val="32"/>
          <w:szCs w:val="32"/>
          <w:shd w:val="clear" w:color="auto" w:fill="FFFFFF"/>
        </w:rPr>
        <w:t>万元。</w:t>
      </w:r>
    </w:p>
    <w:p>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3" w:firstLineChars="200"/>
        <w:jc w:val="both"/>
        <w:textAlignment w:val="auto"/>
        <w:rPr>
          <w:rFonts w:hint="default" w:ascii="方正仿宋_GBK" w:hAnsi="方正仿宋_GBK" w:eastAsia="方正仿宋_GBK" w:cs="方正仿宋_GBK"/>
          <w:sz w:val="32"/>
          <w:szCs w:val="32"/>
          <w:shd w:val="clear" w:color="auto" w:fill="FFFFFF"/>
        </w:rPr>
      </w:pPr>
      <w:r>
        <w:rPr>
          <w:rStyle w:val="12"/>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4692.43</w:t>
      </w:r>
      <w:r>
        <w:rPr>
          <w:rFonts w:ascii="方正仿宋_GBK" w:hAnsi="方正仿宋_GBK" w:eastAsia="方正仿宋_GBK" w:cs="方正仿宋_GBK"/>
          <w:sz w:val="32"/>
          <w:szCs w:val="32"/>
          <w:shd w:val="clear" w:color="auto" w:fill="FFFFFF"/>
        </w:rPr>
        <w:t>万元，与2023年度相比，减少675.75万元，下降12.59%。主要原因是2023年补发公务员以前年度奖金、独生子女一次性抚恤金、村干部工资补发，2024年无该项支出；2024年项目支出减少，项目资金总额降低。较年初预算数增加682.51万元，增长17.02%。主要原因是年中追加项目资金（乡镇（街道）耕地补足、撂荒地复耕复种补助资金、少数民族发展资金、土地征收补偿费、中央林业改革发展资金--造林补助、提前下达2023年车辆购置税收入补助地方资金等、水土保持项目资金等）。</w:t>
      </w:r>
    </w:p>
    <w:p>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3" w:firstLineChars="200"/>
        <w:jc w:val="both"/>
        <w:textAlignment w:val="auto"/>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1.00</w:t>
      </w:r>
      <w:r>
        <w:rPr>
          <w:rFonts w:ascii="方正仿宋_GBK" w:hAnsi="方正仿宋_GBK" w:eastAsia="方正仿宋_GBK" w:cs="方正仿宋_GBK"/>
          <w:sz w:val="32"/>
          <w:szCs w:val="32"/>
          <w:shd w:val="clear" w:color="auto" w:fill="FFFFFF"/>
        </w:rPr>
        <w:t>万元，与2023年度相比，减少101.76万元，下降99.03%，主要原因是2024年度清理以前年度存量资金。</w:t>
      </w:r>
    </w:p>
    <w:p>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3" w:firstLineChars="200"/>
        <w:jc w:val="both"/>
        <w:textAlignment w:val="auto"/>
        <w:rPr>
          <w:rFonts w:hint="default" w:ascii="方正仿宋_GBK" w:hAnsi="方正仿宋_GBK" w:eastAsia="方正仿宋_GBK" w:cs="方正仿宋_GBK"/>
          <w:color w:val="FF0000"/>
          <w:sz w:val="32"/>
          <w:szCs w:val="32"/>
          <w:shd w:val="clear" w:color="auto" w:fill="FFFFFF"/>
        </w:rPr>
      </w:pPr>
      <w:r>
        <w:rPr>
          <w:rStyle w:val="12"/>
          <w:rFonts w:ascii="方正仿宋_GBK" w:hAnsi="方正仿宋_GBK" w:eastAsia="方正仿宋_GBK" w:cs="方正仿宋_GBK"/>
          <w:sz w:val="32"/>
          <w:szCs w:val="32"/>
          <w:shd w:val="clear" w:color="auto" w:fill="FFFFFF"/>
        </w:rPr>
        <w:t>4.比较情况。</w:t>
      </w:r>
      <w:r>
        <w:rPr>
          <w:rFonts w:ascii="方正仿宋_GBK" w:hAnsi="方正仿宋_GBK" w:eastAsia="方正仿宋_GBK" w:cs="方正仿宋_GBK"/>
          <w:sz w:val="32"/>
          <w:szCs w:val="32"/>
          <w:shd w:val="clear" w:color="auto" w:fill="FFFFFF"/>
        </w:rPr>
        <w:t>本部门2024年度一般公共预算财政拨款支出主要用于以下几个方面：</w:t>
      </w:r>
    </w:p>
    <w:p>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890.67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18.98</w:t>
      </w:r>
      <w:r>
        <w:rPr>
          <w:rFonts w:ascii="方正仿宋_GBK" w:hAnsi="方正仿宋_GBK" w:eastAsia="方正仿宋_GBK" w:cs="方正仿宋_GBK"/>
          <w:sz w:val="32"/>
          <w:szCs w:val="32"/>
          <w:shd w:val="clear" w:color="auto" w:fill="FFFFFF"/>
        </w:rPr>
        <w:t>%，较年初预算数减少1126.81万元，下降55.85%，主要原因是主要原因是年初预算时将上年结余的项目资金，统一列入乡镇运转经费：一般公共服务支出中，而实际开支时按照项目需求进行调整。</w:t>
      </w:r>
    </w:p>
    <w:p>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（2）公共安全支出</w:t>
      </w:r>
      <w:r>
        <w:rPr>
          <w:rFonts w:ascii="方正仿宋_GBK" w:hAnsi="方正仿宋_GBK" w:eastAsia="方正仿宋_GBK" w:cs="方正仿宋_GBK"/>
          <w:sz w:val="32"/>
          <w:szCs w:val="32"/>
        </w:rPr>
        <w:t>10.48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0.22</w:t>
      </w:r>
      <w:r>
        <w:rPr>
          <w:rFonts w:ascii="方正仿宋_GBK" w:hAnsi="方正仿宋_GBK" w:eastAsia="方正仿宋_GBK" w:cs="方正仿宋_GBK"/>
          <w:sz w:val="32"/>
          <w:szCs w:val="32"/>
          <w:shd w:val="clear" w:color="auto" w:fill="FFFFFF"/>
        </w:rPr>
        <w:t>%，较年初预算数增加8.88万元，增长555.00%，主要原因是是追加项目资金平安建设专项经费。</w:t>
      </w:r>
    </w:p>
    <w:p>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（3）文化旅游体育与传媒支出</w:t>
      </w:r>
      <w:r>
        <w:rPr>
          <w:rFonts w:ascii="方正仿宋_GBK" w:hAnsi="方正仿宋_GBK" w:eastAsia="方正仿宋_GBK" w:cs="方正仿宋_GBK"/>
          <w:sz w:val="32"/>
          <w:szCs w:val="32"/>
        </w:rPr>
        <w:t>74.99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1.60</w:t>
      </w:r>
      <w:r>
        <w:rPr>
          <w:rFonts w:ascii="方正仿宋_GBK" w:hAnsi="方正仿宋_GBK" w:eastAsia="方正仿宋_GBK" w:cs="方正仿宋_GBK"/>
          <w:sz w:val="32"/>
          <w:szCs w:val="32"/>
          <w:shd w:val="clear" w:color="auto" w:fill="FFFFFF"/>
        </w:rPr>
        <w:t>%，较年初预算数增加5.09万元，增长7.28%，主要原因是追加公共图书馆、美术馆、文化馆（站）免费开发补助资金。</w:t>
      </w:r>
    </w:p>
    <w:p>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（4）社会保障与就业支出</w:t>
      </w:r>
      <w:r>
        <w:rPr>
          <w:rFonts w:ascii="方正仿宋_GBK" w:hAnsi="方正仿宋_GBK" w:eastAsia="方正仿宋_GBK" w:cs="方正仿宋_GBK"/>
          <w:sz w:val="32"/>
          <w:szCs w:val="32"/>
        </w:rPr>
        <w:t>445.75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9.50</w:t>
      </w:r>
      <w:r>
        <w:rPr>
          <w:rFonts w:ascii="方正仿宋_GBK" w:hAnsi="方正仿宋_GBK" w:eastAsia="方正仿宋_GBK" w:cs="方正仿宋_GBK"/>
          <w:sz w:val="32"/>
          <w:szCs w:val="32"/>
          <w:shd w:val="clear" w:color="auto" w:fill="FFFFFF"/>
        </w:rPr>
        <w:t>%，较年初预算数增加123.29万元，增长38.23%，主要原因是追加项目资金（重庆市高校毕业生“三支一扶”补助资金、退役军人补助资金资金、退休“中人”一次性补贴资金、残疾人事业发展、困难群众救助补助资金、残疾人联络经费、民政专项资金等）。</w:t>
      </w:r>
    </w:p>
    <w:p>
      <w:pPr>
        <w:keepNext w:val="0"/>
        <w:keepLines w:val="0"/>
        <w:pageBreakBefore w:val="0"/>
        <w:widowControl/>
        <w:kinsoku/>
        <w:wordWrap/>
        <w:overflowPunct/>
        <w:topLinePunct w:val="0"/>
        <w:autoSpaceDE/>
        <w:autoSpaceDN/>
        <w:bidi w:val="0"/>
        <w:adjustRightInd/>
        <w:spacing w:line="600" w:lineRule="exact"/>
        <w:ind w:firstLine="640" w:firstLineChars="200"/>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（5）卫生健康支出</w:t>
      </w:r>
      <w:r>
        <w:rPr>
          <w:rFonts w:ascii="方正仿宋_GBK" w:hAnsi="方正仿宋_GBK" w:eastAsia="方正仿宋_GBK" w:cs="方正仿宋_GBK"/>
          <w:sz w:val="32"/>
          <w:szCs w:val="32"/>
        </w:rPr>
        <w:t>62.72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1.34</w:t>
      </w:r>
      <w:r>
        <w:rPr>
          <w:rFonts w:ascii="方正仿宋_GBK" w:hAnsi="方正仿宋_GBK" w:eastAsia="方正仿宋_GBK" w:cs="方正仿宋_GBK"/>
          <w:sz w:val="32"/>
          <w:szCs w:val="32"/>
          <w:shd w:val="clear" w:color="auto" w:fill="FFFFFF"/>
        </w:rPr>
        <w:t>%，较年初预算数增加0.77万元，增长1.24%，主要原因是追加项目资金（居民医保参保工作经费、优抚对象补助（直达资金）、计划生育特殊家庭节日走访慰问资金），2024年7月机构改革后各站所室内人员发生变动，工资基数变化。</w:t>
      </w:r>
    </w:p>
    <w:p>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（6）城乡社区支出</w:t>
      </w:r>
      <w:r>
        <w:rPr>
          <w:rFonts w:ascii="方正仿宋_GBK" w:hAnsi="方正仿宋_GBK" w:eastAsia="方正仿宋_GBK" w:cs="方正仿宋_GBK"/>
          <w:sz w:val="32"/>
          <w:szCs w:val="32"/>
        </w:rPr>
        <w:t>129.84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2.77</w:t>
      </w:r>
      <w:r>
        <w:rPr>
          <w:rFonts w:ascii="方正仿宋_GBK" w:hAnsi="方正仿宋_GBK" w:eastAsia="方正仿宋_GBK" w:cs="方正仿宋_GBK"/>
          <w:sz w:val="32"/>
          <w:szCs w:val="32"/>
          <w:shd w:val="clear" w:color="auto" w:fill="FFFFFF"/>
        </w:rPr>
        <w:t>%，较年初预算数减少22.09万元，下降14.54%，主要原因2024年本部门无城镇基础设施建设，年初预算资金未使用。</w:t>
      </w:r>
    </w:p>
    <w:p>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（7）农林水支出</w:t>
      </w:r>
      <w:r>
        <w:rPr>
          <w:rFonts w:ascii="方正仿宋_GBK" w:hAnsi="方正仿宋_GBK" w:eastAsia="方正仿宋_GBK" w:cs="方正仿宋_GBK"/>
          <w:sz w:val="32"/>
          <w:szCs w:val="32"/>
        </w:rPr>
        <w:t>1057.83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22.54</w:t>
      </w:r>
      <w:r>
        <w:rPr>
          <w:rFonts w:ascii="方正仿宋_GBK" w:hAnsi="方正仿宋_GBK" w:eastAsia="方正仿宋_GBK" w:cs="方正仿宋_GBK"/>
          <w:sz w:val="32"/>
          <w:szCs w:val="32"/>
          <w:shd w:val="clear" w:color="auto" w:fill="FFFFFF"/>
        </w:rPr>
        <w:t>%，较年初预算数增加302.96万元，增长40.13%，主要原因是追加项目资金（少数民族发展资金、农村综合改革转移支付资金、中央水利救灾资金（防汛）、村社区办公经费、产粮大县奖励资金、市财政衔接推进乡村振兴补助资金（农村环境卫生治理）、离任村干部生活补贴、中央林业改革发展资金--造林补助、农村“厕所革命”补助、林业局森林防火经费、服务群众专项、农业防灾减灾资金、水土保持工程建设等）。</w:t>
      </w:r>
    </w:p>
    <w:p>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（8）交通运输支出</w:t>
      </w:r>
      <w:r>
        <w:rPr>
          <w:rFonts w:ascii="方正仿宋_GBK" w:hAnsi="方正仿宋_GBK" w:eastAsia="方正仿宋_GBK" w:cs="方正仿宋_GBK"/>
          <w:sz w:val="32"/>
          <w:szCs w:val="32"/>
        </w:rPr>
        <w:t>127.63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2.72</w:t>
      </w:r>
      <w:r>
        <w:rPr>
          <w:rFonts w:ascii="方正仿宋_GBK" w:hAnsi="方正仿宋_GBK" w:eastAsia="方正仿宋_GBK" w:cs="方正仿宋_GBK"/>
          <w:sz w:val="32"/>
          <w:szCs w:val="32"/>
          <w:shd w:val="clear" w:color="auto" w:fill="FFFFFF"/>
        </w:rPr>
        <w:t>%，较年初预算数增加80.00万元，增长167.96%，主要原因是追加项目资金（农村公路日常养护补助、提前下达2023年车辆购置税收入补助地方资金、车辆购置税补助地方收入）。</w:t>
      </w:r>
    </w:p>
    <w:p>
      <w:pPr>
        <w:pStyle w:val="14"/>
        <w:keepNext w:val="0"/>
        <w:keepLines w:val="0"/>
        <w:pageBreakBefore w:val="0"/>
        <w:widowControl/>
        <w:kinsoku/>
        <w:wordWrap/>
        <w:overflowPunct/>
        <w:topLinePunct w:val="0"/>
        <w:autoSpaceDE/>
        <w:autoSpaceDN/>
        <w:bidi w:val="0"/>
        <w:adjustRightInd/>
        <w:spacing w:before="0" w:beforeAutospacing="0" w:after="0" w:afterAutospacing="0" w:line="600" w:lineRule="exact"/>
        <w:ind w:firstLine="640" w:firstLineChars="200"/>
        <w:jc w:val="both"/>
        <w:textAlignment w:val="auto"/>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rPr>
        <w:t>9</w:t>
      </w:r>
      <w:r>
        <w:rPr>
          <w:rFonts w:ascii="方正仿宋_GBK" w:hAnsi="方正仿宋_GBK" w:eastAsia="方正仿宋_GBK" w:cs="方正仿宋_GBK"/>
          <w:sz w:val="32"/>
          <w:szCs w:val="32"/>
          <w:shd w:val="clear" w:color="auto" w:fill="FFFFFF"/>
        </w:rPr>
        <w:t>）资源勘探信息等支出</w:t>
      </w:r>
      <w:r>
        <w:rPr>
          <w:rFonts w:ascii="方正仿宋_GBK" w:hAnsi="方正仿宋_GBK" w:eastAsia="方正仿宋_GBK" w:cs="方正仿宋_GBK"/>
          <w:sz w:val="32"/>
          <w:szCs w:val="32"/>
        </w:rPr>
        <w:t>1734.20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36.96</w:t>
      </w:r>
      <w:r>
        <w:rPr>
          <w:rFonts w:ascii="方正仿宋_GBK" w:hAnsi="方正仿宋_GBK" w:eastAsia="方正仿宋_GBK" w:cs="方正仿宋_GBK"/>
          <w:sz w:val="32"/>
          <w:szCs w:val="32"/>
          <w:shd w:val="clear" w:color="auto" w:fill="FFFFFF"/>
        </w:rPr>
        <w:t>%，较年初预算数增加1232.15万元，增长245.42%，主要原因是</w:t>
      </w:r>
      <w:r>
        <w:rPr>
          <w:rFonts w:hint="eastAsia" w:ascii="方正仿宋_GBK" w:hAnsi="方正仿宋_GBK" w:eastAsia="方正仿宋_GBK" w:cs="方正仿宋_GBK"/>
          <w:sz w:val="32"/>
          <w:szCs w:val="32"/>
          <w:shd w:val="clear" w:color="auto" w:fill="FFFFFF"/>
        </w:rPr>
        <w:t>增加对中小企业发展扶持的费用补贴。</w:t>
      </w:r>
    </w:p>
    <w:p>
      <w:pPr>
        <w:pStyle w:val="14"/>
        <w:keepNext w:val="0"/>
        <w:keepLines w:val="0"/>
        <w:pageBreakBefore w:val="0"/>
        <w:widowControl/>
        <w:kinsoku/>
        <w:wordWrap/>
        <w:overflowPunct/>
        <w:topLinePunct w:val="0"/>
        <w:autoSpaceDE/>
        <w:autoSpaceDN/>
        <w:bidi w:val="0"/>
        <w:adjustRightInd/>
        <w:spacing w:before="0" w:beforeAutospacing="0" w:after="0" w:afterAutospacing="0" w:line="600" w:lineRule="exact"/>
        <w:ind w:firstLine="640" w:firstLineChars="200"/>
        <w:jc w:val="both"/>
        <w:textAlignment w:val="auto"/>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w:t>
      </w:r>
      <w:r>
        <w:rPr>
          <w:rFonts w:hint="eastAsia" w:ascii="方正仿宋_GBK" w:hAnsi="方正仿宋_GBK"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）商业服务业等支出</w:t>
      </w:r>
      <w:r>
        <w:rPr>
          <w:rFonts w:ascii="方正仿宋_GBK" w:hAnsi="方正仿宋_GBK" w:eastAsia="方正仿宋_GBK" w:cs="方正仿宋_GBK"/>
          <w:sz w:val="32"/>
          <w:szCs w:val="32"/>
        </w:rPr>
        <w:t>6.78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0.14</w:t>
      </w:r>
      <w:r>
        <w:rPr>
          <w:rFonts w:ascii="方正仿宋_GBK" w:hAnsi="方正仿宋_GBK" w:eastAsia="方正仿宋_GBK" w:cs="方正仿宋_GBK"/>
          <w:sz w:val="32"/>
          <w:szCs w:val="32"/>
          <w:shd w:val="clear" w:color="auto" w:fill="FFFFFF"/>
        </w:rPr>
        <w:t>%，较年初预算数增加6.78万元，增长100.00%，主要原因是</w:t>
      </w:r>
      <w:r>
        <w:rPr>
          <w:rFonts w:hint="eastAsia" w:ascii="方正仿宋_GBK" w:hAnsi="方正仿宋_GBK" w:eastAsia="方正仿宋_GBK" w:cs="方正仿宋_GBK"/>
          <w:sz w:val="32"/>
          <w:szCs w:val="32"/>
          <w:shd w:val="clear" w:color="auto" w:fill="FFFFFF"/>
        </w:rPr>
        <w:t>追加限上企业（个体）发展奖励资金。</w:t>
      </w:r>
    </w:p>
    <w:p>
      <w:pPr>
        <w:pStyle w:val="8"/>
        <w:keepNext w:val="0"/>
        <w:keepLines w:val="0"/>
        <w:pageBreakBefore w:val="0"/>
        <w:widowControl/>
        <w:shd w:val="clear" w:color="auto" w:fill="FFFFFF"/>
        <w:kinsoku/>
        <w:wordWrap/>
        <w:overflowPunct/>
        <w:topLinePunct w:val="0"/>
        <w:autoSpaceDE/>
        <w:autoSpaceDN/>
        <w:bidi w:val="0"/>
        <w:adjustRightInd/>
        <w:spacing w:before="0" w:beforeAutospacing="0" w:after="0" w:afterAutospacing="0" w:line="600" w:lineRule="exact"/>
        <w:ind w:firstLine="640" w:firstLineChars="200"/>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（11）</w:t>
      </w:r>
      <w:r>
        <w:rPr>
          <w:rFonts w:ascii="方正仿宋_GBK" w:hAnsi="方正仿宋_GBK" w:eastAsia="方正仿宋_GBK" w:cs="方正仿宋_GBK"/>
          <w:sz w:val="32"/>
          <w:szCs w:val="32"/>
        </w:rPr>
        <w:t>自然资源海洋气象等支出17.99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0.38</w:t>
      </w:r>
      <w:r>
        <w:rPr>
          <w:rFonts w:ascii="方正仿宋_GBK" w:hAnsi="方正仿宋_GBK" w:eastAsia="方正仿宋_GBK" w:cs="方正仿宋_GBK"/>
          <w:sz w:val="32"/>
          <w:szCs w:val="32"/>
          <w:shd w:val="clear" w:color="auto" w:fill="FFFFFF"/>
        </w:rPr>
        <w:t>%，较年初预算数增加17.99万元，增长100.00%，主要原因是增加市级耕地保护奖补资金。</w:t>
      </w:r>
    </w:p>
    <w:p>
      <w:pPr>
        <w:pStyle w:val="14"/>
        <w:keepNext w:val="0"/>
        <w:keepLines w:val="0"/>
        <w:pageBreakBefore w:val="0"/>
        <w:widowControl/>
        <w:kinsoku/>
        <w:wordWrap/>
        <w:overflowPunct/>
        <w:topLinePunct w:val="0"/>
        <w:autoSpaceDE/>
        <w:autoSpaceDN/>
        <w:bidi w:val="0"/>
        <w:adjustRightInd/>
        <w:spacing w:before="0" w:beforeAutospacing="0" w:after="0" w:afterAutospacing="0" w:line="600" w:lineRule="exact"/>
        <w:ind w:firstLine="640" w:firstLineChars="200"/>
        <w:jc w:val="both"/>
        <w:textAlignment w:val="auto"/>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（1</w:t>
      </w:r>
      <w:r>
        <w:rPr>
          <w:rFonts w:hint="eastAsia" w:ascii="方正仿宋_GBK" w:hAnsi="方正仿宋_GBK" w:eastAsia="方正仿宋_GBK" w:cs="方正仿宋_GBK"/>
          <w:sz w:val="32"/>
          <w:szCs w:val="32"/>
          <w:shd w:val="clear" w:color="auto" w:fill="FFFFFF"/>
        </w:rPr>
        <w:t>2</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住房保障支出99.78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2.13</w:t>
      </w:r>
      <w:r>
        <w:rPr>
          <w:rFonts w:ascii="方正仿宋_GBK" w:hAnsi="方正仿宋_GBK" w:eastAsia="方正仿宋_GBK" w:cs="方正仿宋_GBK"/>
          <w:sz w:val="32"/>
          <w:szCs w:val="32"/>
          <w:shd w:val="clear" w:color="auto" w:fill="FFFFFF"/>
        </w:rPr>
        <w:t>%，较年初预算数增加20.76万元，增长26.27%，主要原因是追加农村低收入群体等重点对象危房改造资金</w:t>
      </w:r>
      <w:r>
        <w:rPr>
          <w:rFonts w:hint="eastAsia" w:ascii="方正仿宋_GBK" w:hAnsi="方正仿宋_GBK" w:eastAsia="方正仿宋_GBK" w:cs="方正仿宋_GBK"/>
          <w:sz w:val="32"/>
          <w:szCs w:val="32"/>
          <w:shd w:val="clear" w:color="auto" w:fill="FFFFFF"/>
        </w:rPr>
        <w:t>，2024年7月机构改革后各站所室内人员发生变动，工资基数变化</w:t>
      </w:r>
      <w:r>
        <w:rPr>
          <w:rFonts w:ascii="方正仿宋_GBK" w:hAnsi="方正仿宋_GBK" w:eastAsia="方正仿宋_GBK" w:cs="方正仿宋_GBK"/>
          <w:sz w:val="32"/>
          <w:szCs w:val="32"/>
          <w:shd w:val="clear" w:color="auto" w:fill="FFFFFF"/>
        </w:rPr>
        <w:t>。</w:t>
      </w:r>
    </w:p>
    <w:p>
      <w:pPr>
        <w:keepNext w:val="0"/>
        <w:keepLines w:val="0"/>
        <w:pageBreakBefore w:val="0"/>
        <w:widowControl/>
        <w:kinsoku/>
        <w:wordWrap/>
        <w:overflowPunct/>
        <w:topLinePunct w:val="0"/>
        <w:autoSpaceDE/>
        <w:autoSpaceDN/>
        <w:bidi w:val="0"/>
        <w:adjustRightInd/>
        <w:spacing w:line="600" w:lineRule="exact"/>
        <w:ind w:firstLine="640" w:firstLineChars="200"/>
        <w:textAlignment w:val="auto"/>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（13）</w:t>
      </w:r>
      <w:r>
        <w:rPr>
          <w:rFonts w:ascii="方正仿宋_GBK" w:hAnsi="方正仿宋_GBK" w:eastAsia="方正仿宋_GBK" w:cs="方正仿宋_GBK"/>
          <w:sz w:val="32"/>
          <w:szCs w:val="32"/>
        </w:rPr>
        <w:t>灾害防治及应急管理支出33.79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0.72</w:t>
      </w:r>
      <w:r>
        <w:rPr>
          <w:rFonts w:ascii="方正仿宋_GBK" w:hAnsi="方正仿宋_GBK" w:eastAsia="方正仿宋_GBK" w:cs="方正仿宋_GBK"/>
          <w:sz w:val="32"/>
          <w:szCs w:val="32"/>
          <w:shd w:val="clear" w:color="auto" w:fill="FFFFFF"/>
        </w:rPr>
        <w:t>%，较年初预算数增加32.77万元，增长3212.75%，主要原因是追加中央自然灾害救灾资金。</w:t>
      </w:r>
    </w:p>
    <w:p>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rPr>
        <w:t>2024年</w:t>
      </w:r>
      <w:r>
        <w:rPr>
          <w:rFonts w:ascii="方正仿宋_GBK" w:hAnsi="方正仿宋_GBK" w:eastAsia="方正仿宋_GBK" w:cs="方正仿宋_GBK"/>
          <w:sz w:val="32"/>
          <w:szCs w:val="32"/>
          <w:shd w:val="clear" w:color="auto" w:fill="FFFFFF"/>
        </w:rPr>
        <w:t>度一般公共财政拨款基本支出</w:t>
      </w:r>
      <w:r>
        <w:rPr>
          <w:rFonts w:ascii="方正仿宋_GBK" w:hAnsi="方正仿宋_GBK" w:eastAsia="方正仿宋_GBK" w:cs="方正仿宋_GBK"/>
          <w:sz w:val="32"/>
          <w:szCs w:val="32"/>
        </w:rPr>
        <w:t>1997.76</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1724.75</w:t>
      </w:r>
      <w:r>
        <w:rPr>
          <w:rFonts w:ascii="方正仿宋_GBK" w:hAnsi="方正仿宋_GBK" w:eastAsia="方正仿宋_GBK" w:cs="方正仿宋_GBK"/>
          <w:sz w:val="32"/>
          <w:szCs w:val="32"/>
          <w:shd w:val="clear" w:color="auto" w:fill="FFFFFF"/>
        </w:rPr>
        <w:t>万元，与2023年度相比，减少13.39万元，下降0.77%，主要原因是</w:t>
      </w:r>
      <w:r>
        <w:rPr>
          <w:rFonts w:hint="eastAsia" w:ascii="方正仿宋_GBK" w:hAnsi="方正仿宋_GBK" w:eastAsia="方正仿宋_GBK" w:cs="方正仿宋_GBK"/>
          <w:sz w:val="32"/>
          <w:szCs w:val="32"/>
          <w:shd w:val="clear" w:color="auto" w:fill="FFFFFF"/>
        </w:rPr>
        <w:t>2023年补发公务员以前年度奖金、独生子女一次性抚恤金、村干部工资补发，2024年无该项支出，曹回事业人员补缴2022-2023年养老保险和职业年金。</w:t>
      </w:r>
      <w:r>
        <w:rPr>
          <w:rFonts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sz w:val="32"/>
          <w:szCs w:val="32"/>
          <w:shd w:val="clear" w:color="auto" w:fill="FFFFFF"/>
        </w:rPr>
        <w:t>基本工资266.52万元、津贴补贴125.30万元、奖金178.63万元、伙食补助73.80万元、绩效工资306.46万元、机关事业单位基本养老保险缴费139.35万元、职业年金缴费68.74万元、职工基本医疗保险缴费58.44万元、其他社会保障缴费1.83万元、住房公积金93.48万元、医疗费20.46万元、其他工资福利支出26.17万元、生活补助357.551万元、医疗补助费3.60万元、奖励金4.43万元。</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273.01</w:t>
      </w:r>
      <w:r>
        <w:rPr>
          <w:rFonts w:ascii="方正仿宋_GBK" w:hAnsi="方正仿宋_GBK" w:eastAsia="方正仿宋_GBK" w:cs="方正仿宋_GBK"/>
          <w:sz w:val="32"/>
          <w:szCs w:val="32"/>
          <w:shd w:val="clear" w:color="auto" w:fill="FFFFFF"/>
        </w:rPr>
        <w:t>万元，与2023年度相比，减少38.45万元，下降12.35%，主要原因是</w:t>
      </w:r>
      <w:r>
        <w:rPr>
          <w:rFonts w:hint="eastAsia" w:ascii="方正仿宋_GBK" w:hAnsi="方正仿宋_GBK" w:eastAsia="方正仿宋_GBK" w:cs="方正仿宋_GBK"/>
          <w:sz w:val="32"/>
          <w:szCs w:val="32"/>
          <w:shd w:val="clear" w:color="auto" w:fill="FFFFFF"/>
        </w:rPr>
        <w:t>不超预算安排使用资金,严格控制公用经费。</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sz w:val="32"/>
          <w:szCs w:val="32"/>
          <w:shd w:val="clear" w:color="auto" w:fill="FFFFFF"/>
        </w:rPr>
        <w:t>办公费17.11万元、水费1.45万元、电费13.83万元、邮电费32.98万元、差旅费49.42万元、维修（护）费12.88万元、租赁费2.00万元、会议费11.29万元、培训费1.96万元、公务接待费0.76万元、劳务费1.00万元、委托业务费8.62万元、工会经费78.40万元、公务车运行维护费6.79万元、其他交通费用21.59万元、其他商品和服务支出2.08万元、办公设备购置10.85万元。</w:t>
      </w:r>
    </w:p>
    <w:p>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237.44</w:t>
      </w:r>
      <w:r>
        <w:rPr>
          <w:rFonts w:ascii="方正仿宋_GBK" w:hAnsi="方正仿宋_GBK" w:eastAsia="方正仿宋_GBK" w:cs="方正仿宋_GBK"/>
          <w:sz w:val="32"/>
          <w:szCs w:val="32"/>
          <w:shd w:val="clear" w:color="auto" w:fill="FFFFFF"/>
        </w:rPr>
        <w:t>万元，与2023年度相比，增加236.79万元，增长36429.23%，主要原因是年中追加项目资金（乡镇（街道）耕地补足、撂荒地复耕复种补助资金、土地征收补偿费、彩票公益金用于社会福利事业资金）。本年支出</w:t>
      </w:r>
      <w:r>
        <w:rPr>
          <w:rFonts w:ascii="方正仿宋_GBK" w:hAnsi="方正仿宋_GBK" w:eastAsia="方正仿宋_GBK" w:cs="方正仿宋_GBK"/>
          <w:sz w:val="32"/>
          <w:szCs w:val="32"/>
        </w:rPr>
        <w:t>237.44</w:t>
      </w:r>
      <w:r>
        <w:rPr>
          <w:rFonts w:ascii="方正仿宋_GBK" w:hAnsi="方正仿宋_GBK" w:eastAsia="方正仿宋_GBK" w:cs="方正仿宋_GBK"/>
          <w:sz w:val="32"/>
          <w:szCs w:val="32"/>
          <w:shd w:val="clear" w:color="auto" w:fill="FFFFFF"/>
        </w:rPr>
        <w:t>万元，与2023年度相比，增加236.79万元，增长36429.23%，主要原因是年中追加项目资金（乡镇（街道）耕地补足、撂荒地复耕复种补助资金、土地征收补偿费、彩票公益金用于社会福利事业资金）。</w:t>
      </w:r>
    </w:p>
    <w:p>
      <w:pPr>
        <w:pStyle w:val="13"/>
        <w:keepNext w:val="0"/>
        <w:keepLines w:val="0"/>
        <w:pageBreakBefore w:val="0"/>
        <w:widowControl/>
        <w:kinsoku/>
        <w:wordWrap/>
        <w:overflowPunct/>
        <w:topLinePunct w:val="0"/>
        <w:autoSpaceDE w:val="0"/>
        <w:autoSpaceDN/>
        <w:bidi w:val="0"/>
        <w:adjustRightInd/>
        <w:snapToGrid/>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2024年度国有资本经营预算财政拨本年支出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万元，本部门2024年度无国有资本经营预算财政拨款支出。</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643" w:firstLineChars="200"/>
        <w:textAlignment w:val="auto"/>
        <w:rPr>
          <w:rStyle w:val="12"/>
          <w:rFonts w:hint="default" w:ascii="黑体" w:hAnsi="黑体" w:eastAsia="黑体" w:cs="黑体"/>
          <w:sz w:val="32"/>
          <w:szCs w:val="32"/>
          <w:shd w:val="clear" w:color="auto" w:fill="FFFFFF"/>
        </w:rPr>
      </w:pPr>
      <w:r>
        <w:rPr>
          <w:rStyle w:val="12"/>
          <w:rFonts w:ascii="黑体" w:hAnsi="黑体" w:eastAsia="黑体" w:cs="黑体"/>
          <w:sz w:val="32"/>
          <w:szCs w:val="32"/>
          <w:shd w:val="clear" w:color="auto" w:fill="FFFFFF"/>
        </w:rPr>
        <w:t>三、财政拨款“三公”经费情况说明</w:t>
      </w:r>
    </w:p>
    <w:p>
      <w:pPr>
        <w:pStyle w:val="13"/>
        <w:keepNext w:val="0"/>
        <w:keepLines w:val="0"/>
        <w:pageBreakBefore w:val="0"/>
        <w:widowControl/>
        <w:kinsoku/>
        <w:wordWrap/>
        <w:overflowPunct/>
        <w:topLinePunct w:val="0"/>
        <w:autoSpaceDE w:val="0"/>
        <w:autoSpaceDN/>
        <w:bidi w:val="0"/>
        <w:adjustRightInd/>
        <w:snapToGrid/>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（一）“三公”经费支出总体情况说明</w:t>
      </w:r>
    </w:p>
    <w:p>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2024年度“三公”经费支出共计</w:t>
      </w:r>
      <w:r>
        <w:rPr>
          <w:rFonts w:ascii="方正仿宋_GBK" w:hAnsi="方正仿宋_GBK" w:eastAsia="方正仿宋_GBK" w:cs="方正仿宋_GBK"/>
          <w:sz w:val="32"/>
          <w:szCs w:val="32"/>
        </w:rPr>
        <w:t>11.69</w:t>
      </w:r>
      <w:r>
        <w:rPr>
          <w:rFonts w:ascii="方正仿宋_GBK" w:hAnsi="方正仿宋_GBK" w:eastAsia="方正仿宋_GBK" w:cs="方正仿宋_GBK"/>
          <w:sz w:val="32"/>
          <w:szCs w:val="32"/>
          <w:shd w:val="clear" w:color="auto" w:fill="FFFFFF"/>
        </w:rPr>
        <w:t>万元，较年初预算数增加9.69万元，增长484.50%，主要原因是</w:t>
      </w:r>
      <w:r>
        <w:rPr>
          <w:rFonts w:hint="default" w:ascii="方正仿宋_GBK" w:hAnsi="方正仿宋_GBK" w:eastAsia="方正仿宋_GBK" w:cs="方正仿宋_GBK"/>
          <w:sz w:val="32"/>
          <w:szCs w:val="32"/>
          <w:shd w:val="clear" w:color="auto" w:fill="FFFFFF"/>
        </w:rPr>
        <w:t>在公车</w:t>
      </w:r>
      <w:r>
        <w:rPr>
          <w:rFonts w:ascii="方正仿宋_GBK" w:hAnsi="方正仿宋_GBK" w:eastAsia="方正仿宋_GBK" w:cs="方正仿宋_GBK"/>
          <w:sz w:val="32"/>
          <w:szCs w:val="32"/>
          <w:shd w:val="clear" w:color="auto" w:fill="FFFFFF"/>
        </w:rPr>
        <w:t>和公务接待的实际运行</w:t>
      </w:r>
      <w:r>
        <w:rPr>
          <w:rFonts w:hint="default" w:ascii="方正仿宋_GBK" w:hAnsi="方正仿宋_GBK" w:eastAsia="方正仿宋_GBK" w:cs="方正仿宋_GBK"/>
          <w:sz w:val="32"/>
          <w:szCs w:val="32"/>
          <w:shd w:val="clear" w:color="auto" w:fill="FFFFFF"/>
        </w:rPr>
        <w:t>过程</w:t>
      </w:r>
      <w:r>
        <w:rPr>
          <w:rFonts w:ascii="方正仿宋_GBK" w:hAnsi="方正仿宋_GBK" w:eastAsia="方正仿宋_GBK" w:cs="方正仿宋_GBK"/>
          <w:sz w:val="32"/>
          <w:szCs w:val="32"/>
          <w:shd w:val="clear" w:color="auto" w:fill="FFFFFF"/>
        </w:rPr>
        <w:t>中，出现资金</w:t>
      </w:r>
      <w:r>
        <w:rPr>
          <w:rFonts w:hint="default" w:ascii="方正仿宋_GBK" w:hAnsi="方正仿宋_GBK" w:eastAsia="方正仿宋_GBK" w:cs="方正仿宋_GBK"/>
          <w:sz w:val="32"/>
          <w:szCs w:val="32"/>
          <w:shd w:val="clear" w:color="auto" w:fill="FFFFFF"/>
        </w:rPr>
        <w:t>缺口</w:t>
      </w:r>
      <w:r>
        <w:rPr>
          <w:rFonts w:ascii="方正仿宋_GBK" w:hAnsi="方正仿宋_GBK" w:eastAsia="方正仿宋_GBK" w:cs="方正仿宋_GBK"/>
          <w:sz w:val="32"/>
          <w:szCs w:val="32"/>
          <w:shd w:val="clear" w:color="auto" w:fill="FFFFFF"/>
        </w:rPr>
        <w:t>，只能</w:t>
      </w:r>
      <w:r>
        <w:rPr>
          <w:rFonts w:hint="default" w:ascii="方正仿宋_GBK" w:hAnsi="方正仿宋_GBK" w:eastAsia="方正仿宋_GBK" w:cs="方正仿宋_GBK"/>
          <w:sz w:val="32"/>
          <w:szCs w:val="32"/>
          <w:shd w:val="clear" w:color="auto" w:fill="FFFFFF"/>
        </w:rPr>
        <w:t>通过</w:t>
      </w:r>
      <w:r>
        <w:rPr>
          <w:rFonts w:ascii="方正仿宋_GBK" w:hAnsi="方正仿宋_GBK" w:eastAsia="方正仿宋_GBK" w:cs="方正仿宋_GBK"/>
          <w:sz w:val="32"/>
          <w:szCs w:val="32"/>
          <w:shd w:val="clear" w:color="auto" w:fill="FFFFFF"/>
        </w:rPr>
        <w:t>调剂</w:t>
      </w:r>
      <w:r>
        <w:rPr>
          <w:rFonts w:hint="default" w:ascii="方正仿宋_GBK" w:hAnsi="方正仿宋_GBK" w:eastAsia="方正仿宋_GBK" w:cs="方正仿宋_GBK"/>
          <w:sz w:val="32"/>
          <w:szCs w:val="32"/>
          <w:shd w:val="clear" w:color="auto" w:fill="FFFFFF"/>
        </w:rPr>
        <w:t>方式</w:t>
      </w:r>
      <w:r>
        <w:rPr>
          <w:rFonts w:ascii="方正仿宋_GBK" w:hAnsi="方正仿宋_GBK" w:eastAsia="方正仿宋_GBK" w:cs="方正仿宋_GBK"/>
          <w:sz w:val="32"/>
          <w:szCs w:val="32"/>
          <w:shd w:val="clear" w:color="auto" w:fill="FFFFFF"/>
        </w:rPr>
        <w:t>追加</w:t>
      </w:r>
      <w:r>
        <w:rPr>
          <w:rFonts w:hint="default" w:ascii="方正仿宋_GBK" w:hAnsi="方正仿宋_GBK" w:eastAsia="方正仿宋_GBK" w:cs="方正仿宋_GBK"/>
          <w:sz w:val="32"/>
          <w:szCs w:val="32"/>
          <w:shd w:val="clear" w:color="auto" w:fill="FFFFFF"/>
        </w:rPr>
        <w:t>预算，导致支出增加</w:t>
      </w:r>
      <w:r>
        <w:rPr>
          <w:rFonts w:ascii="方正仿宋_GBK" w:hAnsi="方正仿宋_GBK" w:eastAsia="方正仿宋_GBK" w:cs="方正仿宋_GBK"/>
          <w:sz w:val="32"/>
          <w:szCs w:val="32"/>
          <w:shd w:val="clear" w:color="auto" w:fill="FFFFFF"/>
        </w:rPr>
        <w:t>。较上年支出数无增减，主要原因是严控“三公”经费，加强管理，从严控制“三公”经费。</w:t>
      </w:r>
    </w:p>
    <w:p>
      <w:pPr>
        <w:pStyle w:val="13"/>
        <w:keepNext w:val="0"/>
        <w:keepLines w:val="0"/>
        <w:pageBreakBefore w:val="0"/>
        <w:widowControl/>
        <w:kinsoku/>
        <w:wordWrap/>
        <w:overflowPunct/>
        <w:topLinePunct w:val="0"/>
        <w:autoSpaceDE w:val="0"/>
        <w:autoSpaceDN/>
        <w:bidi w:val="0"/>
        <w:adjustRightInd/>
        <w:snapToGrid/>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2024年度本部门因公出国（境）费用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万元，费用支出较年初预算数无增减，主要原因是年初预算数未安排因公出国（境）费用，也未发生因公出国（境）费用。较上年支出数无增减，主要原因是上年和本年均未发生因公出国（境）费用。</w:t>
      </w:r>
    </w:p>
    <w:p>
      <w:pPr>
        <w:pStyle w:val="8"/>
        <w:keepNext w:val="0"/>
        <w:keepLines w:val="0"/>
        <w:pageBreakBefore w:val="0"/>
        <w:widowControl/>
        <w:kinsoku/>
        <w:wordWrap/>
        <w:overflowPunct/>
        <w:topLinePunct w:val="0"/>
        <w:autoSpaceDE/>
        <w:autoSpaceDN/>
        <w:bidi w:val="0"/>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万元，费用支出较年初预算数无增减，主要原因是年初预算数未安排且本年未发生公务车购置费用。较上年支出数无增减，主要原因是上年和本年均未发生公务车购置费用。</w:t>
      </w:r>
    </w:p>
    <w:p>
      <w:pPr>
        <w:pStyle w:val="14"/>
        <w:keepNext w:val="0"/>
        <w:keepLines w:val="0"/>
        <w:pageBreakBefore w:val="0"/>
        <w:widowControl/>
        <w:kinsoku/>
        <w:wordWrap/>
        <w:overflowPunct/>
        <w:topLinePunct w:val="0"/>
        <w:autoSpaceDE/>
        <w:autoSpaceDN/>
        <w:bidi w:val="0"/>
        <w:spacing w:before="0" w:beforeAutospacing="0" w:after="0" w:afterAutospacing="0" w:line="600" w:lineRule="exact"/>
        <w:ind w:firstLine="640" w:firstLineChars="20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公务车运行维护费</w:t>
      </w:r>
      <w:r>
        <w:rPr>
          <w:rFonts w:ascii="方正仿宋_GBK" w:hAnsi="方正仿宋_GBK" w:eastAsia="方正仿宋_GBK" w:cs="方正仿宋_GBK"/>
          <w:sz w:val="32"/>
          <w:szCs w:val="32"/>
        </w:rPr>
        <w:t>6.79</w:t>
      </w:r>
      <w:r>
        <w:rPr>
          <w:rFonts w:ascii="方正仿宋_GBK" w:hAnsi="方正仿宋_GBK" w:eastAsia="方正仿宋_GBK" w:cs="方正仿宋_GBK"/>
          <w:sz w:val="32"/>
          <w:szCs w:val="32"/>
          <w:shd w:val="clear" w:color="auto" w:fill="FFFFFF"/>
        </w:rPr>
        <w:t>万元，主要用于</w:t>
      </w:r>
      <w:r>
        <w:rPr>
          <w:rFonts w:hint="eastAsia" w:ascii="方正仿宋_GBK" w:hAnsi="方正仿宋_GBK" w:eastAsia="方正仿宋_GBK" w:cs="方正仿宋_GBK"/>
          <w:sz w:val="32"/>
          <w:szCs w:val="32"/>
          <w:shd w:val="clear" w:color="auto" w:fill="FFFFFF"/>
        </w:rPr>
        <w:t>本部门按规定保留的公务用车燃料费、新能源汽车充电费、维修费、过桥过路费、保险费等。</w:t>
      </w:r>
      <w:r>
        <w:rPr>
          <w:rFonts w:ascii="方正仿宋_GBK" w:hAnsi="方正仿宋_GBK" w:eastAsia="方正仿宋_GBK" w:cs="方正仿宋_GBK"/>
          <w:sz w:val="32"/>
          <w:szCs w:val="32"/>
          <w:shd w:val="clear" w:color="auto" w:fill="FFFFFF"/>
        </w:rPr>
        <w:t>费用支出较年初预算数增加5.79万元，增长579.00%，主要原因是在公车</w:t>
      </w:r>
      <w:r>
        <w:rPr>
          <w:rFonts w:hint="eastAsia" w:ascii="方正仿宋_GBK" w:hAnsi="方正仿宋_GBK" w:eastAsia="方正仿宋_GBK" w:cs="方正仿宋_GBK"/>
          <w:sz w:val="32"/>
          <w:szCs w:val="32"/>
          <w:shd w:val="clear" w:color="auto" w:fill="FFFFFF"/>
        </w:rPr>
        <w:t>实际运行</w:t>
      </w:r>
      <w:r>
        <w:rPr>
          <w:rFonts w:ascii="方正仿宋_GBK" w:hAnsi="方正仿宋_GBK" w:eastAsia="方正仿宋_GBK" w:cs="方正仿宋_GBK"/>
          <w:sz w:val="32"/>
          <w:szCs w:val="32"/>
          <w:shd w:val="clear" w:color="auto" w:fill="FFFFFF"/>
        </w:rPr>
        <w:t>过程</w:t>
      </w:r>
      <w:r>
        <w:rPr>
          <w:rFonts w:hint="eastAsia" w:ascii="方正仿宋_GBK" w:hAnsi="方正仿宋_GBK" w:eastAsia="方正仿宋_GBK" w:cs="方正仿宋_GBK"/>
          <w:sz w:val="32"/>
          <w:szCs w:val="32"/>
          <w:shd w:val="clear" w:color="auto" w:fill="FFFFFF"/>
        </w:rPr>
        <w:t>中，</w:t>
      </w:r>
      <w:r>
        <w:rPr>
          <w:rFonts w:ascii="方正仿宋_GBK" w:hAnsi="方正仿宋_GBK" w:eastAsia="方正仿宋_GBK" w:cs="方正仿宋_GBK"/>
          <w:sz w:val="32"/>
          <w:szCs w:val="32"/>
          <w:shd w:val="clear" w:color="auto" w:fill="FFFFFF"/>
        </w:rPr>
        <w:t>油费有所增加，且由于公车使用年限已久，维修费增多。较上年支出数无增减，</w:t>
      </w:r>
      <w:r>
        <w:rPr>
          <w:rFonts w:hint="eastAsia" w:ascii="方正仿宋_GBK" w:hAnsi="方正仿宋_GBK" w:eastAsia="方正仿宋_GBK" w:cs="方正仿宋_GBK"/>
          <w:sz w:val="32"/>
          <w:szCs w:val="32"/>
          <w:shd w:val="clear" w:color="auto" w:fill="FFFFFF"/>
        </w:rPr>
        <w:t>主要原因是严格控制“三公”经费支出情况，按照标准使用公务车外出办事。</w:t>
      </w:r>
    </w:p>
    <w:p>
      <w:pPr>
        <w:pStyle w:val="14"/>
        <w:keepNext w:val="0"/>
        <w:keepLines w:val="0"/>
        <w:pageBreakBefore w:val="0"/>
        <w:widowControl/>
        <w:kinsoku/>
        <w:wordWrap/>
        <w:overflowPunct/>
        <w:topLinePunct w:val="0"/>
        <w:autoSpaceDE/>
        <w:autoSpaceDN/>
        <w:bidi w:val="0"/>
        <w:spacing w:before="0" w:beforeAutospacing="0" w:after="0" w:afterAutospacing="0" w:line="600" w:lineRule="exact"/>
        <w:ind w:firstLine="640" w:firstLineChars="200"/>
        <w:jc w:val="both"/>
        <w:textAlignment w:val="auto"/>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4.91</w:t>
      </w:r>
      <w:r>
        <w:rPr>
          <w:rFonts w:ascii="方正仿宋_GBK" w:hAnsi="方正仿宋_GBK" w:eastAsia="方正仿宋_GBK" w:cs="方正仿宋_GBK"/>
          <w:sz w:val="32"/>
          <w:szCs w:val="32"/>
          <w:shd w:val="clear" w:color="auto" w:fill="FFFFFF"/>
        </w:rPr>
        <w:t>万元，主要用于接待</w:t>
      </w:r>
      <w:r>
        <w:rPr>
          <w:rFonts w:hint="eastAsia" w:ascii="方正仿宋_GBK" w:hAnsi="方正仿宋_GBK" w:eastAsia="方正仿宋_GBK" w:cs="方正仿宋_GBK"/>
          <w:sz w:val="32"/>
          <w:szCs w:val="32"/>
          <w:shd w:val="clear" w:color="auto" w:fill="FFFFFF"/>
        </w:rPr>
        <w:t>招商企业产生的相关费用。</w:t>
      </w:r>
      <w:r>
        <w:rPr>
          <w:rFonts w:ascii="方正仿宋_GBK" w:hAnsi="方正仿宋_GBK" w:eastAsia="方正仿宋_GBK" w:cs="方正仿宋_GBK"/>
          <w:sz w:val="32"/>
          <w:szCs w:val="32"/>
          <w:shd w:val="clear" w:color="auto" w:fill="FFFFFF"/>
        </w:rPr>
        <w:t>费用支出较年初预算数增加3.91万元，增长391.00%，，主要原因是</w:t>
      </w:r>
      <w:r>
        <w:rPr>
          <w:rFonts w:ascii="方正仿宋_GBK" w:hAnsi="方正仿宋_GBK" w:eastAsia="方正仿宋_GBK" w:cs="方正仿宋_GBK"/>
          <w:sz w:val="32"/>
          <w:szCs w:val="32"/>
          <w:shd w:val="clear" w:color="auto" w:fill="FFFFFF"/>
          <w:lang w:bidi="ar"/>
        </w:rPr>
        <w:t>本年度招商引资和公务接待增多，导致公务接待费增加</w:t>
      </w:r>
      <w:r>
        <w:rPr>
          <w:rFonts w:hint="eastAsia"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shd w:val="clear" w:color="auto" w:fill="FFFFFF"/>
        </w:rPr>
        <w:t>较上年支出数无增减，主要原因是</w:t>
      </w:r>
      <w:r>
        <w:rPr>
          <w:rFonts w:hint="eastAsia" w:ascii="方正仿宋_GBK" w:hAnsi="方正仿宋_GBK" w:eastAsia="方正仿宋_GBK" w:cs="方正仿宋_GBK"/>
          <w:sz w:val="32"/>
          <w:szCs w:val="32"/>
          <w:shd w:val="clear" w:color="auto" w:fill="FFFFFF"/>
        </w:rPr>
        <w:t>严格控制“三公”经费支出情况，严格参照接待费标准，确保不超标准接待来访人员。</w:t>
      </w:r>
    </w:p>
    <w:p>
      <w:pPr>
        <w:pStyle w:val="13"/>
        <w:keepNext w:val="0"/>
        <w:keepLines w:val="0"/>
        <w:pageBreakBefore w:val="0"/>
        <w:widowControl/>
        <w:kinsoku/>
        <w:wordWrap/>
        <w:overflowPunct/>
        <w:topLinePunct w:val="0"/>
        <w:autoSpaceDE w:val="0"/>
        <w:autoSpaceDN/>
        <w:bidi w:val="0"/>
        <w:adjustRightInd/>
        <w:snapToGrid/>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2024年度本部门因公出国（境）共计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98</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864</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人。2024年本部门人均接待费</w:t>
      </w:r>
      <w:r>
        <w:rPr>
          <w:rFonts w:ascii="方正仿宋_GBK" w:hAnsi="方正仿宋_GBK" w:eastAsia="方正仿宋_GBK" w:cs="方正仿宋_GBK"/>
          <w:sz w:val="32"/>
          <w:szCs w:val="32"/>
        </w:rPr>
        <w:t>56.80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3.39</w:t>
      </w:r>
      <w:r>
        <w:rPr>
          <w:rFonts w:ascii="方正仿宋_GBK" w:hAnsi="方正仿宋_GBK" w:eastAsia="方正仿宋_GBK" w:cs="方正仿宋_GBK"/>
          <w:sz w:val="32"/>
          <w:szCs w:val="32"/>
          <w:shd w:val="clear" w:color="auto" w:fill="FFFFFF"/>
        </w:rPr>
        <w:t>万元。</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643" w:firstLineChars="200"/>
        <w:textAlignment w:val="auto"/>
        <w:rPr>
          <w:rStyle w:val="12"/>
          <w:rFonts w:hint="default" w:ascii="黑体" w:hAnsi="黑体" w:eastAsia="黑体" w:cs="黑体"/>
          <w:sz w:val="32"/>
          <w:szCs w:val="32"/>
          <w:shd w:val="clear" w:color="auto" w:fill="FFFFFF"/>
        </w:rPr>
      </w:pPr>
      <w:r>
        <w:rPr>
          <w:rStyle w:val="12"/>
          <w:rFonts w:ascii="黑体" w:hAnsi="黑体" w:eastAsia="黑体" w:cs="黑体"/>
          <w:sz w:val="32"/>
          <w:szCs w:val="32"/>
          <w:shd w:val="clear" w:color="auto" w:fill="FFFFFF"/>
        </w:rPr>
        <w:t>四、其他需要说明的事项</w:t>
      </w:r>
    </w:p>
    <w:p>
      <w:pPr>
        <w:pStyle w:val="13"/>
        <w:keepNext w:val="0"/>
        <w:keepLines w:val="0"/>
        <w:pageBreakBefore w:val="0"/>
        <w:widowControl/>
        <w:kinsoku/>
        <w:wordWrap/>
        <w:overflowPunct/>
        <w:topLinePunct w:val="0"/>
        <w:autoSpaceDE w:val="0"/>
        <w:autoSpaceDN/>
        <w:bidi w:val="0"/>
        <w:adjustRightInd/>
        <w:snapToGrid/>
        <w:ind w:left="0" w:leftChars="0"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（一）财政拨款会议费和培训费情况说明</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16.11</w:t>
      </w:r>
      <w:r>
        <w:rPr>
          <w:rFonts w:ascii="方正仿宋_GBK" w:hAnsi="方正仿宋_GBK" w:eastAsia="方正仿宋_GBK" w:cs="方正仿宋_GBK"/>
          <w:sz w:val="32"/>
          <w:szCs w:val="32"/>
          <w:shd w:val="clear" w:color="auto" w:fill="FFFFFF"/>
        </w:rPr>
        <w:t>万元，与2023年度相比，增加8.48万元，增长111.14%，主要原因是</w:t>
      </w:r>
      <w:r>
        <w:rPr>
          <w:rFonts w:hint="default" w:ascii="方正仿宋_GBK" w:hAnsi="方正仿宋_GBK" w:eastAsia="方正仿宋_GBK" w:cs="方正仿宋_GBK"/>
          <w:sz w:val="32"/>
          <w:szCs w:val="32"/>
          <w:shd w:val="clear" w:color="auto" w:fill="FFFFFF"/>
        </w:rPr>
        <w:t>基层业务多，任务重，根据工作需要安排必要的会议，导致支出增加。此外，人代会召开次数由每年2次增加为每季度1次，全年共4次。</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3.26</w:t>
      </w:r>
      <w:r>
        <w:rPr>
          <w:rFonts w:ascii="方正仿宋_GBK" w:hAnsi="方正仿宋_GBK" w:eastAsia="方正仿宋_GBK" w:cs="方正仿宋_GBK"/>
          <w:sz w:val="32"/>
          <w:szCs w:val="32"/>
          <w:shd w:val="clear" w:color="auto" w:fill="FFFFFF"/>
        </w:rPr>
        <w:t>万元，与2023年度相比，增加0.06万元，增长1.88%，主要原因是增加2024年新录用公务员到重庆学习培训费。</w:t>
      </w:r>
    </w:p>
    <w:p>
      <w:pPr>
        <w:pStyle w:val="13"/>
        <w:keepNext w:val="0"/>
        <w:keepLines w:val="0"/>
        <w:pageBreakBefore w:val="0"/>
        <w:widowControl/>
        <w:kinsoku/>
        <w:wordWrap/>
        <w:overflowPunct/>
        <w:topLinePunct w:val="0"/>
        <w:autoSpaceDE w:val="0"/>
        <w:autoSpaceDN/>
        <w:bidi w:val="0"/>
        <w:adjustRightInd/>
        <w:snapToGrid/>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2024年度本部门机关运行经费支出</w:t>
      </w:r>
      <w:r>
        <w:rPr>
          <w:rFonts w:ascii="方正仿宋_GBK" w:hAnsi="方正仿宋_GBK" w:eastAsia="方正仿宋_GBK" w:cs="方正仿宋_GBK"/>
          <w:sz w:val="32"/>
          <w:szCs w:val="32"/>
        </w:rPr>
        <w:t>222.88</w:t>
      </w:r>
      <w:r>
        <w:rPr>
          <w:rFonts w:ascii="方正仿宋_GBK" w:hAnsi="方正仿宋_GBK" w:eastAsia="方正仿宋_GBK" w:cs="方正仿宋_GBK"/>
          <w:sz w:val="32"/>
          <w:szCs w:val="32"/>
          <w:shd w:val="clear" w:color="auto" w:fill="FFFFFF"/>
        </w:rPr>
        <w:t>万元，机关运行经费主要用于开支办公费13.57万元、水费0.95万元、电费9.68万元、邮电费32.98万元、差旅费24.8万元、维修（护）费12.88万元、租赁费2.00万元、会议费8.18万元、培训费1.96万元、公务接待费0.76万元、劳务费1.00万元、委托业务费3.00万元、工会经费69.81万元、公务车运行维护费6.79万元、其他交通费用21.59万元、其他商品费用2.08万元、办公设备购置10.85万元。机关运行经费较上年支出数减少13.43万元，下降5.68%，主要原因是严把支出关，严格执行中央八项规定</w:t>
      </w:r>
      <w:bookmarkStart w:id="1" w:name="_GoBack"/>
      <w:bookmarkEnd w:id="1"/>
      <w:r>
        <w:rPr>
          <w:rFonts w:ascii="方正仿宋_GBK" w:hAnsi="方正仿宋_GBK" w:eastAsia="方正仿宋_GBK" w:cs="方正仿宋_GBK"/>
          <w:sz w:val="32"/>
          <w:szCs w:val="32"/>
          <w:shd w:val="clear" w:color="auto" w:fill="FFFFFF"/>
        </w:rPr>
        <w:t>精神和厉行节约要求，强化支出管理。</w:t>
      </w:r>
    </w:p>
    <w:p>
      <w:pPr>
        <w:pStyle w:val="13"/>
        <w:keepNext w:val="0"/>
        <w:keepLines w:val="0"/>
        <w:pageBreakBefore w:val="0"/>
        <w:widowControl/>
        <w:kinsoku/>
        <w:wordWrap/>
        <w:overflowPunct/>
        <w:topLinePunct w:val="0"/>
        <w:autoSpaceDE w:val="0"/>
        <w:autoSpaceDN/>
        <w:bidi w:val="0"/>
        <w:adjustRightInd/>
        <w:snapToGrid/>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截至2024年12月31日，本部门共有车辆</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3"/>
        <w:keepNext w:val="0"/>
        <w:keepLines w:val="0"/>
        <w:pageBreakBefore w:val="0"/>
        <w:widowControl/>
        <w:kinsoku/>
        <w:wordWrap/>
        <w:overflowPunct/>
        <w:topLinePunct w:val="0"/>
        <w:autoSpaceDE w:val="0"/>
        <w:autoSpaceDN/>
        <w:bidi w:val="0"/>
        <w:adjustRightInd/>
        <w:snapToGrid/>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2024年度本部门政府采购支出总额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%，其中：授予小微企业合同金额0.00万元，占政府采购支出总额的0 %。2024年度我部门未发生政府采购事项，无相关经费支出。</w:t>
      </w:r>
    </w:p>
    <w:p>
      <w:pPr>
        <w:pStyle w:val="13"/>
        <w:keepNext w:val="0"/>
        <w:keepLines w:val="0"/>
        <w:pageBreakBefore w:val="0"/>
        <w:widowControl/>
        <w:kinsoku/>
        <w:wordWrap/>
        <w:overflowPunct/>
        <w:topLinePunct w:val="0"/>
        <w:autoSpaceDE w:val="0"/>
        <w:autoSpaceDN/>
        <w:bidi w:val="0"/>
        <w:adjustRightInd/>
        <w:snapToGrid/>
        <w:ind w:firstLine="643"/>
        <w:textAlignment w:val="auto"/>
        <w:rPr>
          <w:rStyle w:val="12"/>
          <w:rFonts w:ascii="黑体" w:hAnsi="黑体" w:eastAsia="黑体" w:cs="黑体"/>
          <w:sz w:val="32"/>
          <w:szCs w:val="32"/>
          <w:shd w:val="clear" w:color="auto" w:fill="FFFFFF"/>
        </w:rPr>
      </w:pPr>
      <w:r>
        <w:rPr>
          <w:rStyle w:val="12"/>
          <w:rFonts w:hint="eastAsia" w:ascii="黑体" w:hAnsi="黑体" w:eastAsia="黑体" w:cs="黑体"/>
          <w:sz w:val="32"/>
          <w:szCs w:val="32"/>
          <w:shd w:val="clear" w:color="auto" w:fill="FFFFFF"/>
        </w:rPr>
        <w:t>五、2024年度预算绩效管理情况说明</w:t>
      </w:r>
    </w:p>
    <w:p>
      <w:pPr>
        <w:pStyle w:val="13"/>
        <w:keepNext w:val="0"/>
        <w:keepLines w:val="0"/>
        <w:pageBreakBefore w:val="0"/>
        <w:widowControl/>
        <w:kinsoku/>
        <w:wordWrap/>
        <w:overflowPunct/>
        <w:topLinePunct w:val="0"/>
        <w:autoSpaceDE w:val="0"/>
        <w:autoSpaceDN/>
        <w:bidi w:val="0"/>
        <w:adjustRightInd/>
        <w:snapToGrid/>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（一）部门自评情况</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根据预算绩效管理要求，我部门对部门整体和79个二级项目开展了绩效自评，涉及财政拨款项目支出资金2932.11万元。其中：垫江县曹回镇人民政府（本级）77个，涉及财政拨款项目支出资金2780.18万元，垫江县曹回镇农业服务中心1个，涉及财政拨款项目支出资金146.63万元，垫江县劳动就业和社会保障服务所1个，涉及财政拨款项目支出资金5.31万元。其中：本报告中主要列举以下6个二级项目：少数民族发展资金、车辆购置税补助地方收入、农村危房改造补助项目、提前下达2023年车辆购置税收入补助地方资金、2022年水土保持工程建设、高校毕业生“三支一扶”计划补助资金。</w:t>
      </w:r>
    </w:p>
    <w:p>
      <w:pPr>
        <w:pStyle w:val="14"/>
        <w:autoSpaceDE w:val="0"/>
        <w:spacing w:before="0" w:beforeAutospacing="0" w:line="600" w:lineRule="exact"/>
        <w:rPr>
          <w:rFonts w:ascii="方正仿宋_GBK" w:hAnsi="方正仿宋_GBK" w:eastAsia="方正仿宋_GBK" w:cs="方正仿宋_GBK"/>
          <w:sz w:val="32"/>
          <w:szCs w:val="32"/>
          <w:shd w:val="clear" w:color="auto" w:fill="FFFFFF"/>
        </w:rPr>
      </w:pPr>
    </w:p>
    <w:p>
      <w:pPr>
        <w:pStyle w:val="14"/>
        <w:autoSpaceDE w:val="0"/>
        <w:spacing w:before="0" w:beforeAutospacing="0" w:line="600" w:lineRule="exact"/>
      </w:pPr>
      <w:r>
        <w:rPr>
          <w:rFonts w:hint="eastAsia" w:ascii="方正仿宋_GBK" w:hAnsi="方正仿宋_GBK" w:eastAsia="方正仿宋_GBK" w:cs="方正仿宋_GBK"/>
          <w:sz w:val="32"/>
          <w:szCs w:val="32"/>
          <w:shd w:val="clear" w:color="auto" w:fill="FFFFFF"/>
        </w:rPr>
        <w:t>垫江县曹回镇人民政府部门整体绩效自评表</w:t>
      </w:r>
    </w:p>
    <w:p>
      <w:pPr>
        <w:pStyle w:val="14"/>
        <w:spacing w:before="0" w:beforeAutospacing="0"/>
        <w:rPr>
          <w:rFonts w:ascii="方正仿宋_GBK" w:hAnsi="方正仿宋_GBK" w:eastAsia="方正仿宋_GBK" w:cs="方正仿宋_GBK"/>
          <w:sz w:val="32"/>
          <w:szCs w:val="32"/>
          <w:shd w:val="clear" w:color="auto" w:fill="FFFFFF"/>
        </w:rPr>
      </w:pPr>
      <w:r>
        <w:pict>
          <v:shape id="_x0000_i1025" o:spt="75" type="#_x0000_t75" style="height:545.25pt;width:427.5pt;" filled="f" o:preferrelative="t" stroked="f" coordsize="21600,21600">
            <v:path/>
            <v:fill on="f" focussize="0,0"/>
            <v:stroke on="f" joinstyle="miter"/>
            <v:imagedata r:id="rId7" o:title=""/>
            <o:lock v:ext="edit" aspectratio="t"/>
            <w10:wrap type="none"/>
            <w10:anchorlock/>
          </v:shape>
        </w:pict>
      </w:r>
    </w:p>
    <w:p>
      <w:pPr>
        <w:pStyle w:val="14"/>
        <w:spacing w:before="0" w:beforeAutospacing="0" w:after="0" w:afterAutospacing="0" w:line="600" w:lineRule="exact"/>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垫江县曹回镇人民政府项目支出绩效自评表（二级项目）</w:t>
      </w:r>
    </w:p>
    <w:p>
      <w:pPr>
        <w:pStyle w:val="13"/>
        <w:autoSpaceDE w:val="0"/>
        <w:ind w:firstLine="0" w:firstLineChars="0"/>
      </w:pPr>
      <w:r>
        <w:pict>
          <v:shape id="_x0000_i1026" o:spt="75" type="#_x0000_t75" style="height:283.5pt;width:414.75pt;" filled="f" o:preferrelative="t" stroked="f" coordsize="21600,21600">
            <v:path/>
            <v:fill on="f" focussize="0,0"/>
            <v:stroke on="f" joinstyle="miter"/>
            <v:imagedata r:id="rId8" o:title=""/>
            <o:lock v:ext="edit" aspectratio="t"/>
            <w10:wrap type="none"/>
            <w10:anchorlock/>
          </v:shape>
        </w:pict>
      </w:r>
    </w:p>
    <w:p>
      <w:pPr>
        <w:pStyle w:val="13"/>
        <w:autoSpaceDE w:val="0"/>
        <w:ind w:firstLine="0" w:firstLineChars="0"/>
      </w:pPr>
    </w:p>
    <w:p>
      <w:pPr>
        <w:pStyle w:val="13"/>
        <w:autoSpaceDE w:val="0"/>
        <w:ind w:firstLine="0" w:firstLineChars="0"/>
      </w:pPr>
    </w:p>
    <w:p>
      <w:pPr>
        <w:pStyle w:val="13"/>
        <w:autoSpaceDE w:val="0"/>
        <w:ind w:firstLine="0" w:firstLineChars="0"/>
        <w:rPr>
          <w:rFonts w:ascii="楷体" w:hAnsi="楷体" w:eastAsia="楷体" w:cs="楷体"/>
          <w:b/>
          <w:bCs/>
          <w:sz w:val="32"/>
          <w:szCs w:val="32"/>
          <w:shd w:val="clear" w:color="auto" w:fill="FFFFFF"/>
        </w:rPr>
      </w:pPr>
      <w:r>
        <w:pict>
          <v:shape id="_x0000_i1027" o:spt="75" type="#_x0000_t75" style="height:291pt;width:414.75pt;" filled="f" o:preferrelative="t" stroked="f" coordsize="21600,21600">
            <v:path/>
            <v:fill on="f" focussize="0,0"/>
            <v:stroke on="f" joinstyle="miter"/>
            <v:imagedata r:id="rId9" o:title=""/>
            <o:lock v:ext="edit" aspectratio="t"/>
            <w10:wrap type="none"/>
            <w10:anchorlock/>
          </v:shape>
        </w:pict>
      </w:r>
    </w:p>
    <w:p>
      <w:pPr>
        <w:pStyle w:val="13"/>
        <w:autoSpaceDE w:val="0"/>
        <w:ind w:firstLine="0" w:firstLineChars="0"/>
      </w:pPr>
    </w:p>
    <w:p>
      <w:pPr>
        <w:pStyle w:val="13"/>
        <w:autoSpaceDE w:val="0"/>
        <w:ind w:firstLine="0" w:firstLineChars="0"/>
        <w:rPr>
          <w:rFonts w:ascii="楷体" w:hAnsi="楷体" w:eastAsia="楷体" w:cs="楷体"/>
          <w:b/>
          <w:bCs/>
          <w:sz w:val="32"/>
          <w:szCs w:val="32"/>
          <w:shd w:val="clear" w:color="auto" w:fill="FFFFFF"/>
        </w:rPr>
      </w:pPr>
    </w:p>
    <w:p>
      <w:pPr>
        <w:pStyle w:val="13"/>
        <w:autoSpaceDE w:val="0"/>
        <w:ind w:firstLine="0" w:firstLineChars="0"/>
      </w:pPr>
      <w:r>
        <w:pict>
          <v:shape id="_x0000_i1028" o:spt="75" type="#_x0000_t75" style="height:291.75pt;width:415.5pt;" filled="f" o:preferrelative="t" stroked="f" coordsize="21600,21600">
            <v:path/>
            <v:fill on="f" focussize="0,0"/>
            <v:stroke on="f" joinstyle="miter"/>
            <v:imagedata r:id="rId10" o:title=""/>
            <o:lock v:ext="edit" aspectratio="t"/>
            <w10:wrap type="none"/>
            <w10:anchorlock/>
          </v:shape>
        </w:pict>
      </w:r>
    </w:p>
    <w:p>
      <w:pPr>
        <w:pStyle w:val="13"/>
        <w:autoSpaceDE w:val="0"/>
        <w:ind w:firstLine="0" w:firstLineChars="0"/>
      </w:pPr>
    </w:p>
    <w:p>
      <w:pPr>
        <w:pStyle w:val="13"/>
        <w:autoSpaceDE w:val="0"/>
        <w:ind w:firstLine="0" w:firstLineChars="0"/>
      </w:pPr>
    </w:p>
    <w:p>
      <w:pPr>
        <w:pStyle w:val="13"/>
        <w:autoSpaceDE w:val="0"/>
        <w:ind w:firstLine="0" w:firstLineChars="0"/>
      </w:pPr>
    </w:p>
    <w:p>
      <w:pPr>
        <w:pStyle w:val="13"/>
        <w:autoSpaceDE w:val="0"/>
        <w:ind w:firstLine="0" w:firstLineChars="0"/>
      </w:pPr>
      <w:r>
        <w:pict>
          <v:shape id="_x0000_i1029" o:spt="75" type="#_x0000_t75" style="height:320.25pt;width:414.75pt;" filled="f" o:preferrelative="t" stroked="f" coordsize="21600,21600">
            <v:path/>
            <v:fill on="f" focussize="0,0"/>
            <v:stroke on="f" joinstyle="miter"/>
            <v:imagedata r:id="rId11" o:title=""/>
            <o:lock v:ext="edit" aspectratio="t"/>
            <w10:wrap type="none"/>
            <w10:anchorlock/>
          </v:shape>
        </w:pict>
      </w:r>
    </w:p>
    <w:p>
      <w:pPr>
        <w:pStyle w:val="13"/>
        <w:autoSpaceDE w:val="0"/>
        <w:ind w:firstLine="0" w:firstLineChars="0"/>
      </w:pPr>
      <w:r>
        <w:pict>
          <v:shape id="_x0000_i1030" o:spt="75" type="#_x0000_t75" style="height:297.75pt;width:427.5pt;" filled="f" o:preferrelative="t" stroked="f" coordsize="21600,21600">
            <v:path/>
            <v:fill on="f" focussize="0,0"/>
            <v:stroke on="f" joinstyle="miter"/>
            <v:imagedata r:id="rId12" o:title=""/>
            <o:lock v:ext="edit" aspectratio="t"/>
            <w10:wrap type="none"/>
            <w10:anchorlock/>
          </v:shape>
        </w:pict>
      </w:r>
    </w:p>
    <w:p>
      <w:pPr>
        <w:pStyle w:val="13"/>
        <w:autoSpaceDE w:val="0"/>
        <w:ind w:firstLine="0" w:firstLineChars="0"/>
      </w:pPr>
    </w:p>
    <w:p>
      <w:pPr>
        <w:pStyle w:val="13"/>
        <w:autoSpaceDE w:val="0"/>
        <w:ind w:firstLine="0" w:firstLineChars="0"/>
      </w:pPr>
    </w:p>
    <w:p>
      <w:pPr>
        <w:pStyle w:val="13"/>
        <w:autoSpaceDE w:val="0"/>
        <w:ind w:firstLine="0" w:firstLineChars="0"/>
        <w:rPr>
          <w:rFonts w:ascii="楷体" w:hAnsi="楷体" w:eastAsia="楷体" w:cs="楷体"/>
          <w:b/>
          <w:bCs/>
          <w:sz w:val="32"/>
          <w:szCs w:val="32"/>
          <w:shd w:val="clear" w:color="auto" w:fill="FFFFFF"/>
        </w:rPr>
      </w:pPr>
      <w:r>
        <w:pict>
          <v:shape id="_x0000_i1031" o:spt="75" type="#_x0000_t75" style="height:300pt;width:426.75pt;" filled="f" o:preferrelative="t" stroked="f" coordsize="21600,21600">
            <v:path/>
            <v:fill on="f" focussize="0,0"/>
            <v:stroke on="f" joinstyle="miter"/>
            <v:imagedata r:id="rId13" o:title=""/>
            <o:lock v:ext="edit" aspectratio="t"/>
            <w10:wrap type="none"/>
            <w10:anchorlock/>
          </v:shape>
        </w:pict>
      </w:r>
    </w:p>
    <w:p>
      <w:pPr>
        <w:pStyle w:val="13"/>
        <w:autoSpaceDE w:val="0"/>
        <w:ind w:firstLine="0" w:firstLineChars="0"/>
        <w:rPr>
          <w:rFonts w:ascii="楷体" w:hAnsi="楷体" w:eastAsia="楷体" w:cs="楷体"/>
          <w:b/>
          <w:bCs/>
          <w:sz w:val="32"/>
          <w:szCs w:val="32"/>
          <w:shd w:val="clear" w:color="auto" w:fill="FFFFFF"/>
        </w:rPr>
      </w:pPr>
    </w:p>
    <w:p>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（二）部门绩效评价情况</w:t>
      </w:r>
    </w:p>
    <w:p>
      <w:pPr>
        <w:pStyle w:val="13"/>
        <w:autoSpaceDE w:val="0"/>
        <w:spacing w:line="600" w:lineRule="exact"/>
        <w:ind w:firstLine="640"/>
        <w:rPr>
          <w:rFonts w:ascii="楷体" w:hAnsi="楷体" w:eastAsia="楷体" w:cs="楷体"/>
          <w:b/>
          <w:bCs/>
          <w:sz w:val="32"/>
          <w:szCs w:val="32"/>
          <w:shd w:val="clear" w:color="auto" w:fill="FFFFFF"/>
        </w:rPr>
      </w:pPr>
      <w:r>
        <w:rPr>
          <w:rFonts w:hint="eastAsia" w:ascii="方正仿宋_GBK" w:hAnsi="方正仿宋_GBK" w:eastAsia="方正仿宋_GBK" w:cs="方正仿宋_GBK"/>
          <w:sz w:val="32"/>
          <w:szCs w:val="32"/>
          <w:shd w:val="clear" w:color="auto" w:fill="FFFFFF"/>
        </w:rPr>
        <w:t>我部门未组织开展绩效评价。</w:t>
      </w:r>
    </w:p>
    <w:p>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（三）财政绩效评价情况</w:t>
      </w:r>
    </w:p>
    <w:p>
      <w:pPr>
        <w:pStyle w:val="13"/>
        <w:autoSpaceDE w:val="0"/>
        <w:spacing w:line="600" w:lineRule="exact"/>
        <w:ind w:firstLine="64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县财政局未委托第三方对我部门开展绩效评价。</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643" w:firstLineChars="200"/>
        <w:textAlignment w:val="auto"/>
        <w:rPr>
          <w:rStyle w:val="12"/>
          <w:rFonts w:hint="default" w:ascii="方正仿宋_GBK" w:hAnsi="方正仿宋_GBK" w:eastAsia="方正仿宋_GBK" w:cs="方正仿宋_GBK"/>
          <w:sz w:val="32"/>
          <w:szCs w:val="32"/>
          <w:shd w:val="clear" w:color="auto" w:fill="FFFFFF"/>
        </w:rPr>
      </w:pPr>
      <w:r>
        <w:rPr>
          <w:rStyle w:val="12"/>
          <w:rFonts w:ascii="方正仿宋_GBK" w:hAnsi="方正仿宋_GBK" w:eastAsia="方正仿宋_GBK" w:cs="方正仿宋_GBK"/>
          <w:sz w:val="32"/>
          <w:szCs w:val="32"/>
          <w:shd w:val="clear" w:color="auto" w:fill="FFFFFF"/>
        </w:rPr>
        <w:t xml:space="preserve">  </w:t>
      </w:r>
      <w:r>
        <w:rPr>
          <w:rStyle w:val="12"/>
          <w:rFonts w:ascii="黑体" w:hAnsi="黑体" w:eastAsia="黑体" w:cs="黑体"/>
          <w:sz w:val="32"/>
          <w:szCs w:val="32"/>
          <w:shd w:val="clear" w:color="auto" w:fill="FFFFFF"/>
        </w:rPr>
        <w:t>六、专业名词解释</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8"/>
        <w:snapToGrid w:val="0"/>
        <w:spacing w:before="0" w:beforeAutospacing="0" w:after="0" w:afterAutospacing="0" w:line="600" w:lineRule="exact"/>
        <w:ind w:firstLine="643" w:firstLineChars="200"/>
        <w:jc w:val="both"/>
        <w:rPr>
          <w:rFonts w:ascii="方正仿宋_GBK" w:hAnsi="方正仿宋_GBK" w:eastAsia="方正仿宋_GBK" w:cs="方正仿宋_GBK"/>
          <w:sz w:val="32"/>
          <w:szCs w:val="32"/>
          <w:shd w:val="clear" w:color="auto" w:fill="FFFFFF"/>
        </w:rPr>
      </w:pPr>
      <w:r>
        <w:rPr>
          <w:rStyle w:val="12"/>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8"/>
        <w:snapToGrid w:val="0"/>
        <w:spacing w:before="0" w:beforeAutospacing="0" w:after="0" w:afterAutospacing="0" w:line="600" w:lineRule="exact"/>
        <w:ind w:firstLine="643" w:firstLineChars="200"/>
        <w:jc w:val="both"/>
        <w:rPr>
          <w:rFonts w:ascii="方正仿宋_GBK" w:hAnsi="方正仿宋_GBK" w:eastAsia="方正仿宋_GBK" w:cs="方正仿宋_GBK"/>
          <w:sz w:val="32"/>
          <w:szCs w:val="32"/>
          <w:shd w:val="clear" w:color="auto" w:fill="FFFFFF"/>
        </w:rPr>
      </w:pPr>
      <w:r>
        <w:rPr>
          <w:rStyle w:val="12"/>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8"/>
        <w:snapToGrid w:val="0"/>
        <w:spacing w:before="0" w:beforeAutospacing="0" w:after="0" w:afterAutospacing="0" w:line="600" w:lineRule="exact"/>
        <w:ind w:firstLine="643" w:firstLineChars="200"/>
        <w:jc w:val="both"/>
        <w:rPr>
          <w:rFonts w:ascii="方正仿宋_GBK" w:hAnsi="方正仿宋_GBK" w:eastAsia="方正仿宋_GBK" w:cs="方正仿宋_GBK"/>
          <w:sz w:val="32"/>
          <w:szCs w:val="32"/>
          <w:shd w:val="clear" w:color="auto" w:fill="FFFFFF"/>
        </w:rPr>
      </w:pPr>
      <w:r>
        <w:rPr>
          <w:rStyle w:val="12"/>
          <w:rFonts w:hint="eastAsia" w:ascii="楷体" w:hAnsi="楷体" w:eastAsia="楷体" w:cs="楷体"/>
          <w:sz w:val="32"/>
          <w:szCs w:val="32"/>
          <w:shd w:val="clear" w:color="auto" w:fill="FFFFFF"/>
          <w:lang w:eastAsia="zh-CN"/>
        </w:rPr>
        <w:t>（</w:t>
      </w:r>
      <w:r>
        <w:rPr>
          <w:rStyle w:val="12"/>
          <w:rFonts w:hint="eastAsia" w:ascii="楷体" w:hAnsi="楷体" w:eastAsia="楷体" w:cs="楷体"/>
          <w:sz w:val="32"/>
          <w:szCs w:val="32"/>
          <w:shd w:val="clear" w:color="auto" w:fill="FFFFFF"/>
          <w:lang w:val="en-US" w:eastAsia="zh-CN"/>
        </w:rPr>
        <w:t>十六</w:t>
      </w:r>
      <w:r>
        <w:rPr>
          <w:rStyle w:val="12"/>
          <w:rFonts w:hint="eastAsia" w:ascii="楷体" w:hAnsi="楷体" w:eastAsia="楷体" w:cs="楷体"/>
          <w:sz w:val="32"/>
          <w:szCs w:val="32"/>
          <w:shd w:val="clear" w:color="auto" w:fill="FFFFFF"/>
          <w:lang w:eastAsia="zh-CN"/>
        </w:rPr>
        <w:t>）</w:t>
      </w:r>
      <w:r>
        <w:rPr>
          <w:rStyle w:val="12"/>
          <w:rFonts w:ascii="楷体" w:hAnsi="楷体" w:eastAsia="楷体" w:cs="楷体"/>
          <w:sz w:val="32"/>
          <w:szCs w:val="32"/>
          <w:shd w:val="clear" w:color="auto" w:fill="FFFFFF"/>
        </w:rPr>
        <w:t>对个人和家庭的补助（支出经济分类科目类级）：</w:t>
      </w:r>
      <w:r>
        <w:rPr>
          <w:rFonts w:ascii="方正仿宋_GBK" w:hAnsi="方正仿宋_GBK" w:eastAsia="方正仿宋_GBK" w:cs="方正仿宋_GBK"/>
          <w:sz w:val="32"/>
          <w:szCs w:val="32"/>
          <w:shd w:val="clear" w:color="auto" w:fill="FFFFFF"/>
        </w:rPr>
        <w:t>反映用于对个人和家庭的补助支出。</w:t>
      </w:r>
    </w:p>
    <w:p>
      <w:pPr>
        <w:pStyle w:val="8"/>
        <w:snapToGrid w:val="0"/>
        <w:spacing w:before="0" w:beforeAutospacing="0" w:after="0" w:afterAutospacing="0" w:line="600" w:lineRule="exact"/>
        <w:ind w:firstLine="643" w:firstLineChars="200"/>
        <w:jc w:val="both"/>
        <w:rPr>
          <w:rFonts w:ascii="方正仿宋_GBK" w:hAnsi="方正仿宋_GBK" w:eastAsia="方正仿宋_GBK" w:cs="方正仿宋_GBK"/>
          <w:sz w:val="32"/>
          <w:szCs w:val="32"/>
          <w:shd w:val="clear" w:color="auto" w:fill="FFFFFF"/>
        </w:rPr>
      </w:pPr>
      <w:r>
        <w:rPr>
          <w:rStyle w:val="12"/>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textAlignment w:val="auto"/>
        <w:rPr>
          <w:rStyle w:val="12"/>
          <w:rFonts w:hint="default" w:ascii="方正仿宋_GBK" w:hAnsi="方正仿宋_GBK" w:eastAsia="方正仿宋_GBK" w:cs="方正仿宋_GBK"/>
          <w:sz w:val="32"/>
          <w:szCs w:val="32"/>
          <w:shd w:val="clear" w:color="auto" w:fill="FFFFFF"/>
        </w:rPr>
      </w:pPr>
      <w:r>
        <w:rPr>
          <w:rStyle w:val="12"/>
          <w:rFonts w:ascii="方正仿宋_GBK" w:hAnsi="方正仿宋_GBK" w:eastAsia="方正仿宋_GBK" w:cs="方正仿宋_GBK"/>
          <w:sz w:val="32"/>
          <w:szCs w:val="32"/>
          <w:shd w:val="clear" w:color="auto" w:fill="FFFFFF"/>
        </w:rPr>
        <w:t xml:space="preserve">  </w:t>
      </w:r>
      <w:r>
        <w:rPr>
          <w:rStyle w:val="12"/>
          <w:rFonts w:ascii="黑体" w:hAnsi="黑体" w:eastAsia="黑体" w:cs="黑体"/>
          <w:sz w:val="32"/>
          <w:szCs w:val="32"/>
          <w:shd w:val="clear" w:color="auto" w:fill="FFFFFF"/>
        </w:rPr>
        <w:t>七、决算公开联系方式及信息反馈渠道</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本单位决算公开信息反馈和联系方式：魏老师023-74570718。</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p>
    <w:p>
      <w:pPr>
        <w:shd w:val="clear" w:color="auto" w:fill="FFFFFF"/>
        <w:spacing w:line="15" w:lineRule="atLeast"/>
        <w:ind w:firstLine="643" w:firstLineChars="200"/>
        <w:rPr>
          <w:rStyle w:val="12"/>
          <w:rFonts w:hint="default"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9"/>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4294" w:type="dxa"/>
            <w:tcBorders>
              <w:top w:val="nil"/>
              <w:left w:val="nil"/>
              <w:bottom w:val="nil"/>
              <w:right w:val="nil"/>
            </w:tcBorders>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部门：</w:t>
            </w:r>
            <w:r>
              <w:rPr>
                <w:sz w:val="20"/>
              </w:rPr>
              <w:t>垫江县曹回镇人民政府</w:t>
            </w:r>
          </w:p>
        </w:tc>
        <w:tc>
          <w:tcPr>
            <w:tcW w:w="4044" w:type="dxa"/>
            <w:tcBorders>
              <w:top w:val="nil"/>
              <w:left w:val="nil"/>
              <w:bottom w:val="nil"/>
              <w:right w:val="nil"/>
            </w:tcBorders>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4,518.19</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890.67</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237.44</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10.48</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74.99</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445.75</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62.72</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366.48</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1,057.83</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127.63</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1,734.20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6.78</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17.99</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99.78</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33.79</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4,755.64</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4,929.87</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175.23</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4,930.87</w:t>
            </w:r>
            <w:r>
              <w:rPr>
                <w:rFonts w:ascii="Times New Roman" w:hAnsi="Times New Roman"/>
                <w:color w:val="000000"/>
                <w:sz w:val="20"/>
              </w:rPr>
              <w:t xml:space="preserve"> </w:t>
            </w:r>
          </w:p>
        </w:tc>
        <w:tc>
          <w:tcPr>
            <w:tcW w:w="4044" w:type="dxa"/>
            <w:tcBorders>
              <w:top w:val="nil"/>
              <w:left w:val="nil"/>
              <w:bottom w:val="single" w:color="000000" w:sz="4" w:space="0"/>
              <w:right w:val="single" w:color="auto" w:sz="4" w:space="0"/>
            </w:tcBorders>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4,930.87</w:t>
            </w:r>
            <w:r>
              <w:rPr>
                <w:rFonts w:ascii="Times New Roman" w:hAnsi="Times New Roman"/>
                <w:color w:val="000000"/>
                <w:sz w:val="20"/>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9"/>
        <w:tblW w:w="15503" w:type="dxa"/>
        <w:tblInd w:w="0" w:type="dxa"/>
        <w:tblLayout w:type="fixed"/>
        <w:tblCellMar>
          <w:top w:w="0" w:type="dxa"/>
          <w:left w:w="0" w:type="dxa"/>
          <w:bottom w:w="0" w:type="dxa"/>
          <w:right w:w="0" w:type="dxa"/>
        </w:tblCellMar>
      </w:tblPr>
      <w:tblGrid>
        <w:gridCol w:w="1436"/>
        <w:gridCol w:w="3116"/>
        <w:gridCol w:w="1349"/>
        <w:gridCol w:w="1408"/>
        <w:gridCol w:w="1228"/>
        <w:gridCol w:w="1228"/>
        <w:gridCol w:w="1361"/>
        <w:gridCol w:w="1299"/>
        <w:gridCol w:w="1432"/>
        <w:gridCol w:w="1646"/>
      </w:tblGrid>
      <w:tr>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5901" w:type="dxa"/>
            <w:gridSpan w:val="3"/>
            <w:vMerge w:val="restart"/>
            <w:tcBorders>
              <w:top w:val="nil"/>
              <w:left w:val="nil"/>
              <w:right w:val="nil"/>
            </w:tcBorders>
            <w:tcMar>
              <w:top w:w="15" w:type="dxa"/>
              <w:left w:w="15" w:type="dxa"/>
              <w:right w:w="15" w:type="dxa"/>
            </w:tcMar>
            <w:vAlign w:val="bottom"/>
          </w:tcPr>
          <w:p>
            <w:pPr>
              <w:rPr>
                <w:rFonts w:hint="default" w:cs="宋体"/>
                <w:color w:val="000000"/>
                <w:sz w:val="20"/>
                <w:szCs w:val="20"/>
              </w:rPr>
            </w:pPr>
            <w:r>
              <w:rPr>
                <w:rFonts w:cs="宋体"/>
                <w:sz w:val="20"/>
                <w:szCs w:val="20"/>
              </w:rPr>
              <w:t>部门：</w:t>
            </w:r>
            <w:r>
              <w:rPr>
                <w:sz w:val="20"/>
              </w:rPr>
              <w:t>垫江县曹回镇人民政府</w:t>
            </w:r>
          </w:p>
        </w:tc>
        <w:tc>
          <w:tcPr>
            <w:tcW w:w="1408"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228"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228"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361"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299"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432"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646" w:type="dxa"/>
            <w:tcBorders>
              <w:top w:val="nil"/>
              <w:left w:val="nil"/>
              <w:bottom w:val="nil"/>
              <w:right w:val="nil"/>
            </w:tcBorders>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5901" w:type="dxa"/>
            <w:gridSpan w:val="3"/>
            <w:vMerge w:val="continue"/>
            <w:tcBorders>
              <w:left w:val="nil"/>
              <w:bottom w:val="nil"/>
              <w:right w:val="nil"/>
            </w:tcBorders>
            <w:tcMar>
              <w:top w:w="15" w:type="dxa"/>
              <w:left w:w="15" w:type="dxa"/>
              <w:right w:w="15" w:type="dxa"/>
            </w:tcMar>
            <w:vAlign w:val="bottom"/>
          </w:tcPr>
          <w:p>
            <w:pPr>
              <w:rPr>
                <w:rFonts w:hint="default" w:cs="宋体"/>
                <w:color w:val="000000"/>
                <w:sz w:val="20"/>
                <w:szCs w:val="20"/>
              </w:rPr>
            </w:pPr>
          </w:p>
        </w:tc>
        <w:tc>
          <w:tcPr>
            <w:tcW w:w="1408"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228"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228"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361"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299"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432"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646" w:type="dxa"/>
            <w:tcBorders>
              <w:top w:val="nil"/>
              <w:left w:val="nil"/>
              <w:bottom w:val="nil"/>
              <w:right w:val="nil"/>
            </w:tcBorders>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4552" w:type="dxa"/>
            <w:gridSpan w:val="2"/>
            <w:tcBorders>
              <w:top w:val="single" w:color="000000" w:sz="4" w:space="0"/>
              <w:left w:val="single" w:color="000000" w:sz="4" w:space="0"/>
              <w:bottom w:val="single" w:color="000000" w:sz="4" w:space="0"/>
              <w:right w:val="nil"/>
            </w:tcBorders>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34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0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2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58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43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64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1436"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116" w:type="dxa"/>
            <w:vMerge w:val="restart"/>
            <w:tcBorders>
              <w:top w:val="nil"/>
              <w:left w:val="nil"/>
              <w:bottom w:val="single" w:color="000000" w:sz="4" w:space="0"/>
              <w:right w:val="nil"/>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22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6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116" w:type="dxa"/>
            <w:vMerge w:val="continue"/>
            <w:tcBorders>
              <w:top w:val="nil"/>
              <w:left w:val="nil"/>
              <w:bottom w:val="single" w:color="000000" w:sz="4" w:space="0"/>
              <w:right w:val="nil"/>
            </w:tcBorders>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116" w:type="dxa"/>
            <w:vMerge w:val="continue"/>
            <w:tcBorders>
              <w:top w:val="nil"/>
              <w:left w:val="nil"/>
              <w:bottom w:val="single" w:color="000000" w:sz="4" w:space="0"/>
              <w:right w:val="nil"/>
            </w:tcBorders>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116" w:type="dxa"/>
            <w:vMerge w:val="continue"/>
            <w:tcBorders>
              <w:top w:val="nil"/>
              <w:left w:val="nil"/>
              <w:bottom w:val="single" w:color="000000" w:sz="4" w:space="0"/>
              <w:right w:val="nil"/>
            </w:tcBorders>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55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34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4,755.64</w:t>
            </w:r>
            <w:r>
              <w:rPr>
                <w:rFonts w:ascii="Times New Roman" w:hAnsi="Times New Roman"/>
                <w:b/>
                <w:color w:val="000000"/>
                <w:sz w:val="20"/>
              </w:rPr>
              <w:t xml:space="preserve"> </w:t>
            </w:r>
          </w:p>
        </w:tc>
        <w:tc>
          <w:tcPr>
            <w:tcW w:w="1408"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4,755.64</w:t>
            </w:r>
            <w:r>
              <w:rPr>
                <w:rFonts w:ascii="Times New Roman" w:hAnsi="Times New Roman"/>
                <w:b/>
                <w:color w:val="000000"/>
                <w:sz w:val="20"/>
              </w:rPr>
              <w:t xml:space="preserve"> </w:t>
            </w:r>
          </w:p>
        </w:tc>
        <w:tc>
          <w:tcPr>
            <w:tcW w:w="1228"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28"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6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9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43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6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890.67</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890.67</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9.32</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9.32</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2010104</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人大会议</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1.92</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1.92</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2010108</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代表工作</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838.25</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838.25</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734.85</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734.85</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103.41</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103.41</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2.62</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2.62</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2.62</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2.62</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20111</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纪检监察事务</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1.44</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1.44</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2011199</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其他纪检监察事务支出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20113</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商贸事务</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7.94</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7.94</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2011308</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招商引资</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7.94</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7.94</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20131</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党委办公厅（室）及相关机构事务</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19.81</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19.81</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2013102</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19.81</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19.81</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2.71</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2.71</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auto"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3116" w:type="dxa"/>
            <w:tcBorders>
              <w:top w:val="nil"/>
              <w:left w:val="nil"/>
              <w:bottom w:val="single" w:color="auto"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2.71</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2.71</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20136</w:t>
            </w:r>
          </w:p>
        </w:tc>
        <w:tc>
          <w:tcPr>
            <w:tcW w:w="3116" w:type="dxa"/>
            <w:tcBorders>
              <w:top w:val="single" w:color="auto" w:sz="4" w:space="0"/>
              <w:left w:val="nil"/>
              <w:bottom w:val="single" w:color="auto" w:sz="4" w:space="0"/>
              <w:right w:val="single" w:color="auto"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其他共产党事务支出</w:t>
            </w:r>
          </w:p>
        </w:tc>
        <w:tc>
          <w:tcPr>
            <w:tcW w:w="1349"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2.76</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2.76</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2013699</w:t>
            </w:r>
          </w:p>
        </w:tc>
        <w:tc>
          <w:tcPr>
            <w:tcW w:w="3116" w:type="dxa"/>
            <w:tcBorders>
              <w:top w:val="single" w:color="auto" w:sz="4" w:space="0"/>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其他共产党事务支出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2.76</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2.76</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20138</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市场监督管理事务</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5.76</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5.76</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2013802</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5.76</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5.76</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20140</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信访事务</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0.05</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0.05</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2014002</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0.05</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0.05</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公共安全支出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10.48</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10.48</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20402</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公安</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8.88</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8.88</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2040202</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8.88</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8.88</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20406</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司法</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2040602</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74.99</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74.99</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74.99</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74.99</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69.37</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69.37</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5.62</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5.62</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425.75</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425.75</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101.73</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101.73</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2080102</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2080150</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84.53</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84.53</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15.87</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15.87</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262.20</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262.20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139.35</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139.35</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68.74</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68.74</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54.11</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54.11</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2.36</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2.36</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2080899</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其他优抚支出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2.36</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2.36</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auto"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20809</w:t>
            </w:r>
          </w:p>
        </w:tc>
        <w:tc>
          <w:tcPr>
            <w:tcW w:w="3116" w:type="dxa"/>
            <w:tcBorders>
              <w:top w:val="nil"/>
              <w:left w:val="nil"/>
              <w:bottom w:val="single" w:color="auto"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退役安置</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2080999</w:t>
            </w:r>
          </w:p>
        </w:tc>
        <w:tc>
          <w:tcPr>
            <w:tcW w:w="3116" w:type="dxa"/>
            <w:tcBorders>
              <w:top w:val="single" w:color="auto" w:sz="4" w:space="0"/>
              <w:left w:val="nil"/>
              <w:bottom w:val="single" w:color="auto" w:sz="4" w:space="0"/>
              <w:right w:val="single" w:color="auto"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其他退役安置支出</w:t>
            </w:r>
          </w:p>
        </w:tc>
        <w:tc>
          <w:tcPr>
            <w:tcW w:w="1349"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3116" w:type="dxa"/>
            <w:tcBorders>
              <w:top w:val="single" w:color="auto" w:sz="4" w:space="0"/>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0.08</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0.08</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2081006</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养老服务</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0.08</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0.08</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7.56</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7.56</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7.56</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7.56</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20816</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红十字事业</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2081602</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20820</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临时救助</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1.47</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1.47</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2082001</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临时救助支出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1.47</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1.47</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20825</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其他生活救助</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3.25</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3.25</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2082501</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其他城市生活救助</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3.25</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3.25</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44.01</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44.01</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2082804</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拥军优属</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0.48</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0.48</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2082850</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32.49</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32.49</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2082899</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其他退役军人事务管理支出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11.04</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11.04</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62.72</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62.72</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21007</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计划生育事务</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0.72</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0.72</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2100799</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其他计划生育事务支出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0.72</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0.72</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58.44</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58.44</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33.38</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33.38</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25.06</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25.06</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21014</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优抚对象医疗</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1.90</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2101401</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优抚对象医疗补助</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1.66</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1.66</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2101506</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医疗保障经办事务</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358.87</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358.87</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94.37</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94.37</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auto"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2120104</w:t>
            </w:r>
          </w:p>
        </w:tc>
        <w:tc>
          <w:tcPr>
            <w:tcW w:w="3116" w:type="dxa"/>
            <w:tcBorders>
              <w:top w:val="nil"/>
              <w:left w:val="nil"/>
              <w:bottom w:val="single" w:color="auto"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城管执法</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94.37</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94.37</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21203</w:t>
            </w:r>
          </w:p>
        </w:tc>
        <w:tc>
          <w:tcPr>
            <w:tcW w:w="3116" w:type="dxa"/>
            <w:tcBorders>
              <w:top w:val="single" w:color="auto" w:sz="4" w:space="0"/>
              <w:left w:val="nil"/>
              <w:bottom w:val="single" w:color="auto" w:sz="4" w:space="0"/>
              <w:right w:val="single" w:color="auto"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城乡社区公共设施</w:t>
            </w:r>
          </w:p>
        </w:tc>
        <w:tc>
          <w:tcPr>
            <w:tcW w:w="1349"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4.80</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2120303</w:t>
            </w:r>
          </w:p>
        </w:tc>
        <w:tc>
          <w:tcPr>
            <w:tcW w:w="3116" w:type="dxa"/>
            <w:tcBorders>
              <w:top w:val="single" w:color="auto" w:sz="4" w:space="0"/>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小城镇基础设施建设</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23.05</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23.05</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23.05</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23.05</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21208</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国有土地使用权出让收入安排的支出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236.64</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236.64</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2120801</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征地和拆迁补偿支出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149.62</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149.62</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2120814</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87.02</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87.02</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911.21</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911.21</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321.19</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321.19</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2130102</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34.77</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34.77</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256.59</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256.59</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2.03</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2.03</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2130119</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防灾救灾</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2130199</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其他农业农村支出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21.80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21.80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33.98</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33.98</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2130205</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森林资源培育</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2130234</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林业草原防灾减灾</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2.99</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2.99</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2130299</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其他林业和草原支出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10.99</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10.99</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21303</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水利</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51.90</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51.90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2130310</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水土保持</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0.01</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0.01</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2130314</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防汛</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51.90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51.90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33.79</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33.79</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33.79</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33.79</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470.35</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470.35</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82.00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388.35</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388.35</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auto"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3116" w:type="dxa"/>
            <w:tcBorders>
              <w:top w:val="nil"/>
              <w:left w:val="nil"/>
              <w:bottom w:val="single" w:color="auto"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127.63</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127.63</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3116" w:type="dxa"/>
            <w:tcBorders>
              <w:top w:val="single" w:color="auto" w:sz="4" w:space="0"/>
              <w:left w:val="nil"/>
              <w:bottom w:val="single" w:color="auto" w:sz="4" w:space="0"/>
              <w:right w:val="single" w:color="auto"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1349"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127.63</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127.63</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2140104</w:t>
            </w:r>
          </w:p>
        </w:tc>
        <w:tc>
          <w:tcPr>
            <w:tcW w:w="3116" w:type="dxa"/>
            <w:tcBorders>
              <w:top w:val="single" w:color="auto" w:sz="4" w:space="0"/>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公路建设</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119.46</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119.46</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2140106</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公路养护</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8.16</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8.16</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资源勘探工业信息等支出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1,734.20</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1,734.20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21508</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支持中小企业发展和管理支出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1,734.20</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1,734.20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2150899</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其他支持中小企业发展和管理支出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1,734.20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1,734.20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商业服务业等支出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6.78</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6.78</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21602</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商业流通事务</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6.78</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6.78</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2160299</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其他商业流通事务支出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6.78</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6.78</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17.99</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17.99</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17.99</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17.99</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17.99</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17.99</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99.78</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99.78</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6.30</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2210105</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农村危房改造</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93.48</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93.48</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93.48</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93.48</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33.79</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33.79</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29.67</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29.67</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2240199</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其他应急管理支出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29.67</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29.67</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2240601</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地质灾害防治</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22407</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自然灾害救灾及恢复重建支出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2240703</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自然灾害救灾补助</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0.80</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22960</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彩票公益金安排的支出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0.80</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2296002</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用于社会福利的彩票公益金支出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p>
    <w:tbl>
      <w:tblPr>
        <w:tblStyle w:val="9"/>
        <w:tblW w:w="15322" w:type="dxa"/>
        <w:tblInd w:w="0" w:type="dxa"/>
        <w:tblLayout w:type="fixed"/>
        <w:tblCellMar>
          <w:top w:w="0" w:type="dxa"/>
          <w:left w:w="0" w:type="dxa"/>
          <w:bottom w:w="0" w:type="dxa"/>
          <w:right w:w="0" w:type="dxa"/>
        </w:tblCellMar>
      </w:tblPr>
      <w:tblGrid>
        <w:gridCol w:w="1483"/>
        <w:gridCol w:w="3552"/>
        <w:gridCol w:w="1667"/>
        <w:gridCol w:w="1716"/>
        <w:gridCol w:w="1649"/>
        <w:gridCol w:w="1581"/>
        <w:gridCol w:w="1716"/>
        <w:gridCol w:w="1958"/>
      </w:tblGrid>
      <w:tr>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6702" w:type="dxa"/>
            <w:gridSpan w:val="3"/>
            <w:vMerge w:val="restart"/>
            <w:tcBorders>
              <w:top w:val="nil"/>
              <w:left w:val="nil"/>
              <w:right w:val="nil"/>
            </w:tcBorders>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 xml:space="preserve">垫江县曹回镇人民政府 </w:t>
            </w:r>
          </w:p>
        </w:tc>
        <w:tc>
          <w:tcPr>
            <w:tcW w:w="1716"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649"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581"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716"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958" w:type="dxa"/>
            <w:tcBorders>
              <w:top w:val="nil"/>
              <w:left w:val="nil"/>
              <w:bottom w:val="nil"/>
              <w:right w:val="nil"/>
            </w:tcBorders>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6702" w:type="dxa"/>
            <w:gridSpan w:val="3"/>
            <w:vMerge w:val="continue"/>
            <w:tcBorders>
              <w:left w:val="nil"/>
              <w:bottom w:val="nil"/>
              <w:right w:val="nil"/>
            </w:tcBorders>
            <w:tcMar>
              <w:top w:w="15" w:type="dxa"/>
              <w:left w:w="15" w:type="dxa"/>
              <w:right w:w="15" w:type="dxa"/>
            </w:tcMar>
            <w:vAlign w:val="bottom"/>
          </w:tcPr>
          <w:p>
            <w:pPr>
              <w:rPr>
                <w:rFonts w:hint="default" w:cs="宋体"/>
                <w:color w:val="000000"/>
                <w:sz w:val="20"/>
                <w:szCs w:val="20"/>
              </w:rPr>
            </w:pPr>
          </w:p>
        </w:tc>
        <w:tc>
          <w:tcPr>
            <w:tcW w:w="1716"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649"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581"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716"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958" w:type="dxa"/>
            <w:tcBorders>
              <w:top w:val="nil"/>
              <w:left w:val="nil"/>
              <w:bottom w:val="nil"/>
              <w:right w:val="nil"/>
            </w:tcBorders>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50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66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1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4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8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71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5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1483"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52" w:type="dxa"/>
            <w:vMerge w:val="restart"/>
            <w:tcBorders>
              <w:top w:val="nil"/>
              <w:left w:val="nil"/>
              <w:bottom w:val="single" w:color="000000" w:sz="4" w:space="0"/>
              <w:right w:val="nil"/>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552" w:type="dxa"/>
            <w:vMerge w:val="continue"/>
            <w:tcBorders>
              <w:top w:val="nil"/>
              <w:left w:val="nil"/>
              <w:bottom w:val="single" w:color="000000" w:sz="4" w:space="0"/>
              <w:right w:val="nil"/>
            </w:tcBorders>
            <w:tcMar>
              <w:top w:w="15" w:type="dxa"/>
              <w:left w:w="15" w:type="dxa"/>
              <w:right w:w="15" w:type="dxa"/>
            </w:tcMar>
            <w:vAlign w:val="center"/>
          </w:tcPr>
          <w:p>
            <w:pPr>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552" w:type="dxa"/>
            <w:vMerge w:val="continue"/>
            <w:tcBorders>
              <w:top w:val="nil"/>
              <w:left w:val="nil"/>
              <w:bottom w:val="single" w:color="000000" w:sz="4" w:space="0"/>
              <w:right w:val="nil"/>
            </w:tcBorders>
            <w:tcMar>
              <w:top w:w="15" w:type="dxa"/>
              <w:left w:w="15" w:type="dxa"/>
              <w:right w:w="15" w:type="dxa"/>
            </w:tcMar>
            <w:vAlign w:val="center"/>
          </w:tcPr>
          <w:p>
            <w:pPr>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552" w:type="dxa"/>
            <w:vMerge w:val="continue"/>
            <w:tcBorders>
              <w:top w:val="nil"/>
              <w:left w:val="nil"/>
              <w:bottom w:val="single" w:color="000000" w:sz="4" w:space="0"/>
              <w:right w:val="nil"/>
            </w:tcBorders>
            <w:tcMar>
              <w:top w:w="15" w:type="dxa"/>
              <w:left w:w="15" w:type="dxa"/>
              <w:right w:w="15" w:type="dxa"/>
            </w:tcMar>
            <w:vAlign w:val="center"/>
          </w:tcPr>
          <w:p>
            <w:pPr>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50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6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4,929.87</w:t>
            </w:r>
            <w:r>
              <w:rPr>
                <w:rFonts w:ascii="Times New Roman" w:hAnsi="Times New Roman"/>
                <w:b/>
                <w:color w:val="000000"/>
                <w:sz w:val="20"/>
              </w:rPr>
              <w:t xml:space="preserve"> </w:t>
            </w:r>
          </w:p>
        </w:tc>
        <w:tc>
          <w:tcPr>
            <w:tcW w:w="171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1,997.76</w:t>
            </w:r>
            <w:r>
              <w:rPr>
                <w:rFonts w:ascii="Times New Roman" w:hAnsi="Times New Roman"/>
                <w:b/>
                <w:color w:val="000000"/>
                <w:sz w:val="20"/>
              </w:rPr>
              <w:t xml:space="preserve"> </w:t>
            </w:r>
          </w:p>
        </w:tc>
        <w:tc>
          <w:tcPr>
            <w:tcW w:w="164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2,932.11</w:t>
            </w:r>
            <w:r>
              <w:rPr>
                <w:rFonts w:ascii="Times New Roman" w:hAnsi="Times New Roman"/>
                <w:b/>
                <w:color w:val="000000"/>
                <w:sz w:val="20"/>
              </w:rPr>
              <w:t xml:space="preserve"> </w:t>
            </w:r>
          </w:p>
        </w:tc>
        <w:tc>
          <w:tcPr>
            <w:tcW w:w="158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1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958"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890.67</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734.85</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155.82</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9.32</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9.32</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2010104</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人大会议</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1.92</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1.92</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2010108</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代表工作</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838.25</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734.85</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103.41</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734.85</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734.85</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103.41</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103.41</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2.62</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2.62</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2.62</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2.62</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20111</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纪检监察事务</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1.44</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1.44</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2011199</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其他纪检监察事务支出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20113</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商贸事务</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7.94</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7.94</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2011308</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招商引资</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7.94</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7.94</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20131</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党委办公厅（室）及相关机构事务</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19.81</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19.81</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auto"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2013102</w:t>
            </w:r>
          </w:p>
        </w:tc>
        <w:tc>
          <w:tcPr>
            <w:tcW w:w="3552" w:type="dxa"/>
            <w:tcBorders>
              <w:top w:val="nil"/>
              <w:left w:val="nil"/>
              <w:bottom w:val="single" w:color="auto"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19.81</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19.81</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3552" w:type="dxa"/>
            <w:tcBorders>
              <w:top w:val="single" w:color="auto" w:sz="4" w:space="0"/>
              <w:left w:val="nil"/>
              <w:bottom w:val="single" w:color="auto" w:sz="4" w:space="0"/>
              <w:right w:val="single" w:color="auto"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1667"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2.71</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2.71</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3552" w:type="dxa"/>
            <w:tcBorders>
              <w:top w:val="single" w:color="auto" w:sz="4" w:space="0"/>
              <w:left w:val="nil"/>
              <w:bottom w:val="single" w:color="auto"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2.71</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2.71</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20136</w:t>
            </w:r>
          </w:p>
        </w:tc>
        <w:tc>
          <w:tcPr>
            <w:tcW w:w="3552" w:type="dxa"/>
            <w:tcBorders>
              <w:top w:val="single" w:color="auto" w:sz="4" w:space="0"/>
              <w:left w:val="nil"/>
              <w:bottom w:val="single" w:color="auto" w:sz="4" w:space="0"/>
              <w:right w:val="single" w:color="auto"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其他共产党事务支出</w:t>
            </w:r>
          </w:p>
        </w:tc>
        <w:tc>
          <w:tcPr>
            <w:tcW w:w="1667"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2.76</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2.76</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2013699</w:t>
            </w:r>
          </w:p>
        </w:tc>
        <w:tc>
          <w:tcPr>
            <w:tcW w:w="3552" w:type="dxa"/>
            <w:tcBorders>
              <w:top w:val="single" w:color="auto" w:sz="4" w:space="0"/>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其他共产党事务支出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2.76</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2.76</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20138</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市场监督管理事务</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5.76</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5.76</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2013802</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5.76</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5.76</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20140</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信访事务</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0.05</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0.05</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2014002</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0.05</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0.05</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公共安全支出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10.48</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10.48</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20402</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公安</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8.88</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8.88</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2040202</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8.88</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8.88</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20406</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司法</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2040602</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74.99</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69.37</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5.62</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74.99</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69.37</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5.62</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69.37</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69.37</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5.62</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5.62</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445.75</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379.22</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66.53</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101.73</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84.53</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17.19</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2080102</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2080150</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84.53</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84.53</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15.87</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15.87</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262.20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262.20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139.35</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139.35</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68.74</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68.74</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54.11</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54.11</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2.36</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2.36</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auto"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2080899</w:t>
            </w:r>
          </w:p>
        </w:tc>
        <w:tc>
          <w:tcPr>
            <w:tcW w:w="3552" w:type="dxa"/>
            <w:tcBorders>
              <w:top w:val="nil"/>
              <w:left w:val="nil"/>
              <w:bottom w:val="single" w:color="auto"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其他优抚支出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2.36</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2.36</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single" w:color="auto" w:sz="4" w:space="0"/>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20809</w:t>
            </w:r>
          </w:p>
        </w:tc>
        <w:tc>
          <w:tcPr>
            <w:tcW w:w="3552" w:type="dxa"/>
            <w:tcBorders>
              <w:top w:val="single" w:color="auto" w:sz="4" w:space="0"/>
              <w:left w:val="nil"/>
              <w:bottom w:val="single" w:color="000000" w:sz="4" w:space="0"/>
              <w:right w:val="single" w:color="auto"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退役安置</w:t>
            </w:r>
          </w:p>
        </w:tc>
        <w:tc>
          <w:tcPr>
            <w:tcW w:w="1667"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2080999</w:t>
            </w:r>
          </w:p>
        </w:tc>
        <w:tc>
          <w:tcPr>
            <w:tcW w:w="3552" w:type="dxa"/>
            <w:tcBorders>
              <w:top w:val="nil"/>
              <w:left w:val="nil"/>
              <w:bottom w:val="single" w:color="000000" w:sz="4" w:space="0"/>
              <w:right w:val="single" w:color="auto"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其他退役安置支出</w:t>
            </w:r>
          </w:p>
        </w:tc>
        <w:tc>
          <w:tcPr>
            <w:tcW w:w="1667"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3552" w:type="dxa"/>
            <w:tcBorders>
              <w:top w:val="nil"/>
              <w:left w:val="nil"/>
              <w:bottom w:val="single" w:color="000000" w:sz="4" w:space="0"/>
              <w:right w:val="single" w:color="auto"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1667"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0.08</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0.08</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2081006</w:t>
            </w:r>
          </w:p>
        </w:tc>
        <w:tc>
          <w:tcPr>
            <w:tcW w:w="3552" w:type="dxa"/>
            <w:tcBorders>
              <w:top w:val="nil"/>
              <w:left w:val="nil"/>
              <w:bottom w:val="single" w:color="000000" w:sz="4" w:space="0"/>
              <w:right w:val="single" w:color="auto"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养老服务</w:t>
            </w:r>
          </w:p>
        </w:tc>
        <w:tc>
          <w:tcPr>
            <w:tcW w:w="1667"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0.08</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0.08</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3552" w:type="dxa"/>
            <w:tcBorders>
              <w:top w:val="nil"/>
              <w:left w:val="nil"/>
              <w:bottom w:val="single" w:color="000000" w:sz="4" w:space="0"/>
              <w:right w:val="single" w:color="auto"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1667"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27.56</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27.56</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3552" w:type="dxa"/>
            <w:tcBorders>
              <w:top w:val="nil"/>
              <w:left w:val="nil"/>
              <w:bottom w:val="single" w:color="000000" w:sz="4" w:space="0"/>
              <w:right w:val="single" w:color="auto"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1667"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27.56</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27.56</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20816</w:t>
            </w:r>
          </w:p>
        </w:tc>
        <w:tc>
          <w:tcPr>
            <w:tcW w:w="3552" w:type="dxa"/>
            <w:tcBorders>
              <w:top w:val="nil"/>
              <w:left w:val="nil"/>
              <w:bottom w:val="single" w:color="000000" w:sz="4" w:space="0"/>
              <w:right w:val="single" w:color="auto"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红十字事业</w:t>
            </w:r>
          </w:p>
        </w:tc>
        <w:tc>
          <w:tcPr>
            <w:tcW w:w="1667"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2081602</w:t>
            </w:r>
          </w:p>
        </w:tc>
        <w:tc>
          <w:tcPr>
            <w:tcW w:w="3552" w:type="dxa"/>
            <w:tcBorders>
              <w:top w:val="nil"/>
              <w:left w:val="nil"/>
              <w:bottom w:val="single" w:color="000000" w:sz="4" w:space="0"/>
              <w:right w:val="single" w:color="auto"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667"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20820</w:t>
            </w:r>
          </w:p>
        </w:tc>
        <w:tc>
          <w:tcPr>
            <w:tcW w:w="3552" w:type="dxa"/>
            <w:tcBorders>
              <w:top w:val="nil"/>
              <w:left w:val="nil"/>
              <w:bottom w:val="single" w:color="000000" w:sz="4" w:space="0"/>
              <w:right w:val="single" w:color="auto"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临时救助</w:t>
            </w:r>
          </w:p>
        </w:tc>
        <w:tc>
          <w:tcPr>
            <w:tcW w:w="1667"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1.47</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1.47</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2082001</w:t>
            </w:r>
          </w:p>
        </w:tc>
        <w:tc>
          <w:tcPr>
            <w:tcW w:w="3552" w:type="dxa"/>
            <w:tcBorders>
              <w:top w:val="nil"/>
              <w:left w:val="nil"/>
              <w:bottom w:val="single" w:color="000000" w:sz="4" w:space="0"/>
              <w:right w:val="single" w:color="auto"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临时救助支出</w:t>
            </w:r>
          </w:p>
        </w:tc>
        <w:tc>
          <w:tcPr>
            <w:tcW w:w="1667"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1.47</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1.47</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20825</w:t>
            </w:r>
          </w:p>
        </w:tc>
        <w:tc>
          <w:tcPr>
            <w:tcW w:w="3552" w:type="dxa"/>
            <w:tcBorders>
              <w:top w:val="nil"/>
              <w:left w:val="nil"/>
              <w:bottom w:val="single" w:color="000000" w:sz="4" w:space="0"/>
              <w:right w:val="single" w:color="auto"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其他生活救助</w:t>
            </w:r>
          </w:p>
        </w:tc>
        <w:tc>
          <w:tcPr>
            <w:tcW w:w="1667"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3.25</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3.25</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2082501</w:t>
            </w:r>
          </w:p>
        </w:tc>
        <w:tc>
          <w:tcPr>
            <w:tcW w:w="3552" w:type="dxa"/>
            <w:tcBorders>
              <w:top w:val="nil"/>
              <w:left w:val="nil"/>
              <w:bottom w:val="single" w:color="000000" w:sz="4" w:space="0"/>
              <w:right w:val="single" w:color="auto"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其他城市生活救助</w:t>
            </w:r>
          </w:p>
        </w:tc>
        <w:tc>
          <w:tcPr>
            <w:tcW w:w="1667"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3.25</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3.25</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3552" w:type="dxa"/>
            <w:tcBorders>
              <w:top w:val="nil"/>
              <w:left w:val="nil"/>
              <w:bottom w:val="single" w:color="000000" w:sz="4" w:space="0"/>
              <w:right w:val="single" w:color="auto"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1667"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44.01</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32.49</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11.52</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2082804</w:t>
            </w:r>
          </w:p>
        </w:tc>
        <w:tc>
          <w:tcPr>
            <w:tcW w:w="3552" w:type="dxa"/>
            <w:tcBorders>
              <w:top w:val="nil"/>
              <w:left w:val="nil"/>
              <w:bottom w:val="single" w:color="000000" w:sz="4" w:space="0"/>
              <w:right w:val="single" w:color="auto"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拥军优属</w:t>
            </w:r>
          </w:p>
        </w:tc>
        <w:tc>
          <w:tcPr>
            <w:tcW w:w="1667"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0.48</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0.48</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2082850</w:t>
            </w:r>
          </w:p>
        </w:tc>
        <w:tc>
          <w:tcPr>
            <w:tcW w:w="3552" w:type="dxa"/>
            <w:tcBorders>
              <w:top w:val="nil"/>
              <w:left w:val="nil"/>
              <w:bottom w:val="single" w:color="000000" w:sz="4" w:space="0"/>
              <w:right w:val="single" w:color="auto"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667"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32.49</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32.49</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2082899</w:t>
            </w:r>
          </w:p>
        </w:tc>
        <w:tc>
          <w:tcPr>
            <w:tcW w:w="3552" w:type="dxa"/>
            <w:tcBorders>
              <w:top w:val="nil"/>
              <w:left w:val="nil"/>
              <w:bottom w:val="single" w:color="000000" w:sz="4" w:space="0"/>
              <w:right w:val="single" w:color="auto"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其他退役军人事务管理支出</w:t>
            </w:r>
          </w:p>
        </w:tc>
        <w:tc>
          <w:tcPr>
            <w:tcW w:w="1667"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11.04</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11.04</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552" w:type="dxa"/>
            <w:tcBorders>
              <w:top w:val="nil"/>
              <w:left w:val="nil"/>
              <w:bottom w:val="single" w:color="000000" w:sz="4" w:space="0"/>
              <w:right w:val="single" w:color="auto"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667"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62.72</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58.44</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4.28</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21007</w:t>
            </w:r>
          </w:p>
        </w:tc>
        <w:tc>
          <w:tcPr>
            <w:tcW w:w="3552" w:type="dxa"/>
            <w:tcBorders>
              <w:top w:val="nil"/>
              <w:left w:val="nil"/>
              <w:bottom w:val="single" w:color="000000" w:sz="4" w:space="0"/>
              <w:right w:val="single" w:color="auto"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计划生育事务</w:t>
            </w:r>
          </w:p>
        </w:tc>
        <w:tc>
          <w:tcPr>
            <w:tcW w:w="1667"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0.72</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0.72</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2100799</w:t>
            </w:r>
          </w:p>
        </w:tc>
        <w:tc>
          <w:tcPr>
            <w:tcW w:w="3552" w:type="dxa"/>
            <w:tcBorders>
              <w:top w:val="nil"/>
              <w:left w:val="nil"/>
              <w:bottom w:val="single" w:color="000000" w:sz="4" w:space="0"/>
              <w:right w:val="single" w:color="auto"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其他计划生育事务支出</w:t>
            </w:r>
          </w:p>
        </w:tc>
        <w:tc>
          <w:tcPr>
            <w:tcW w:w="1667"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0.72</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0.72</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552" w:type="dxa"/>
            <w:tcBorders>
              <w:top w:val="nil"/>
              <w:left w:val="nil"/>
              <w:bottom w:val="single" w:color="000000" w:sz="4" w:space="0"/>
              <w:right w:val="single" w:color="auto"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667"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58.44</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58.44</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552" w:type="dxa"/>
            <w:tcBorders>
              <w:top w:val="nil"/>
              <w:left w:val="nil"/>
              <w:bottom w:val="single" w:color="000000" w:sz="4" w:space="0"/>
              <w:right w:val="single" w:color="auto"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667"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33.38</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33.38</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552" w:type="dxa"/>
            <w:tcBorders>
              <w:top w:val="nil"/>
              <w:left w:val="nil"/>
              <w:bottom w:val="single" w:color="000000" w:sz="4" w:space="0"/>
              <w:right w:val="single" w:color="auto"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667"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25.06</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25.06</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21014</w:t>
            </w:r>
          </w:p>
        </w:tc>
        <w:tc>
          <w:tcPr>
            <w:tcW w:w="3552" w:type="dxa"/>
            <w:tcBorders>
              <w:top w:val="nil"/>
              <w:left w:val="nil"/>
              <w:bottom w:val="single" w:color="000000" w:sz="4" w:space="0"/>
              <w:right w:val="single" w:color="auto"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优抚对象医疗</w:t>
            </w:r>
          </w:p>
        </w:tc>
        <w:tc>
          <w:tcPr>
            <w:tcW w:w="1667"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2101401</w:t>
            </w:r>
          </w:p>
        </w:tc>
        <w:tc>
          <w:tcPr>
            <w:tcW w:w="3552" w:type="dxa"/>
            <w:tcBorders>
              <w:top w:val="nil"/>
              <w:left w:val="nil"/>
              <w:bottom w:val="single" w:color="000000" w:sz="4" w:space="0"/>
              <w:right w:val="single" w:color="auto"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优抚对象医疗补助</w:t>
            </w:r>
          </w:p>
        </w:tc>
        <w:tc>
          <w:tcPr>
            <w:tcW w:w="1667"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3552" w:type="dxa"/>
            <w:tcBorders>
              <w:top w:val="nil"/>
              <w:left w:val="nil"/>
              <w:bottom w:val="single" w:color="000000" w:sz="4" w:space="0"/>
              <w:right w:val="single" w:color="auto"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1667"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1.66</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1.66</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auto" w:sz="4" w:space="0"/>
              <w:bottom w:val="single" w:color="auto"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2101506</w:t>
            </w:r>
          </w:p>
        </w:tc>
        <w:tc>
          <w:tcPr>
            <w:tcW w:w="3552" w:type="dxa"/>
            <w:tcBorders>
              <w:top w:val="nil"/>
              <w:left w:val="nil"/>
              <w:bottom w:val="single" w:color="auto" w:sz="4" w:space="0"/>
              <w:right w:val="single" w:color="auto"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医疗保障经办事务</w:t>
            </w:r>
          </w:p>
        </w:tc>
        <w:tc>
          <w:tcPr>
            <w:tcW w:w="1667"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552" w:type="dxa"/>
            <w:tcBorders>
              <w:top w:val="single" w:color="auto" w:sz="4" w:space="0"/>
              <w:left w:val="nil"/>
              <w:bottom w:val="single" w:color="auto" w:sz="4" w:space="0"/>
              <w:right w:val="single" w:color="auto"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667"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366.48</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94.37</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272.11</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3552" w:type="dxa"/>
            <w:tcBorders>
              <w:top w:val="single" w:color="auto" w:sz="4" w:space="0"/>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94.37</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94.37</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2120104</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城管执法</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94.37</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94.37</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21203</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城乡社区公共设施</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12.41</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12.41</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2120303</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小城镇基础设施建设</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12.41</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12.41</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23.05</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23.05</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23.05</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23.05</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21208</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国有土地使用权出让收入安排的支出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236.64</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236.64</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2120801</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征地和拆迁补偿支出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149.62</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149.62</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2120814</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87.02</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87.02</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1,057.83</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568.05</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489.78</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321.19</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256.59</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64.60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2130102</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34.77</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34.77</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256.59</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256.59</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2.03</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2.03</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2130119</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防灾救灾</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2130199</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其他农业农村支出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21.80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21.80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33.98</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33.98</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2130205</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森林资源培育</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2130234</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林业草原防灾减灾</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2.99</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2.99</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2130299</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其他林业和草原支出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10.99</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10.99</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21303</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水利</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198.52</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198.52</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2130310</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水土保持</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146.63</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146.63</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2130314</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防汛</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51.90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51.90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auto"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3552" w:type="dxa"/>
            <w:tcBorders>
              <w:top w:val="nil"/>
              <w:left w:val="nil"/>
              <w:bottom w:val="single" w:color="auto"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1667"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33.79</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33.79</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3552" w:type="dxa"/>
            <w:tcBorders>
              <w:top w:val="single" w:color="auto" w:sz="4" w:space="0"/>
              <w:left w:val="nil"/>
              <w:bottom w:val="single" w:color="auto"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1667"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33.79</w:t>
            </w:r>
            <w:r>
              <w:rPr>
                <w:rFonts w:ascii="Times New Roman" w:hAnsi="Times New Roman"/>
                <w:color w:val="000000"/>
                <w:sz w:val="20"/>
              </w:rPr>
              <w:t xml:space="preserve"> </w:t>
            </w:r>
          </w:p>
        </w:tc>
        <w:tc>
          <w:tcPr>
            <w:tcW w:w="1716"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33.79</w:t>
            </w:r>
            <w:r>
              <w:rPr>
                <w:rFonts w:ascii="Times New Roman" w:hAnsi="Times New Roman"/>
                <w:color w:val="000000"/>
                <w:sz w:val="20"/>
              </w:rPr>
              <w:t xml:space="preserve"> </w:t>
            </w:r>
          </w:p>
        </w:tc>
        <w:tc>
          <w:tcPr>
            <w:tcW w:w="1581"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3552" w:type="dxa"/>
            <w:tcBorders>
              <w:top w:val="single" w:color="auto" w:sz="4" w:space="0"/>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1667"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470.35</w:t>
            </w:r>
            <w:r>
              <w:rPr>
                <w:rFonts w:ascii="Times New Roman" w:hAnsi="Times New Roman"/>
                <w:b/>
                <w:color w:val="000000"/>
                <w:sz w:val="20"/>
              </w:rPr>
              <w:t xml:space="preserve"> </w:t>
            </w:r>
          </w:p>
        </w:tc>
        <w:tc>
          <w:tcPr>
            <w:tcW w:w="1716"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311.47</w:t>
            </w:r>
            <w:r>
              <w:rPr>
                <w:rFonts w:ascii="Times New Roman" w:hAnsi="Times New Roman"/>
                <w:b/>
                <w:color w:val="000000"/>
                <w:sz w:val="20"/>
              </w:rPr>
              <w:t xml:space="preserve"> </w:t>
            </w:r>
          </w:p>
        </w:tc>
        <w:tc>
          <w:tcPr>
            <w:tcW w:w="1649"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158.88</w:t>
            </w:r>
            <w:r>
              <w:rPr>
                <w:rFonts w:ascii="Times New Roman" w:hAnsi="Times New Roman"/>
                <w:b/>
                <w:color w:val="000000"/>
                <w:sz w:val="20"/>
              </w:rPr>
              <w:t xml:space="preserve"> </w:t>
            </w:r>
          </w:p>
        </w:tc>
        <w:tc>
          <w:tcPr>
            <w:tcW w:w="1581"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388.35</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311.47</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76.88</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127.63</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127.63</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127.63</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127.63</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2140104</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公路建设</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119.46</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119.46</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2140106</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公路养护</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8.16</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8.16</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资源勘探工业信息等支出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1,734.20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1,734.20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21508</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支持中小企业发展和管理支出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1,734.20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1,734.20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2150899</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其他支持中小企业发展和管理支出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1,734.20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1,734.20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商业服务业等支出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6.78</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6.78</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21602</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商业流通事务</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6.78</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6.78</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2160299</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其他商业流通事务支出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6.78</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6.78</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17.99</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17.99</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17.99</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17.99</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17.99</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17.99</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99.78</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93.48</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2210105</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农村危房改造</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93.48</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93.48</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93.48</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93.48</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33.79</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33.79</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29.67</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29.67</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2240199</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其他应急管理支出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29.67</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29.67</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auto"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3552" w:type="dxa"/>
            <w:tcBorders>
              <w:top w:val="nil"/>
              <w:left w:val="nil"/>
              <w:bottom w:val="single" w:color="auto"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2240601</w:t>
            </w:r>
          </w:p>
        </w:tc>
        <w:tc>
          <w:tcPr>
            <w:tcW w:w="3552" w:type="dxa"/>
            <w:tcBorders>
              <w:top w:val="single" w:color="auto" w:sz="4" w:space="0"/>
              <w:left w:val="nil"/>
              <w:bottom w:val="single" w:color="auto" w:sz="4" w:space="0"/>
              <w:right w:val="single" w:color="auto"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地质灾害防治</w:t>
            </w:r>
          </w:p>
        </w:tc>
        <w:tc>
          <w:tcPr>
            <w:tcW w:w="1667"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22407</w:t>
            </w:r>
          </w:p>
        </w:tc>
        <w:tc>
          <w:tcPr>
            <w:tcW w:w="3552" w:type="dxa"/>
            <w:tcBorders>
              <w:top w:val="single" w:color="auto" w:sz="4" w:space="0"/>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自然灾害救灾及恢复重建支出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2240703</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自然灾害救灾补助</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22960</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彩票公益金安排的支出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2296002</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用于社会福利的彩票公益金支出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9"/>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rPr>
              <w:t>垫江县曹回镇人民政府</w:t>
            </w:r>
          </w:p>
        </w:tc>
        <w:tc>
          <w:tcPr>
            <w:tcW w:w="1694" w:type="dxa"/>
            <w:tcBorders>
              <w:top w:val="nil"/>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4,518.19</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890.67</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890.67</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237.44</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10.48</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10.48</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74.99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74.99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445.75</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445.75</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62.72</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62.72</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366.48</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129.84</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236.64</w:t>
            </w: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1,057.83</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1,057.83</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127.63</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127.63</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1,734.20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1,734.20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6.78</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6.78</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17.99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17.99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99.78</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99.78</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33.79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33.79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0.80</w:t>
            </w: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4,755.64</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4,929.87</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4,692.43</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237.44</w:t>
            </w: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175.23</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175.23</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4,930.87</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4,930.87</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4,693.43</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237.44</w:t>
            </w: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15322" w:type="dxa"/>
        <w:tblInd w:w="0" w:type="dxa"/>
        <w:tblLayout w:type="fixed"/>
        <w:tblCellMar>
          <w:top w:w="0" w:type="dxa"/>
          <w:left w:w="0" w:type="dxa"/>
          <w:bottom w:w="0" w:type="dxa"/>
          <w:right w:w="0" w:type="dxa"/>
        </w:tblCellMar>
      </w:tblPr>
      <w:tblGrid>
        <w:gridCol w:w="1486"/>
        <w:gridCol w:w="3895"/>
        <w:gridCol w:w="3306"/>
        <w:gridCol w:w="3300"/>
        <w:gridCol w:w="3335"/>
      </w:tblGrid>
      <w:tr>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8687" w:type="dxa"/>
            <w:gridSpan w:val="3"/>
            <w:vMerge w:val="restart"/>
            <w:tcBorders>
              <w:top w:val="nil"/>
              <w:left w:val="nil"/>
              <w:right w:val="nil"/>
            </w:tcBorders>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垫江县曹回镇人民政府</w:t>
            </w:r>
          </w:p>
        </w:tc>
        <w:tc>
          <w:tcPr>
            <w:tcW w:w="3300"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3335" w:type="dxa"/>
            <w:tcBorders>
              <w:top w:val="nil"/>
              <w:left w:val="nil"/>
              <w:bottom w:val="nil"/>
              <w:right w:val="nil"/>
            </w:tcBorders>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8687" w:type="dxa"/>
            <w:gridSpan w:val="3"/>
            <w:vMerge w:val="continue"/>
            <w:tcBorders>
              <w:left w:val="nil"/>
              <w:bottom w:val="nil"/>
              <w:right w:val="nil"/>
            </w:tcBorders>
            <w:tcMar>
              <w:top w:w="15" w:type="dxa"/>
              <w:left w:w="15" w:type="dxa"/>
              <w:right w:w="15" w:type="dxa"/>
            </w:tcMar>
            <w:vAlign w:val="bottom"/>
          </w:tcPr>
          <w:p>
            <w:pPr>
              <w:rPr>
                <w:rFonts w:hint="default" w:cs="宋体"/>
                <w:color w:val="000000"/>
                <w:sz w:val="20"/>
                <w:szCs w:val="20"/>
              </w:rPr>
            </w:pPr>
          </w:p>
        </w:tc>
        <w:tc>
          <w:tcPr>
            <w:tcW w:w="3300"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3335" w:type="dxa"/>
            <w:tcBorders>
              <w:top w:val="nil"/>
              <w:left w:val="nil"/>
              <w:bottom w:val="nil"/>
              <w:right w:val="nil"/>
            </w:tcBorders>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538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1"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1486"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895" w:type="dxa"/>
            <w:vMerge w:val="restart"/>
            <w:tcBorders>
              <w:top w:val="nil"/>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0" w:type="dxa"/>
            <w:vMerge w:val="restart"/>
            <w:tcBorders>
              <w:top w:val="nil"/>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35" w:type="dxa"/>
            <w:vMerge w:val="restart"/>
            <w:tcBorders>
              <w:top w:val="nil"/>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1486"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1486"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5381"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4,692.43</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1,997.76</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2,694.67</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890.67</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734.85</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155.82</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9.32</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9.32</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2010104</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人大会议</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1.92</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1.92</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2010108</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代表工作</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838.25</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734.85</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103.41</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734.85</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734.85</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103.41</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103.41</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2.62</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2.62</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2.62</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2.62</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20111</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纪检监察事务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1.44</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1.44</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2011199</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其他纪检监察事务支出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1.44</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1.44</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20113</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商贸事务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7.94</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7.94</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2011308</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招商引资</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7.94</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7.94</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20131</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党委办公厅（室）及相关机构事务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19.81</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19.81</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2013102</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19.81</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19.81</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2.71</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2.71</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2.71</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2.71</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20136</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其他共产党事务支出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2.76</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2.76</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2013699</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其他共产党事务支出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2.76</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2.76</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auto"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20138</w:t>
            </w:r>
          </w:p>
        </w:tc>
        <w:tc>
          <w:tcPr>
            <w:tcW w:w="3895" w:type="dxa"/>
            <w:tcBorders>
              <w:top w:val="nil"/>
              <w:left w:val="nil"/>
              <w:bottom w:val="single" w:color="auto"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市场监督管理事务</w:t>
            </w:r>
          </w:p>
        </w:tc>
        <w:tc>
          <w:tcPr>
            <w:tcW w:w="3306" w:type="dxa"/>
            <w:tcBorders>
              <w:top w:val="nil"/>
              <w:left w:val="nil"/>
              <w:bottom w:val="single" w:color="auto"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5.76</w:t>
            </w:r>
            <w:r>
              <w:rPr>
                <w:rFonts w:ascii="Times New Roman" w:hAnsi="Times New Roman"/>
                <w:b/>
                <w:color w:val="000000"/>
                <w:sz w:val="20"/>
              </w:rPr>
              <w:t xml:space="preserve"> </w:t>
            </w:r>
          </w:p>
        </w:tc>
        <w:tc>
          <w:tcPr>
            <w:tcW w:w="3300" w:type="dxa"/>
            <w:tcBorders>
              <w:top w:val="nil"/>
              <w:left w:val="nil"/>
              <w:bottom w:val="single" w:color="auto"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auto"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5.76</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2013802</w:t>
            </w:r>
          </w:p>
        </w:tc>
        <w:tc>
          <w:tcPr>
            <w:tcW w:w="3895" w:type="dxa"/>
            <w:tcBorders>
              <w:top w:val="single" w:color="auto" w:sz="4" w:space="0"/>
              <w:left w:val="nil"/>
              <w:bottom w:val="single" w:color="auto" w:sz="4" w:space="0"/>
              <w:right w:val="single" w:color="auto"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5.76</w:t>
            </w:r>
            <w:r>
              <w:rPr>
                <w:rFonts w:ascii="Times New Roman" w:hAnsi="Times New Roman"/>
                <w:color w:val="000000"/>
                <w:sz w:val="20"/>
              </w:rPr>
              <w:t xml:space="preserve"> </w:t>
            </w:r>
          </w:p>
        </w:tc>
        <w:tc>
          <w:tcPr>
            <w:tcW w:w="3300" w:type="dxa"/>
            <w:tcBorders>
              <w:top w:val="single" w:color="auto" w:sz="4" w:space="0"/>
              <w:left w:val="nil"/>
              <w:bottom w:val="single" w:color="auto"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5.76</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20140</w:t>
            </w:r>
          </w:p>
        </w:tc>
        <w:tc>
          <w:tcPr>
            <w:tcW w:w="3895" w:type="dxa"/>
            <w:tcBorders>
              <w:top w:val="single" w:color="auto" w:sz="4" w:space="0"/>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信访事务</w:t>
            </w:r>
          </w:p>
        </w:tc>
        <w:tc>
          <w:tcPr>
            <w:tcW w:w="3306" w:type="dxa"/>
            <w:tcBorders>
              <w:top w:val="single" w:color="auto" w:sz="4" w:space="0"/>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0.05</w:t>
            </w:r>
            <w:r>
              <w:rPr>
                <w:rFonts w:ascii="Times New Roman" w:hAnsi="Times New Roman"/>
                <w:b/>
                <w:color w:val="000000"/>
                <w:sz w:val="20"/>
              </w:rPr>
              <w:t xml:space="preserve"> </w:t>
            </w:r>
          </w:p>
        </w:tc>
        <w:tc>
          <w:tcPr>
            <w:tcW w:w="3300" w:type="dxa"/>
            <w:tcBorders>
              <w:top w:val="single" w:color="auto" w:sz="4" w:space="0"/>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single" w:color="auto" w:sz="4" w:space="0"/>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0.05</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2014002</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0.05</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0.05</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公共安全支出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10.48</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10.48</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20402</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公安</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8.88</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8.88</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2040202</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8.88</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8.88</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20406</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司法</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1.60</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2040602</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74.99</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69.37</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5.62</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74.99</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69.37</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5.62</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69.37</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69.37</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5.62</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5.62</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445.75</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379.22</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66.53</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101.73</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84.53</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17.19</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2080102</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1.32</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1.32</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2080150</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84.53</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84.53</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15.87</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15.87</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262.20</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262.20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139.35</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139.35</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68.74</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68.74</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54.11</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54.11</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2.36</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2.36</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2080899</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其他优抚支出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2.36</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2.36</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20809</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退役安置</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2080999</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其他退役安置支出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0.08</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0.08</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2081006</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养老服务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0.08</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0.08</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27.56</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27.56</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27.56</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27.56</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auto"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20816</w:t>
            </w:r>
          </w:p>
        </w:tc>
        <w:tc>
          <w:tcPr>
            <w:tcW w:w="3895" w:type="dxa"/>
            <w:tcBorders>
              <w:top w:val="nil"/>
              <w:left w:val="nil"/>
              <w:bottom w:val="single" w:color="auto"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红十字事业</w:t>
            </w:r>
          </w:p>
        </w:tc>
        <w:tc>
          <w:tcPr>
            <w:tcW w:w="3306" w:type="dxa"/>
            <w:tcBorders>
              <w:top w:val="nil"/>
              <w:left w:val="nil"/>
              <w:bottom w:val="single" w:color="auto"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rPr>
              <w:t xml:space="preserve"> </w:t>
            </w:r>
          </w:p>
        </w:tc>
        <w:tc>
          <w:tcPr>
            <w:tcW w:w="3300" w:type="dxa"/>
            <w:tcBorders>
              <w:top w:val="nil"/>
              <w:left w:val="nil"/>
              <w:bottom w:val="single" w:color="auto"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auto"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2081602</w:t>
            </w:r>
          </w:p>
        </w:tc>
        <w:tc>
          <w:tcPr>
            <w:tcW w:w="3895" w:type="dxa"/>
            <w:tcBorders>
              <w:top w:val="single" w:color="auto" w:sz="4" w:space="0"/>
              <w:left w:val="nil"/>
              <w:bottom w:val="single" w:color="auto" w:sz="4" w:space="0"/>
              <w:right w:val="single" w:color="auto"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0.10</w:t>
            </w:r>
            <w:r>
              <w:rPr>
                <w:rFonts w:ascii="Times New Roman" w:hAnsi="Times New Roman"/>
                <w:color w:val="000000"/>
                <w:sz w:val="20"/>
              </w:rPr>
              <w:t xml:space="preserve"> </w:t>
            </w:r>
          </w:p>
        </w:tc>
        <w:tc>
          <w:tcPr>
            <w:tcW w:w="3300" w:type="dxa"/>
            <w:tcBorders>
              <w:top w:val="single" w:color="auto" w:sz="4" w:space="0"/>
              <w:left w:val="nil"/>
              <w:bottom w:val="single" w:color="auto"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20820</w:t>
            </w:r>
          </w:p>
        </w:tc>
        <w:tc>
          <w:tcPr>
            <w:tcW w:w="3895" w:type="dxa"/>
            <w:tcBorders>
              <w:top w:val="single" w:color="auto" w:sz="4" w:space="0"/>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临时救助</w:t>
            </w:r>
          </w:p>
        </w:tc>
        <w:tc>
          <w:tcPr>
            <w:tcW w:w="3306" w:type="dxa"/>
            <w:tcBorders>
              <w:top w:val="single" w:color="auto" w:sz="4" w:space="0"/>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1.47</w:t>
            </w:r>
            <w:r>
              <w:rPr>
                <w:rFonts w:ascii="Times New Roman" w:hAnsi="Times New Roman"/>
                <w:b/>
                <w:color w:val="000000"/>
                <w:sz w:val="20"/>
              </w:rPr>
              <w:t xml:space="preserve"> </w:t>
            </w:r>
          </w:p>
        </w:tc>
        <w:tc>
          <w:tcPr>
            <w:tcW w:w="3300" w:type="dxa"/>
            <w:tcBorders>
              <w:top w:val="single" w:color="auto" w:sz="4" w:space="0"/>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single" w:color="auto" w:sz="4" w:space="0"/>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1.47</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2082001</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临时救助支出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1.47</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1.47</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20825</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其他生活救助</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3.25</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3.25</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2082501</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其他城市生活救助</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3.25</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3.25</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44.01</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32.49</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11.52</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2082804</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拥军优属</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0.48</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0.48</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2082850</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32.49</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32.49</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2082899</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其他退役军人事务管理支出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11.04</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11.04</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62.72</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58.44</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4.28</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21007</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计划生育事务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0.72</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0.72</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2100799</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其他计划生育事务支出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0.72</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0.72</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58.44</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58.44</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33.38</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33.38</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25.06</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25.06</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21014</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优抚对象医疗</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1.90</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2101401</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优抚对象医疗补助</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1.66</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1.66</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2101506</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医疗保障经办事务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1.66</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1.66</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129.84</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94.37</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35.47</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94.37</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94.37</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2120104</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城管执法</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94.37</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94.37</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21203</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城乡社区公共设施</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12.41</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12.41</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2120303</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小城镇基础设施建设</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12.41</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12.41</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23.05</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23.05</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23.05</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23.05</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1,057.83</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568.05</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489.78</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321.19</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256.59</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64.60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2130102</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34.77</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34.77</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auto"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3895" w:type="dxa"/>
            <w:tcBorders>
              <w:top w:val="nil"/>
              <w:left w:val="nil"/>
              <w:bottom w:val="single" w:color="auto"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auto"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256.59</w:t>
            </w:r>
            <w:r>
              <w:rPr>
                <w:rFonts w:ascii="Times New Roman" w:hAnsi="Times New Roman"/>
                <w:color w:val="000000"/>
                <w:sz w:val="20"/>
              </w:rPr>
              <w:t xml:space="preserve"> </w:t>
            </w:r>
          </w:p>
        </w:tc>
        <w:tc>
          <w:tcPr>
            <w:tcW w:w="3300" w:type="dxa"/>
            <w:tcBorders>
              <w:top w:val="nil"/>
              <w:left w:val="nil"/>
              <w:bottom w:val="single" w:color="auto"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256.59</w:t>
            </w:r>
            <w:r>
              <w:rPr>
                <w:rFonts w:ascii="Times New Roman" w:hAnsi="Times New Roman"/>
                <w:color w:val="000000"/>
                <w:sz w:val="20"/>
              </w:rPr>
              <w:t xml:space="preserve"> </w:t>
            </w:r>
          </w:p>
        </w:tc>
        <w:tc>
          <w:tcPr>
            <w:tcW w:w="3335" w:type="dxa"/>
            <w:tcBorders>
              <w:top w:val="nil"/>
              <w:left w:val="nil"/>
              <w:bottom w:val="single" w:color="auto"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3895" w:type="dxa"/>
            <w:tcBorders>
              <w:top w:val="single" w:color="auto" w:sz="4" w:space="0"/>
              <w:left w:val="nil"/>
              <w:bottom w:val="single" w:color="auto" w:sz="4" w:space="0"/>
              <w:right w:val="single" w:color="auto"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3306" w:type="dxa"/>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2.03</w:t>
            </w:r>
            <w:r>
              <w:rPr>
                <w:rFonts w:ascii="Times New Roman" w:hAnsi="Times New Roman"/>
                <w:color w:val="000000"/>
                <w:sz w:val="20"/>
              </w:rPr>
              <w:t xml:space="preserve"> </w:t>
            </w:r>
          </w:p>
        </w:tc>
        <w:tc>
          <w:tcPr>
            <w:tcW w:w="3300" w:type="dxa"/>
            <w:tcBorders>
              <w:top w:val="single" w:color="auto" w:sz="4" w:space="0"/>
              <w:left w:val="nil"/>
              <w:bottom w:val="single" w:color="auto"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2.03</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2130119</w:t>
            </w:r>
          </w:p>
        </w:tc>
        <w:tc>
          <w:tcPr>
            <w:tcW w:w="3895" w:type="dxa"/>
            <w:tcBorders>
              <w:top w:val="single" w:color="auto" w:sz="4" w:space="0"/>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防灾救灾</w:t>
            </w:r>
          </w:p>
        </w:tc>
        <w:tc>
          <w:tcPr>
            <w:tcW w:w="3306" w:type="dxa"/>
            <w:tcBorders>
              <w:top w:val="single" w:color="auto" w:sz="4" w:space="0"/>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6.00</w:t>
            </w:r>
            <w:r>
              <w:rPr>
                <w:rFonts w:ascii="Times New Roman" w:hAnsi="Times New Roman"/>
                <w:color w:val="000000"/>
                <w:sz w:val="20"/>
              </w:rPr>
              <w:t xml:space="preserve"> </w:t>
            </w:r>
          </w:p>
        </w:tc>
        <w:tc>
          <w:tcPr>
            <w:tcW w:w="3300" w:type="dxa"/>
            <w:tcBorders>
              <w:top w:val="single" w:color="auto" w:sz="4" w:space="0"/>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single" w:color="auto" w:sz="4" w:space="0"/>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2130199</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其他农业农村支出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21.80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21.80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33.98</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33.98</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2130205</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森林资源培育</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2130234</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林业草原防灾减灾</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2.99</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2.99</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2130299</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其他林业和草原支出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10.99</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10.99</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21303</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水利</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198.52</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198.52</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2130310</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水土保持</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146.63</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146.63</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2130314</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防汛</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51.90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51.90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33.79</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33.79</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33.79</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33.79</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470.35</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311.47</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158.88</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82.00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82.00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388.35</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311.47</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76.88</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127.63</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127.63</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127.63</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127.63</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2140104</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公路建设</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119.46</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119.46</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2140106</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公路养护</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8.16</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8.16</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资源勘探工业信息等支出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1,734.20</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1,734.20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21508</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支持中小企业发展和管理支出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1,734.20</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1,734.20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2150899</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其他支持中小企业发展和管理支出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1,734.20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1,734.20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商业服务业等支出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6.78</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6.78</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21602</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商业流通事务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6.78</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6.78</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2160299</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其他商业流通事务支出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6.78</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6.78</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17.99</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17.99</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17.99</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17.99</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17.99</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17.99</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99.78</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93.48</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auto"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3895" w:type="dxa"/>
            <w:tcBorders>
              <w:top w:val="nil"/>
              <w:left w:val="nil"/>
              <w:bottom w:val="single" w:color="auto"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3306" w:type="dxa"/>
            <w:tcBorders>
              <w:top w:val="nil"/>
              <w:left w:val="nil"/>
              <w:bottom w:val="single" w:color="auto"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6.30</w:t>
            </w:r>
            <w:r>
              <w:rPr>
                <w:rFonts w:ascii="Times New Roman" w:hAnsi="Times New Roman"/>
                <w:b/>
                <w:color w:val="000000"/>
                <w:sz w:val="20"/>
              </w:rPr>
              <w:t xml:space="preserve"> </w:t>
            </w:r>
          </w:p>
        </w:tc>
        <w:tc>
          <w:tcPr>
            <w:tcW w:w="3300" w:type="dxa"/>
            <w:tcBorders>
              <w:top w:val="nil"/>
              <w:left w:val="nil"/>
              <w:bottom w:val="single" w:color="auto"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auto"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2210105</w:t>
            </w:r>
          </w:p>
        </w:tc>
        <w:tc>
          <w:tcPr>
            <w:tcW w:w="3895" w:type="dxa"/>
            <w:tcBorders>
              <w:top w:val="single" w:color="auto" w:sz="4" w:space="0"/>
              <w:left w:val="nil"/>
              <w:bottom w:val="single" w:color="auto" w:sz="4" w:space="0"/>
              <w:right w:val="single" w:color="auto"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农村危房改造</w:t>
            </w:r>
          </w:p>
        </w:tc>
        <w:tc>
          <w:tcPr>
            <w:tcW w:w="3306" w:type="dxa"/>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6.30</w:t>
            </w:r>
            <w:r>
              <w:rPr>
                <w:rFonts w:ascii="Times New Roman" w:hAnsi="Times New Roman"/>
                <w:color w:val="000000"/>
                <w:sz w:val="20"/>
              </w:rPr>
              <w:t xml:space="preserve"> </w:t>
            </w:r>
          </w:p>
        </w:tc>
        <w:tc>
          <w:tcPr>
            <w:tcW w:w="3300" w:type="dxa"/>
            <w:tcBorders>
              <w:top w:val="single" w:color="auto" w:sz="4" w:space="0"/>
              <w:left w:val="nil"/>
              <w:bottom w:val="single" w:color="auto"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6.30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895" w:type="dxa"/>
            <w:tcBorders>
              <w:top w:val="single" w:color="auto" w:sz="4" w:space="0"/>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single" w:color="auto" w:sz="4" w:space="0"/>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93.48</w:t>
            </w:r>
            <w:r>
              <w:rPr>
                <w:rFonts w:ascii="Times New Roman" w:hAnsi="Times New Roman"/>
                <w:b/>
                <w:color w:val="000000"/>
                <w:sz w:val="20"/>
              </w:rPr>
              <w:t xml:space="preserve"> </w:t>
            </w:r>
          </w:p>
        </w:tc>
        <w:tc>
          <w:tcPr>
            <w:tcW w:w="3300" w:type="dxa"/>
            <w:tcBorders>
              <w:top w:val="single" w:color="auto" w:sz="4" w:space="0"/>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93.48</w:t>
            </w:r>
            <w:r>
              <w:rPr>
                <w:rFonts w:ascii="Times New Roman" w:hAnsi="Times New Roman"/>
                <w:b/>
                <w:color w:val="000000"/>
                <w:sz w:val="20"/>
              </w:rPr>
              <w:t xml:space="preserve"> </w:t>
            </w:r>
          </w:p>
        </w:tc>
        <w:tc>
          <w:tcPr>
            <w:tcW w:w="3335" w:type="dxa"/>
            <w:tcBorders>
              <w:top w:val="single" w:color="auto" w:sz="4" w:space="0"/>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93.48</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93.48</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33.79</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33.79</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29.67</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29.67</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2240199</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其他应急管理支出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29.67</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29.67</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2240601</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地质灾害防治</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22407</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自然灾害救灾及恢复重建支出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1.12</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1.12</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2240703</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自然灾害救灾补助</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1.12</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1.12</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9"/>
        <w:tblW w:w="15304" w:type="dxa"/>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90" w:hRule="atLeast"/>
        </w:trPr>
        <w:tc>
          <w:tcPr>
            <w:tcW w:w="7453" w:type="dxa"/>
            <w:gridSpan w:val="5"/>
            <w:vMerge w:val="restart"/>
            <w:tcBorders>
              <w:top w:val="nil"/>
              <w:left w:val="nil"/>
              <w:right w:val="nil"/>
            </w:tcBorders>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rPr>
              <w:t>垫江县曹回镇人民政府</w:t>
            </w:r>
          </w:p>
        </w:tc>
        <w:tc>
          <w:tcPr>
            <w:tcW w:w="1650" w:type="dxa"/>
            <w:tcBorders>
              <w:top w:val="nil"/>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7453" w:type="dxa"/>
            <w:gridSpan w:val="5"/>
            <w:vMerge w:val="continue"/>
            <w:tcBorders>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1650" w:type="dxa"/>
            <w:tcBorders>
              <w:top w:val="nil"/>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470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00" w:type="dxa"/>
            <w:gridSpan w:val="6"/>
            <w:tcBorders>
              <w:top w:val="single" w:color="000000" w:sz="4" w:space="0"/>
              <w:left w:val="nil"/>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603"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30" w:type="dxa"/>
            <w:vMerge w:val="restart"/>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1" w:type="dxa"/>
            <w:vMerge w:val="restart"/>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3"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16" w:type="dxa"/>
            <w:vMerge w:val="restart"/>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0" w:type="dxa"/>
            <w:vMerge w:val="restart"/>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5"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14" w:type="dxa"/>
            <w:vMerge w:val="restart"/>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2" w:type="dxa"/>
            <w:vMerge w:val="restart"/>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603"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cs="宋体"/>
                <w:b/>
                <w:color w:val="000000"/>
                <w:sz w:val="18"/>
                <w:szCs w:val="18"/>
              </w:rPr>
            </w:pPr>
          </w:p>
        </w:tc>
        <w:tc>
          <w:tcPr>
            <w:tcW w:w="2730" w:type="dxa"/>
            <w:vMerge w:val="continue"/>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cs="宋体"/>
                <w:b/>
                <w:color w:val="000000"/>
                <w:sz w:val="18"/>
                <w:szCs w:val="18"/>
              </w:rPr>
            </w:pPr>
          </w:p>
        </w:tc>
        <w:tc>
          <w:tcPr>
            <w:tcW w:w="1371" w:type="dxa"/>
            <w:vMerge w:val="continue"/>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cs="宋体"/>
                <w:b/>
                <w:color w:val="000000"/>
                <w:sz w:val="18"/>
                <w:szCs w:val="18"/>
              </w:rPr>
            </w:pPr>
          </w:p>
        </w:tc>
        <w:tc>
          <w:tcPr>
            <w:tcW w:w="833"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cs="宋体"/>
                <w:b/>
                <w:color w:val="000000"/>
                <w:sz w:val="18"/>
                <w:szCs w:val="18"/>
              </w:rPr>
            </w:pPr>
          </w:p>
        </w:tc>
        <w:tc>
          <w:tcPr>
            <w:tcW w:w="1916" w:type="dxa"/>
            <w:vMerge w:val="continue"/>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cs="宋体"/>
                <w:b/>
                <w:color w:val="000000"/>
                <w:sz w:val="18"/>
                <w:szCs w:val="18"/>
              </w:rPr>
            </w:pPr>
          </w:p>
        </w:tc>
        <w:tc>
          <w:tcPr>
            <w:tcW w:w="1650" w:type="dxa"/>
            <w:vMerge w:val="continue"/>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cs="宋体"/>
                <w:b/>
                <w:color w:val="000000"/>
                <w:sz w:val="18"/>
                <w:szCs w:val="18"/>
              </w:rPr>
            </w:pPr>
          </w:p>
        </w:tc>
        <w:tc>
          <w:tcPr>
            <w:tcW w:w="805"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cs="宋体"/>
                <w:b/>
                <w:color w:val="000000"/>
                <w:sz w:val="18"/>
                <w:szCs w:val="18"/>
              </w:rPr>
            </w:pPr>
          </w:p>
        </w:tc>
        <w:tc>
          <w:tcPr>
            <w:tcW w:w="3514" w:type="dxa"/>
            <w:vMerge w:val="continue"/>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cs="宋体"/>
                <w:b/>
                <w:color w:val="000000"/>
                <w:sz w:val="18"/>
                <w:szCs w:val="18"/>
              </w:rPr>
            </w:pPr>
          </w:p>
        </w:tc>
        <w:tc>
          <w:tcPr>
            <w:tcW w:w="1882" w:type="dxa"/>
            <w:vMerge w:val="continue"/>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w:t>
            </w: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1,359.17</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262.16</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w:t>
            </w: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10.85</w:t>
            </w: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266.52</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17.11</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125.30</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10.85</w:t>
            </w: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178.63</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73.80</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306.46</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1.45</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139.35</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13.83</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68.74</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32.98</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58.44</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1.83</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49.42</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93.48</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20.46</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12.88</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26.17</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w:t>
            </w: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365.58</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11.29</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1.96</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0.76</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w:t>
            </w: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357.55</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3.60</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8.62</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78.40</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31206</w:t>
            </w: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4.43</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6.79</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w:t>
            </w: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21.59</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2.08</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3333"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1" w:type="dxa"/>
            <w:tcBorders>
              <w:top w:val="nil"/>
              <w:left w:val="single" w:color="000000" w:sz="4" w:space="0"/>
              <w:bottom w:val="single" w:color="000000" w:sz="4" w:space="0"/>
              <w:right w:val="single" w:color="000000" w:sz="4" w:space="0"/>
            </w:tcBorders>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1,724.75</w:t>
            </w:r>
            <w:r>
              <w:rPr>
                <w:rFonts w:ascii="Times New Roman" w:hAnsi="Times New Roman"/>
                <w:color w:val="000000"/>
                <w:sz w:val="18"/>
              </w:rPr>
              <w:t xml:space="preserve"> </w:t>
            </w:r>
          </w:p>
        </w:tc>
        <w:tc>
          <w:tcPr>
            <w:tcW w:w="8718" w:type="dxa"/>
            <w:gridSpan w:val="5"/>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273.01</w:t>
            </w:r>
            <w:r>
              <w:rPr>
                <w:rFonts w:ascii="Times New Roman" w:hAnsi="Times New Roman"/>
                <w:color w:val="000000"/>
                <w:sz w:val="18"/>
              </w:rPr>
              <w:t xml:space="preserve"> </w:t>
            </w:r>
          </w:p>
        </w:tc>
      </w:tr>
    </w:tbl>
    <w:p>
      <w:pPr>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15322" w:type="dxa"/>
        <w:tblInd w:w="0" w:type="dxa"/>
        <w:tblLayout w:type="fixed"/>
        <w:tblCellMar>
          <w:top w:w="0" w:type="dxa"/>
          <w:left w:w="0" w:type="dxa"/>
          <w:bottom w:w="0" w:type="dxa"/>
          <w:right w:w="0" w:type="dxa"/>
        </w:tblCellMar>
      </w:tblPr>
      <w:tblGrid>
        <w:gridCol w:w="1635"/>
        <w:gridCol w:w="3285"/>
        <w:gridCol w:w="1701"/>
        <w:gridCol w:w="1701"/>
        <w:gridCol w:w="1701"/>
        <w:gridCol w:w="1701"/>
        <w:gridCol w:w="1765"/>
        <w:gridCol w:w="1833"/>
      </w:tblGrid>
      <w:tr>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6621" w:type="dxa"/>
            <w:gridSpan w:val="3"/>
            <w:vMerge w:val="restart"/>
            <w:tcBorders>
              <w:top w:val="nil"/>
              <w:left w:val="nil"/>
              <w:right w:val="nil"/>
            </w:tcBorders>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垫江县曹回镇人民政府</w:t>
            </w:r>
          </w:p>
        </w:tc>
        <w:tc>
          <w:tcPr>
            <w:tcW w:w="1701"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6621" w:type="dxa"/>
            <w:gridSpan w:val="3"/>
            <w:vMerge w:val="continue"/>
            <w:tcBorders>
              <w:left w:val="nil"/>
              <w:bottom w:val="nil"/>
              <w:right w:val="nil"/>
            </w:tcBorders>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492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163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8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163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163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920"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237.44</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237.44</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237.44</w:t>
            </w:r>
            <w:r>
              <w:rPr>
                <w:rFonts w:ascii="Times New Roman" w:hAnsi="Times New Roman"/>
                <w:b/>
                <w:color w:val="000000"/>
                <w:sz w:val="20"/>
              </w:rPr>
              <w:t xml:space="preserve"> </w:t>
            </w:r>
          </w:p>
        </w:tc>
        <w:tc>
          <w:tcPr>
            <w:tcW w:w="1833"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w:t>
            </w:r>
          </w:p>
        </w:tc>
        <w:tc>
          <w:tcPr>
            <w:tcW w:w="3285" w:type="dxa"/>
            <w:tcBorders>
              <w:top w:val="nil"/>
              <w:left w:val="nil"/>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城乡社区支出</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236.64</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236.64</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236.64</w:t>
            </w:r>
            <w:r>
              <w:rPr>
                <w:rFonts w:ascii="Times New Roman" w:hAnsi="Times New Roman"/>
                <w:b/>
                <w:color w:val="000000"/>
                <w:sz w:val="20"/>
              </w:rPr>
              <w:t xml:space="preserve"> </w:t>
            </w:r>
          </w:p>
        </w:tc>
        <w:tc>
          <w:tcPr>
            <w:tcW w:w="1833"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21208</w:t>
            </w:r>
          </w:p>
        </w:tc>
        <w:tc>
          <w:tcPr>
            <w:tcW w:w="3285" w:type="dxa"/>
            <w:tcBorders>
              <w:top w:val="nil"/>
              <w:left w:val="nil"/>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国有土地使用权出让收入安排的支出</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236.64</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236.64</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236.64</w:t>
            </w:r>
            <w:r>
              <w:rPr>
                <w:rFonts w:ascii="Times New Roman" w:hAnsi="Times New Roman"/>
                <w:b/>
                <w:color w:val="000000"/>
                <w:sz w:val="20"/>
              </w:rPr>
              <w:t xml:space="preserve"> </w:t>
            </w:r>
          </w:p>
        </w:tc>
        <w:tc>
          <w:tcPr>
            <w:tcW w:w="1833"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2120801</w:t>
            </w:r>
          </w:p>
        </w:tc>
        <w:tc>
          <w:tcPr>
            <w:tcW w:w="3285" w:type="dxa"/>
            <w:tcBorders>
              <w:top w:val="nil"/>
              <w:left w:val="nil"/>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征地和拆迁补偿支出</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149.62</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149.62</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6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149.62</w:t>
            </w:r>
            <w:r>
              <w:rPr>
                <w:rFonts w:ascii="Times New Roman" w:hAnsi="Times New Roman"/>
                <w:color w:val="000000"/>
                <w:sz w:val="20"/>
              </w:rPr>
              <w:t xml:space="preserve"> </w:t>
            </w:r>
          </w:p>
        </w:tc>
        <w:tc>
          <w:tcPr>
            <w:tcW w:w="1833"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2120814</w:t>
            </w:r>
          </w:p>
        </w:tc>
        <w:tc>
          <w:tcPr>
            <w:tcW w:w="3285" w:type="dxa"/>
            <w:tcBorders>
              <w:top w:val="nil"/>
              <w:left w:val="nil"/>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农业生产发展支出</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87.02</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87.02</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6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87.02</w:t>
            </w:r>
            <w:r>
              <w:rPr>
                <w:rFonts w:ascii="Times New Roman" w:hAnsi="Times New Roman"/>
                <w:color w:val="000000"/>
                <w:sz w:val="20"/>
              </w:rPr>
              <w:t xml:space="preserve"> </w:t>
            </w:r>
          </w:p>
        </w:tc>
        <w:tc>
          <w:tcPr>
            <w:tcW w:w="1833"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w:t>
            </w:r>
          </w:p>
        </w:tc>
        <w:tc>
          <w:tcPr>
            <w:tcW w:w="3285" w:type="dxa"/>
            <w:tcBorders>
              <w:top w:val="nil"/>
              <w:left w:val="nil"/>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其他支出</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0.80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0.80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0.80</w:t>
            </w:r>
            <w:r>
              <w:rPr>
                <w:rFonts w:ascii="Times New Roman" w:hAnsi="Times New Roman"/>
                <w:b/>
                <w:color w:val="000000"/>
                <w:sz w:val="20"/>
              </w:rPr>
              <w:t xml:space="preserve"> </w:t>
            </w:r>
          </w:p>
        </w:tc>
        <w:tc>
          <w:tcPr>
            <w:tcW w:w="1833"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22960</w:t>
            </w:r>
          </w:p>
        </w:tc>
        <w:tc>
          <w:tcPr>
            <w:tcW w:w="3285" w:type="dxa"/>
            <w:tcBorders>
              <w:top w:val="nil"/>
              <w:left w:val="nil"/>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彩票公益金安排的支出</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0.80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0.80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0.80</w:t>
            </w:r>
            <w:r>
              <w:rPr>
                <w:rFonts w:ascii="Times New Roman" w:hAnsi="Times New Roman"/>
                <w:b/>
                <w:color w:val="000000"/>
                <w:sz w:val="20"/>
              </w:rPr>
              <w:t xml:space="preserve"> </w:t>
            </w:r>
          </w:p>
        </w:tc>
        <w:tc>
          <w:tcPr>
            <w:tcW w:w="1833"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2296002</w:t>
            </w:r>
          </w:p>
        </w:tc>
        <w:tc>
          <w:tcPr>
            <w:tcW w:w="3285" w:type="dxa"/>
            <w:tcBorders>
              <w:top w:val="nil"/>
              <w:left w:val="nil"/>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用于社会福利的彩票公益金支出</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6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0.80</w:t>
            </w:r>
            <w:r>
              <w:rPr>
                <w:rFonts w:ascii="Times New Roman" w:hAnsi="Times New Roman"/>
                <w:color w:val="000000"/>
                <w:sz w:val="20"/>
              </w:rPr>
              <w:t xml:space="preserve"> </w:t>
            </w:r>
          </w:p>
        </w:tc>
        <w:tc>
          <w:tcPr>
            <w:tcW w:w="1833"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备注：1.本表反映部门本年度政府性基金预算财政拨款收入支出及结转和结余情况。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9"/>
        <w:tblW w:w="15322" w:type="dxa"/>
        <w:tblInd w:w="0" w:type="dxa"/>
        <w:tblLayout w:type="fixed"/>
        <w:tblCellMar>
          <w:top w:w="0" w:type="dxa"/>
          <w:left w:w="0" w:type="dxa"/>
          <w:bottom w:w="0" w:type="dxa"/>
          <w:right w:w="0" w:type="dxa"/>
        </w:tblCellMar>
      </w:tblPr>
      <w:tblGrid>
        <w:gridCol w:w="2001"/>
        <w:gridCol w:w="2917"/>
        <w:gridCol w:w="3264"/>
        <w:gridCol w:w="199"/>
        <w:gridCol w:w="3463"/>
        <w:gridCol w:w="77"/>
        <w:gridCol w:w="3401"/>
      </w:tblGrid>
      <w:tr>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垫江县曹回镇人民政府</w:t>
            </w:r>
          </w:p>
        </w:tc>
        <w:tc>
          <w:tcPr>
            <w:tcW w:w="3739" w:type="dxa"/>
            <w:gridSpan w:val="3"/>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491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04"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2001"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7" w:type="dxa"/>
            <w:vMerge w:val="restart"/>
            <w:tcBorders>
              <w:top w:val="nil"/>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78" w:type="dxa"/>
            <w:gridSpan w:val="2"/>
            <w:vMerge w:val="restart"/>
            <w:tcBorders>
              <w:top w:val="nil"/>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2001"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491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3463"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488" w:hRule="atLeast"/>
        </w:trPr>
        <w:tc>
          <w:tcPr>
            <w:tcW w:w="200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p>
        </w:tc>
        <w:tc>
          <w:tcPr>
            <w:tcW w:w="29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9"/>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CellMar>
            <w:top w:w="0" w:type="dxa"/>
            <w:left w:w="170" w:type="dxa"/>
            <w:bottom w:w="0" w:type="dxa"/>
            <w:right w:w="170" w:type="dxa"/>
          </w:tblCellMar>
        </w:tblPrEx>
        <w:trPr>
          <w:trHeight w:val="343" w:hRule="atLeast"/>
        </w:trPr>
        <w:tc>
          <w:tcPr>
            <w:tcW w:w="14131" w:type="dxa"/>
            <w:gridSpan w:val="5"/>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3179" w:type="dxa"/>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5" w:type="dxa"/>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tcMar>
              <w:top w:w="15" w:type="dxa"/>
              <w:left w:w="15" w:type="dxa"/>
              <w:right w:w="15" w:type="dxa"/>
            </w:tcMar>
            <w:vAlign w:val="bottom"/>
          </w:tcPr>
          <w:p>
            <w:pPr>
              <w:spacing w:line="280" w:lineRule="exact"/>
              <w:rPr>
                <w:rFonts w:hint="default" w:cs="宋体"/>
                <w:color w:val="000000"/>
                <w:kern w:val="2"/>
                <w:sz w:val="20"/>
                <w:szCs w:val="20"/>
              </w:rPr>
            </w:pPr>
            <w:r>
              <w:rPr>
                <w:rFonts w:cs="宋体"/>
                <w:kern w:val="2"/>
                <w:sz w:val="20"/>
                <w:szCs w:val="20"/>
              </w:rPr>
              <w:t>部门</w:t>
            </w:r>
            <w:r>
              <w:rPr>
                <w:rFonts w:cs="宋体"/>
                <w:color w:val="000000"/>
                <w:kern w:val="2"/>
                <w:sz w:val="20"/>
                <w:szCs w:val="20"/>
              </w:rPr>
              <w:t>：</w:t>
            </w:r>
            <w:r>
              <w:rPr>
                <w:color w:val="000000"/>
                <w:sz w:val="20"/>
              </w:rPr>
              <w:t>垫江县曹回镇人民政府</w:t>
            </w:r>
          </w:p>
        </w:tc>
        <w:tc>
          <w:tcPr>
            <w:tcW w:w="2375" w:type="dxa"/>
            <w:tcBorders>
              <w:top w:val="nil"/>
              <w:left w:val="nil"/>
              <w:bottom w:val="single" w:color="auto" w:sz="4" w:space="0"/>
              <w:right w:val="nil"/>
            </w:tcBorders>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222.88</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11.69</w:t>
            </w: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11.69</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222.88</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6.79</w:t>
            </w: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6.79</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6.79</w:t>
            </w: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6.79</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4.91</w:t>
            </w: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4.91</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4.91</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98</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864</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16.11</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3.26</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53.22</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jc w:val="right"/>
              <w:rPr>
                <w:rFonts w:hint="default" w:cs="宋体"/>
                <w:color w:val="000000"/>
                <w:sz w:val="16"/>
                <w:szCs w:val="16"/>
              </w:rPr>
            </w:pPr>
          </w:p>
        </w:tc>
      </w:tr>
    </w:tbl>
    <w:p>
      <w:pPr>
        <w:rPr>
          <w:rFonts w:hint="default"/>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2000000000000000000"/>
    <w:charset w:val="86"/>
    <w:family w:val="script"/>
    <w:pitch w:val="default"/>
    <w:sig w:usb0="A00002BF" w:usb1="38CF7CFA" w:usb2="00082016" w:usb3="00000000" w:csb0="00040001" w:csb1="00000000"/>
  </w:font>
  <w:font w:name="仿宋_GB2312">
    <w:altName w:val="仿宋"/>
    <w:panose1 w:val="00000000000000000000"/>
    <w:charset w:val="86"/>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default"/>
      </w:rPr>
    </w:pPr>
    <w:r>
      <w:rPr>
        <w:rFonts w:hint="default"/>
      </w:rPr>
      <w:pict>
        <v:shape id="文本框 2" o:spid="_x0000_s3073"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path/>
          <v:fill on="f" focussize="0,0"/>
          <v:stroke on="f" weight="0.5pt" joinstyle="miter"/>
          <v:imagedata o:title=""/>
          <o:lock v:ext="edit"/>
          <v:textbox inset="0mm,0mm,0mm,0mm" style="mso-fit-shape-to-text:t;">
            <w:txbxContent>
              <w:p>
                <w:pPr>
                  <w:pStyle w:val="5"/>
                  <w:rPr>
                    <w:rFonts w:hint="default"/>
                  </w:rPr>
                </w:pPr>
                <w:r>
                  <w:fldChar w:fldCharType="begin"/>
                </w:r>
                <w:r>
                  <w:instrText xml:space="preserve"> PAGE  \* MERGEFORMAT </w:instrText>
                </w:r>
                <w:r>
                  <w:fldChar w:fldCharType="separate"/>
                </w:r>
                <w:r>
                  <w:rPr>
                    <w:rFonts w:hint="default"/>
                  </w:rPr>
                  <w:t>- 18 -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rPr>
        <w:rFonts w:hint="default"/>
      </w:rPr>
    </w:pPr>
    <w:r>
      <w:rPr>
        <w:rFonts w:hint="default"/>
      </w:rPr>
      <w:pict>
        <v:rect id="文本框 127" o:spid="_x0000_s3074" o:spt="1" style="position:absolute;left:0pt;margin-top:0pt;height:144pt;width:144pt;mso-position-horizontal:center;mso-position-horizontal-relative:margin;mso-wrap-style:none;z-index:251660288;mso-width-relative:page;mso-height-relative:page;" filled="f" o:preferrelative="t" stroked="f" coordsize="21600,21600" o:allowoverlap="f">
          <v:path/>
          <v:fill on="f" focussize="0,0"/>
          <v:stroke on="f"/>
          <v:imagedata o:title=""/>
          <o:lock v:ext="edit"/>
          <v:textbox inset="0mm,0mm,0mm,0mm" style="mso-fit-shape-to-text:t;">
            <w:txbxContent>
              <w:p>
                <w:pPr>
                  <w:pStyle w:val="5"/>
                  <w:rPr>
                    <w:rFonts w:hint="default"/>
                  </w:rPr>
                </w:pPr>
                <w:r>
                  <w:t xml:space="preserve"> </w:t>
                </w:r>
                <w:r>
                  <w:fldChar w:fldCharType="begin"/>
                </w:r>
                <w:r>
                  <w:instrText xml:space="preserve">PAGE   \* MERGEFORMAT</w:instrText>
                </w:r>
                <w:r>
                  <w:fldChar w:fldCharType="separate"/>
                </w:r>
                <w:r>
                  <w:rPr>
                    <w:rFonts w:hint="default"/>
                  </w:rPr>
                  <w:t>- 45 -</w:t>
                </w:r>
                <w:r>
                  <w:fldChar w:fldCharType="end"/>
                </w:r>
                <w:r>
                  <w:t xml:space="preserve"> </w:t>
                </w:r>
              </w:p>
            </w:txbxContent>
          </v:textbox>
        </v:rect>
      </w:pict>
    </w:r>
    <w:r>
      <w:rPr>
        <w:rFonts w:hint="default"/>
      </w:rPr>
      <w:pict>
        <v:rect id="文本框 126" o:spid="_x0000_s3075" o:spt="1" style="position:absolute;left:0pt;margin-top:1160.4pt;height:17.4pt;width:144pt;mso-position-horizontal:center;mso-position-horizontal-relative:margin;mso-position-vertical-relative:page;mso-wrap-style:none;z-index:251659264;mso-width-relative:page;mso-height-relative:page;" filled="f" o:preferrelative="t" stroked="f" coordsize="21600,21600" o:allowoverlap="f">
          <v:path/>
          <v:fill on="f" focussize="0,0"/>
          <v:stroke on="f"/>
          <v:imagedata o:title=""/>
          <o:lock v:ext="edit"/>
          <v:textbox inset="0mm,0mm,0mm,0mm">
            <w:txbxContent>
              <w:p>
                <w:pPr>
                  <w:pStyle w:val="5"/>
                  <w:jc w:val="both"/>
                  <w:rPr>
                    <w:rFonts w:hint="default" w:cs="宋体"/>
                  </w:rPr>
                </w:pPr>
                <w:r>
                  <w:rPr>
                    <w:rFonts w:cs="宋体"/>
                  </w:rPr>
                  <w:t>— 27.1 —</w:t>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420"/>
  <w:drawingGridHorizontalSpacing w:val="120"/>
  <w:drawingGridVerticalSpacing w:val="163"/>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Njg4MWM2YmFhNjI2ZjBiMzdmZDQ5YWQxZGNmMDQ4ZWEifQ=="/>
  </w:docVars>
  <w:rsids>
    <w:rsidRoot w:val="00B03CCD"/>
    <w:rsid w:val="000C01CC"/>
    <w:rsid w:val="000D7702"/>
    <w:rsid w:val="00261065"/>
    <w:rsid w:val="002D0E5A"/>
    <w:rsid w:val="002E5443"/>
    <w:rsid w:val="0032196C"/>
    <w:rsid w:val="004C12FF"/>
    <w:rsid w:val="00550ABE"/>
    <w:rsid w:val="005B023C"/>
    <w:rsid w:val="00600322"/>
    <w:rsid w:val="006137D7"/>
    <w:rsid w:val="00616339"/>
    <w:rsid w:val="00634FA8"/>
    <w:rsid w:val="0063613A"/>
    <w:rsid w:val="00656AB2"/>
    <w:rsid w:val="006E2034"/>
    <w:rsid w:val="00732392"/>
    <w:rsid w:val="00792285"/>
    <w:rsid w:val="007A0D2E"/>
    <w:rsid w:val="007A3314"/>
    <w:rsid w:val="007B419D"/>
    <w:rsid w:val="00810F13"/>
    <w:rsid w:val="008D2BCB"/>
    <w:rsid w:val="00944711"/>
    <w:rsid w:val="009821E3"/>
    <w:rsid w:val="00984852"/>
    <w:rsid w:val="009B67B8"/>
    <w:rsid w:val="00A03B1E"/>
    <w:rsid w:val="00A67739"/>
    <w:rsid w:val="00A820B7"/>
    <w:rsid w:val="00AC5566"/>
    <w:rsid w:val="00B03CCD"/>
    <w:rsid w:val="00B40138"/>
    <w:rsid w:val="00BF5A85"/>
    <w:rsid w:val="00C307F6"/>
    <w:rsid w:val="00C96B11"/>
    <w:rsid w:val="00CC6B99"/>
    <w:rsid w:val="00CE379D"/>
    <w:rsid w:val="00DF7706"/>
    <w:rsid w:val="00E05175"/>
    <w:rsid w:val="00E654E2"/>
    <w:rsid w:val="00E76362"/>
    <w:rsid w:val="00F137D3"/>
    <w:rsid w:val="00F13C36"/>
    <w:rsid w:val="00F23C68"/>
    <w:rsid w:val="00F32C53"/>
    <w:rsid w:val="00F73F90"/>
    <w:rsid w:val="00F7623D"/>
    <w:rsid w:val="00F8598B"/>
    <w:rsid w:val="00FA0819"/>
    <w:rsid w:val="01474EBF"/>
    <w:rsid w:val="01F3521E"/>
    <w:rsid w:val="03B87EA0"/>
    <w:rsid w:val="03E3214F"/>
    <w:rsid w:val="044C50BA"/>
    <w:rsid w:val="04EA2B4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106AE"/>
    <w:rsid w:val="0A5C4B69"/>
    <w:rsid w:val="0A86124A"/>
    <w:rsid w:val="0AB54CC0"/>
    <w:rsid w:val="0B9335CE"/>
    <w:rsid w:val="0C5E334F"/>
    <w:rsid w:val="0C7927C4"/>
    <w:rsid w:val="0C9B098C"/>
    <w:rsid w:val="0D673E11"/>
    <w:rsid w:val="0D7B2DAD"/>
    <w:rsid w:val="0D847E39"/>
    <w:rsid w:val="0DDA54E4"/>
    <w:rsid w:val="0E3A5F83"/>
    <w:rsid w:val="0E74421A"/>
    <w:rsid w:val="0F836721"/>
    <w:rsid w:val="0F93599B"/>
    <w:rsid w:val="0FA25D96"/>
    <w:rsid w:val="107B59E5"/>
    <w:rsid w:val="10EC0126"/>
    <w:rsid w:val="10F70B9A"/>
    <w:rsid w:val="111445C7"/>
    <w:rsid w:val="114278C6"/>
    <w:rsid w:val="1158083A"/>
    <w:rsid w:val="115C4FB4"/>
    <w:rsid w:val="11643A4B"/>
    <w:rsid w:val="11ED0F98"/>
    <w:rsid w:val="11F03528"/>
    <w:rsid w:val="123D5579"/>
    <w:rsid w:val="12C921C4"/>
    <w:rsid w:val="13871C70"/>
    <w:rsid w:val="13A71CB4"/>
    <w:rsid w:val="13AF1D43"/>
    <w:rsid w:val="13CE1647"/>
    <w:rsid w:val="13FD55AB"/>
    <w:rsid w:val="14200702"/>
    <w:rsid w:val="163A6CEE"/>
    <w:rsid w:val="173708E3"/>
    <w:rsid w:val="17A82ADD"/>
    <w:rsid w:val="17C374FC"/>
    <w:rsid w:val="189079DC"/>
    <w:rsid w:val="189B0D0B"/>
    <w:rsid w:val="18B43F7C"/>
    <w:rsid w:val="194A1770"/>
    <w:rsid w:val="19B906A4"/>
    <w:rsid w:val="1A082F05"/>
    <w:rsid w:val="1B6F15B6"/>
    <w:rsid w:val="1BAA2EDC"/>
    <w:rsid w:val="1BAD2CF8"/>
    <w:rsid w:val="1C5C0973"/>
    <w:rsid w:val="1CA55E64"/>
    <w:rsid w:val="1D014A01"/>
    <w:rsid w:val="1D022362"/>
    <w:rsid w:val="1D1B04B0"/>
    <w:rsid w:val="1DBD6767"/>
    <w:rsid w:val="1DC52125"/>
    <w:rsid w:val="1DD26311"/>
    <w:rsid w:val="1E374ACB"/>
    <w:rsid w:val="1E5E27E3"/>
    <w:rsid w:val="1ECF0A66"/>
    <w:rsid w:val="1EF67CA4"/>
    <w:rsid w:val="1F020D3A"/>
    <w:rsid w:val="1F2C5189"/>
    <w:rsid w:val="1F4B0B02"/>
    <w:rsid w:val="1FBB35CD"/>
    <w:rsid w:val="1FCD26AF"/>
    <w:rsid w:val="20642787"/>
    <w:rsid w:val="20F71F25"/>
    <w:rsid w:val="21556F04"/>
    <w:rsid w:val="22403BD3"/>
    <w:rsid w:val="23DA37D9"/>
    <w:rsid w:val="24B92327"/>
    <w:rsid w:val="24C14514"/>
    <w:rsid w:val="2533755C"/>
    <w:rsid w:val="25791755"/>
    <w:rsid w:val="26210C1E"/>
    <w:rsid w:val="26396DF4"/>
    <w:rsid w:val="26727723"/>
    <w:rsid w:val="27167136"/>
    <w:rsid w:val="27B23302"/>
    <w:rsid w:val="289A2101"/>
    <w:rsid w:val="29310A5F"/>
    <w:rsid w:val="295A7167"/>
    <w:rsid w:val="29C37A35"/>
    <w:rsid w:val="2A076083"/>
    <w:rsid w:val="2A73162E"/>
    <w:rsid w:val="2B167953"/>
    <w:rsid w:val="2B200583"/>
    <w:rsid w:val="2B8209DE"/>
    <w:rsid w:val="2C6762A3"/>
    <w:rsid w:val="2EBF7B3E"/>
    <w:rsid w:val="2EDE1934"/>
    <w:rsid w:val="2F673302"/>
    <w:rsid w:val="2FCA4B37"/>
    <w:rsid w:val="2FE029D7"/>
    <w:rsid w:val="2FF06E00"/>
    <w:rsid w:val="301B4C7C"/>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4842A78"/>
    <w:rsid w:val="352930DB"/>
    <w:rsid w:val="35573069"/>
    <w:rsid w:val="355F6038"/>
    <w:rsid w:val="356618AE"/>
    <w:rsid w:val="358C217E"/>
    <w:rsid w:val="35937598"/>
    <w:rsid w:val="36C9128A"/>
    <w:rsid w:val="372E3953"/>
    <w:rsid w:val="376748F3"/>
    <w:rsid w:val="37841E99"/>
    <w:rsid w:val="379963C7"/>
    <w:rsid w:val="37BF1123"/>
    <w:rsid w:val="37FB3C24"/>
    <w:rsid w:val="383C3F15"/>
    <w:rsid w:val="38A677FE"/>
    <w:rsid w:val="38BE4696"/>
    <w:rsid w:val="3939115E"/>
    <w:rsid w:val="39B82A39"/>
    <w:rsid w:val="39BF24C9"/>
    <w:rsid w:val="39C42CA8"/>
    <w:rsid w:val="39DC4FD6"/>
    <w:rsid w:val="39F03D7A"/>
    <w:rsid w:val="39F33306"/>
    <w:rsid w:val="3A2C1C67"/>
    <w:rsid w:val="3ACC4C05"/>
    <w:rsid w:val="3B1705E5"/>
    <w:rsid w:val="3B18334B"/>
    <w:rsid w:val="3B281A9B"/>
    <w:rsid w:val="3B36794F"/>
    <w:rsid w:val="3C566AD6"/>
    <w:rsid w:val="3C6A5B02"/>
    <w:rsid w:val="3D2757A1"/>
    <w:rsid w:val="3D3D4FC4"/>
    <w:rsid w:val="3DDF3AB1"/>
    <w:rsid w:val="3E1D0952"/>
    <w:rsid w:val="3E42660A"/>
    <w:rsid w:val="3E7555B1"/>
    <w:rsid w:val="3E787ED9"/>
    <w:rsid w:val="3EC9670E"/>
    <w:rsid w:val="3ED03B1B"/>
    <w:rsid w:val="3EEC37F3"/>
    <w:rsid w:val="3F032E93"/>
    <w:rsid w:val="3F0527E5"/>
    <w:rsid w:val="3F694D83"/>
    <w:rsid w:val="3F885DCC"/>
    <w:rsid w:val="3FCD675E"/>
    <w:rsid w:val="3FFB5D64"/>
    <w:rsid w:val="4004000C"/>
    <w:rsid w:val="407C15D8"/>
    <w:rsid w:val="411B6CE5"/>
    <w:rsid w:val="412070D7"/>
    <w:rsid w:val="41314E40"/>
    <w:rsid w:val="41E0734B"/>
    <w:rsid w:val="422E4822"/>
    <w:rsid w:val="426554D0"/>
    <w:rsid w:val="426C1EA8"/>
    <w:rsid w:val="42736402"/>
    <w:rsid w:val="42E86A87"/>
    <w:rsid w:val="43307B09"/>
    <w:rsid w:val="438D0E97"/>
    <w:rsid w:val="43BB152F"/>
    <w:rsid w:val="44C37687"/>
    <w:rsid w:val="45CB699A"/>
    <w:rsid w:val="465B470D"/>
    <w:rsid w:val="469D6AD4"/>
    <w:rsid w:val="46B46290"/>
    <w:rsid w:val="471E6C84"/>
    <w:rsid w:val="4748792B"/>
    <w:rsid w:val="475D719D"/>
    <w:rsid w:val="47674801"/>
    <w:rsid w:val="4794337F"/>
    <w:rsid w:val="48225EF7"/>
    <w:rsid w:val="488F422B"/>
    <w:rsid w:val="48E36915"/>
    <w:rsid w:val="495C4A24"/>
    <w:rsid w:val="497135DF"/>
    <w:rsid w:val="4A263DF2"/>
    <w:rsid w:val="4A6F6675"/>
    <w:rsid w:val="4B0502DF"/>
    <w:rsid w:val="4B135857"/>
    <w:rsid w:val="4B7951CB"/>
    <w:rsid w:val="4B7C315C"/>
    <w:rsid w:val="4BF338A9"/>
    <w:rsid w:val="4D922050"/>
    <w:rsid w:val="4DAC4ACA"/>
    <w:rsid w:val="4DBE01D2"/>
    <w:rsid w:val="4E8A0D73"/>
    <w:rsid w:val="4EFC6D10"/>
    <w:rsid w:val="4F0C6BA3"/>
    <w:rsid w:val="4F10477D"/>
    <w:rsid w:val="4F186D58"/>
    <w:rsid w:val="4FEA65B7"/>
    <w:rsid w:val="4FF4660A"/>
    <w:rsid w:val="501B74FB"/>
    <w:rsid w:val="50F06B6E"/>
    <w:rsid w:val="511C4FE5"/>
    <w:rsid w:val="52234D33"/>
    <w:rsid w:val="522F6E0C"/>
    <w:rsid w:val="52463BA1"/>
    <w:rsid w:val="52EC1518"/>
    <w:rsid w:val="52F163D4"/>
    <w:rsid w:val="531A2DB4"/>
    <w:rsid w:val="536B5669"/>
    <w:rsid w:val="53C0244D"/>
    <w:rsid w:val="53DD4D4E"/>
    <w:rsid w:val="53E578CE"/>
    <w:rsid w:val="541330F0"/>
    <w:rsid w:val="54272666"/>
    <w:rsid w:val="543B029D"/>
    <w:rsid w:val="54861779"/>
    <w:rsid w:val="552256E1"/>
    <w:rsid w:val="554E5773"/>
    <w:rsid w:val="555A3CBC"/>
    <w:rsid w:val="5582012B"/>
    <w:rsid w:val="558E4E05"/>
    <w:rsid w:val="55BE2E85"/>
    <w:rsid w:val="55FC7F21"/>
    <w:rsid w:val="56530F5D"/>
    <w:rsid w:val="566D36D8"/>
    <w:rsid w:val="567700D3"/>
    <w:rsid w:val="56FF7E9E"/>
    <w:rsid w:val="578867FC"/>
    <w:rsid w:val="5842572D"/>
    <w:rsid w:val="593928F1"/>
    <w:rsid w:val="5A3B59D6"/>
    <w:rsid w:val="5AD134D8"/>
    <w:rsid w:val="5B6503B1"/>
    <w:rsid w:val="5C263CE4"/>
    <w:rsid w:val="5C5D2777"/>
    <w:rsid w:val="5CF66BF3"/>
    <w:rsid w:val="5D290C69"/>
    <w:rsid w:val="5D650B2D"/>
    <w:rsid w:val="5F2D4A41"/>
    <w:rsid w:val="60C74F6C"/>
    <w:rsid w:val="61025A59"/>
    <w:rsid w:val="613D5BBC"/>
    <w:rsid w:val="61536C39"/>
    <w:rsid w:val="61942060"/>
    <w:rsid w:val="62277F96"/>
    <w:rsid w:val="62944DD7"/>
    <w:rsid w:val="6319381F"/>
    <w:rsid w:val="63236436"/>
    <w:rsid w:val="6366447C"/>
    <w:rsid w:val="63C25DC5"/>
    <w:rsid w:val="63C62057"/>
    <w:rsid w:val="64571EF5"/>
    <w:rsid w:val="64FB113D"/>
    <w:rsid w:val="656152C6"/>
    <w:rsid w:val="6587477F"/>
    <w:rsid w:val="658C3A08"/>
    <w:rsid w:val="65C031CA"/>
    <w:rsid w:val="65CE6852"/>
    <w:rsid w:val="66267C04"/>
    <w:rsid w:val="663F505A"/>
    <w:rsid w:val="66967186"/>
    <w:rsid w:val="66B17B8A"/>
    <w:rsid w:val="66EE5541"/>
    <w:rsid w:val="66FAEA6D"/>
    <w:rsid w:val="67826BDE"/>
    <w:rsid w:val="67924660"/>
    <w:rsid w:val="68407834"/>
    <w:rsid w:val="6883293E"/>
    <w:rsid w:val="688412AD"/>
    <w:rsid w:val="68EB1B71"/>
    <w:rsid w:val="691C36BE"/>
    <w:rsid w:val="69475C96"/>
    <w:rsid w:val="6AAD2300"/>
    <w:rsid w:val="6ACB0002"/>
    <w:rsid w:val="6B474EF5"/>
    <w:rsid w:val="6BBF53FD"/>
    <w:rsid w:val="6BEF5524"/>
    <w:rsid w:val="6C560CAE"/>
    <w:rsid w:val="6C576495"/>
    <w:rsid w:val="6CCC5E0B"/>
    <w:rsid w:val="6D903FF5"/>
    <w:rsid w:val="6DA955B8"/>
    <w:rsid w:val="6DE346AB"/>
    <w:rsid w:val="6DE5391A"/>
    <w:rsid w:val="6ECB7DD2"/>
    <w:rsid w:val="6EFD1324"/>
    <w:rsid w:val="6F5A53AC"/>
    <w:rsid w:val="6FAC003D"/>
    <w:rsid w:val="6FE55E12"/>
    <w:rsid w:val="6FFB2E76"/>
    <w:rsid w:val="708F6F7F"/>
    <w:rsid w:val="70D94BD3"/>
    <w:rsid w:val="71C34D91"/>
    <w:rsid w:val="72DB435C"/>
    <w:rsid w:val="72E2613A"/>
    <w:rsid w:val="72F771F4"/>
    <w:rsid w:val="736650B0"/>
    <w:rsid w:val="73934AD2"/>
    <w:rsid w:val="73DD05A8"/>
    <w:rsid w:val="74487085"/>
    <w:rsid w:val="750837F0"/>
    <w:rsid w:val="754758CF"/>
    <w:rsid w:val="764F62AB"/>
    <w:rsid w:val="765C45EC"/>
    <w:rsid w:val="768A7619"/>
    <w:rsid w:val="772E1EBA"/>
    <w:rsid w:val="77EB79F7"/>
    <w:rsid w:val="796D60A4"/>
    <w:rsid w:val="79A031D5"/>
    <w:rsid w:val="7A091FC6"/>
    <w:rsid w:val="7A1525F7"/>
    <w:rsid w:val="7B420052"/>
    <w:rsid w:val="7B743797"/>
    <w:rsid w:val="7B861484"/>
    <w:rsid w:val="7BD06A28"/>
    <w:rsid w:val="7C3A7C0B"/>
    <w:rsid w:val="7C5248E4"/>
    <w:rsid w:val="7C566698"/>
    <w:rsid w:val="7C5866A3"/>
    <w:rsid w:val="7D7406BB"/>
    <w:rsid w:val="7DE94331"/>
    <w:rsid w:val="7F446A19"/>
    <w:rsid w:val="7F7452B9"/>
    <w:rsid w:val="BF6FA3FF"/>
    <w:rsid w:val="F76506D9"/>
    <w:rsid w:val="F7FBEE0F"/>
    <w:rsid w:val="FEBF516D"/>
    <w:rsid w:val="FFC7F5E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autoRedefine/>
    <w:qFormat/>
    <w:uiPriority w:val="0"/>
    <w:pPr>
      <w:ind w:firstLine="567"/>
    </w:pPr>
  </w:style>
  <w:style w:type="paragraph" w:styleId="3">
    <w:name w:val="Body Text"/>
    <w:basedOn w:val="1"/>
    <w:link w:val="18"/>
    <w:autoRedefine/>
    <w:qFormat/>
    <w:uiPriority w:val="0"/>
    <w:pPr>
      <w:spacing w:before="100" w:beforeAutospacing="1" w:after="100" w:afterAutospacing="1"/>
    </w:pPr>
    <w:rPr>
      <w:rFonts w:cs="宋体"/>
    </w:rPr>
  </w:style>
  <w:style w:type="paragraph" w:styleId="4">
    <w:name w:val="Balloon Text"/>
    <w:basedOn w:val="1"/>
    <w:link w:val="17"/>
    <w:autoRedefine/>
    <w:qFormat/>
    <w:uiPriority w:val="0"/>
    <w:rPr>
      <w:sz w:val="18"/>
      <w:szCs w:val="18"/>
    </w:rPr>
  </w:style>
  <w:style w:type="paragraph" w:styleId="5">
    <w:name w:val="footer"/>
    <w:basedOn w:val="1"/>
    <w:autoRedefine/>
    <w:qFormat/>
    <w:uiPriority w:val="0"/>
    <w:pPr>
      <w:tabs>
        <w:tab w:val="center" w:pos="4153"/>
        <w:tab w:val="right" w:pos="8306"/>
      </w:tabs>
      <w:snapToGrid w:val="0"/>
    </w:pPr>
    <w:rPr>
      <w:sz w:val="18"/>
      <w:szCs w:val="18"/>
    </w:rPr>
  </w:style>
  <w:style w:type="paragraph" w:styleId="6">
    <w:name w:val="header"/>
    <w:basedOn w:val="1"/>
    <w:autoRedefine/>
    <w:qFormat/>
    <w:uiPriority w:val="0"/>
    <w:pPr>
      <w:tabs>
        <w:tab w:val="center" w:pos="4153"/>
        <w:tab w:val="right" w:pos="8306"/>
      </w:tabs>
      <w:snapToGrid w:val="0"/>
      <w:jc w:val="center"/>
    </w:pPr>
    <w:rPr>
      <w:sz w:val="18"/>
      <w:szCs w:val="18"/>
    </w:rPr>
  </w:style>
  <w:style w:type="paragraph" w:styleId="7">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autoRedefine/>
    <w:unhideWhenUsed/>
    <w:qFormat/>
    <w:uiPriority w:val="0"/>
    <w:pPr>
      <w:spacing w:before="100" w:beforeAutospacing="1" w:after="100" w:afterAutospacing="1"/>
    </w:p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autoRedefine/>
    <w:qFormat/>
    <w:uiPriority w:val="0"/>
    <w:rPr>
      <w:b/>
    </w:rPr>
  </w:style>
  <w:style w:type="paragraph" w:customStyle="1" w:styleId="13">
    <w:name w:val="列出段落1"/>
    <w:basedOn w:val="1"/>
    <w:autoRedefine/>
    <w:qFormat/>
    <w:uiPriority w:val="99"/>
    <w:pPr>
      <w:ind w:firstLine="420" w:firstLineChars="200"/>
    </w:pPr>
    <w:rPr>
      <w:rFonts w:hint="default"/>
    </w:rPr>
  </w:style>
  <w:style w:type="paragraph" w:customStyle="1" w:styleId="14">
    <w:name w:val="普通(网站) Char"/>
    <w:autoRedefine/>
    <w:qFormat/>
    <w:uiPriority w:val="0"/>
    <w:pPr>
      <w:spacing w:before="100" w:beforeAutospacing="1" w:after="100" w:afterAutospacing="1"/>
    </w:pPr>
    <w:rPr>
      <w:rFonts w:ascii="宋体" w:hAnsi="宋体" w:eastAsia="宋体" w:cs="Times New Roman"/>
      <w:sz w:val="24"/>
      <w:szCs w:val="24"/>
      <w:lang w:val="en-US" w:eastAsia="zh-CN" w:bidi="ar-SA"/>
    </w:rPr>
  </w:style>
  <w:style w:type="paragraph" w:customStyle="1" w:styleId="15">
    <w:name w:val="列出段落2"/>
    <w:autoRedefine/>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21"/>
    <w:autoRedefine/>
    <w:qFormat/>
    <w:uiPriority w:val="0"/>
    <w:rPr>
      <w:rFonts w:hint="default" w:ascii="Wingdings" w:hAnsi="Wingdings" w:cs="Wingdings"/>
      <w:b/>
      <w:bCs/>
    </w:rPr>
  </w:style>
  <w:style w:type="character" w:customStyle="1" w:styleId="17">
    <w:name w:val="批注框文本 字符"/>
    <w:basedOn w:val="11"/>
    <w:link w:val="4"/>
    <w:autoRedefine/>
    <w:qFormat/>
    <w:uiPriority w:val="0"/>
    <w:rPr>
      <w:rFonts w:ascii="宋体" w:hAnsi="宋体"/>
      <w:sz w:val="18"/>
      <w:szCs w:val="18"/>
    </w:rPr>
  </w:style>
  <w:style w:type="character" w:customStyle="1" w:styleId="18">
    <w:name w:val="正文文本 字符"/>
    <w:basedOn w:val="11"/>
    <w:link w:val="3"/>
    <w:autoRedefine/>
    <w:qFormat/>
    <w:uiPriority w:val="0"/>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3"/>
    <customShpInfo spid="_x0000_s3074"/>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43</Pages>
  <Words>9774</Words>
  <Characters>13233</Characters>
  <Lines>251</Lines>
  <Paragraphs>70</Paragraphs>
  <TotalTime>2</TotalTime>
  <ScaleCrop>false</ScaleCrop>
  <LinksUpToDate>false</LinksUpToDate>
  <CharactersWithSpaces>13881</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2024-07-12T18:00:00Z</dcterms:created>
  <dc:creator>Administrator</dc:creator>
  <cp:lastModifiedBy>WPS_1664260647</cp:lastModifiedBy>
  <dcterms:modified xsi:type="dcterms:W3CDTF">2025-09-24T06:26:22Z</dcterms:modified>
  <dc:title>垫江县曹回镇人民政府2024年度决算公开说明</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0DF320FD913E4E1BA94D8E751F1D601F_13</vt:lpwstr>
  </property>
  <property fmtid="{D5CDD505-2E9C-101B-9397-08002B2CF9AE}" pid="4" name="KSOTemplateDocerSaveRecord">
    <vt:lpwstr>eyJoZGlkIjoiM2E5OGYzMDI4MmJmODNlMTY0ZDdlYzdkYjA3Y2Q4Y2IiLCJ1c2VySWQiOiIxMjMxMzUwMDMyIn0=</vt:lpwstr>
  </property>
</Properties>
</file>