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垫江县曹回镇人民政府（本级）</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bookmarkStart w:id="0" w:name="_GoBack"/>
      <w:bookmarkEnd w:id="0"/>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（二）机构设置</w:t>
      </w:r>
    </w:p>
    <w:p>
      <w:pPr>
        <w:pStyle w:val="8"/>
        <w:shd w:val="clear" w:color="060000" w:fill="FFFFFF"/>
        <w:spacing w:before="0" w:beforeAutospacing="0" w:after="0" w:afterAutospacing="0" w:line="600" w:lineRule="exact"/>
        <w:ind w:firstLine="640" w:firstLineChars="200"/>
        <w:jc w:val="both"/>
        <w:rPr>
          <w:rStyle w:val="19"/>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本单位为垫江县曹回镇人民政府（本级），</w:t>
      </w:r>
      <w:r>
        <w:rPr>
          <w:rStyle w:val="19"/>
          <w:rFonts w:ascii="方正仿宋_GBK" w:hAnsi="方正仿宋_GBK" w:eastAsia="方正仿宋_GBK" w:cs="方正仿宋_GBK"/>
          <w:color w:val="000000"/>
          <w:sz w:val="32"/>
          <w:szCs w:val="32"/>
        </w:rPr>
        <w:t>所属二级预算单位，</w:t>
      </w:r>
      <w:r>
        <w:rPr>
          <w:rFonts w:ascii="方正仿宋_GBK" w:hAnsi="方正仿宋_GBK" w:eastAsia="方正仿宋_GBK" w:cs="方正仿宋_GBK"/>
          <w:sz w:val="32"/>
          <w:szCs w:val="32"/>
          <w:shd w:val="clear" w:color="auto" w:fill="FFFFFF"/>
        </w:rPr>
        <w:t>单位类型为行政单位，</w:t>
      </w:r>
      <w:r>
        <w:rPr>
          <w:rStyle w:val="19"/>
          <w:rFonts w:ascii="方正仿宋_GBK" w:hAnsi="方正仿宋_GBK" w:eastAsia="方正仿宋_GBK" w:cs="方正仿宋_GBK"/>
          <w:color w:val="000000"/>
          <w:sz w:val="32"/>
          <w:szCs w:val="32"/>
        </w:rPr>
        <w:t>本单位2024年12月在职职工25人。机构设置如下：</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1.基层治理综合指挥室。负责承担基层智治体系运行监测、分析研判，以及业务协同流转、应急指挥协调、统筹督查考核和值班备勤职责，负责一体化治理智治平台的日常管理等工作。牵头推进全面深化改革、巡视巡察整改、数字重庆建设等工作。负责机关文秘、会务、档案、机要、保密、后勤服务等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2.党的建设办公室。负责党的政治建设、思想建设、组织建设、作风建设、纪律建设、制度建设和反腐败斗争，以及民主法治、意识形态、统一战线、群众团体等工作。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3.经济发展办公室。牵头拟订和组织实施本辖区经济社会发展计划，落实区域发展规划、专项规划、国土空间规划，负责经济发展、规划建设、生态环境、市政环卫、农业农村和乡村振兴、交通运输、商贸物流、财政管理、经济社会统计、科技普及等工作，负责国有资产管理、内部审计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4.民生服务办公室。负责民政、教育、文化体育、卫生健康、劳动就业、医疗和社会保障、政务服务等工作，负责推动社会事业发展，落实社会保险、社会救助、社会福利、优抚安置、扶贫济困等社会保障政策，优化基本公共服务资源配置和公共服务设施空间布局。</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kern w:val="2"/>
          <w:sz w:val="32"/>
          <w:szCs w:val="32"/>
          <w:shd w:val="clear" w:color="auto" w:fill="FFFFFF"/>
        </w:rPr>
        <w:t>5.平安法治办公室。负责平安综治、应急管理、安全生产、信访稳定、人民武装、消防管理等工作，推动平安法治和社会治理工作落细落实。</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（一）收入支出决算总体情况说明</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2024年度收入总计4011.37万元，支出总计</w:t>
      </w:r>
      <w:r>
        <w:rPr>
          <w:rFonts w:ascii="方正仿宋_GBK" w:hAnsi="方正仿宋_GBK" w:eastAsia="方正仿宋_GBK" w:cs="方正仿宋_GBK"/>
          <w:sz w:val="32"/>
          <w:szCs w:val="32"/>
        </w:rPr>
        <w:t>4011.37</w:t>
      </w:r>
      <w:r>
        <w:rPr>
          <w:rFonts w:ascii="方正仿宋_GBK" w:hAnsi="方正仿宋_GBK" w:eastAsia="方正仿宋_GBK" w:cs="方正仿宋_GBK"/>
          <w:sz w:val="32"/>
          <w:szCs w:val="32"/>
          <w:shd w:val="clear" w:color="auto" w:fill="FFFFFF"/>
        </w:rPr>
        <w:t>万元。收、支与2023年度相比，减少198.07万元，下降4.71%，主要原因是2023年补发公务员以前年度奖金、独生子女一次性抚恤金、村干部工资补发，2024年无该项支出。</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2024年度收入合计3982.75万元，与2023年度相比，减少109.57万元，下降2.68%，主要原因是2023年补发公务员以前年度奖金、独生子女一次性抚恤金、村干部工资补发，2024年无该项支出。其中：财政拨款收入</w:t>
      </w:r>
      <w:r>
        <w:rPr>
          <w:rFonts w:ascii="方正仿宋_GBK" w:hAnsi="方正仿宋_GBK" w:eastAsia="方正仿宋_GBK" w:cs="方正仿宋_GBK"/>
          <w:sz w:val="32"/>
          <w:szCs w:val="32"/>
        </w:rPr>
        <w:t>3982.75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28.61</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4010.37</w:t>
      </w:r>
      <w:r>
        <w:rPr>
          <w:rFonts w:ascii="方正仿宋_GBK" w:hAnsi="方正仿宋_GBK" w:eastAsia="方正仿宋_GBK" w:cs="方正仿宋_GBK"/>
          <w:sz w:val="32"/>
          <w:szCs w:val="32"/>
          <w:shd w:val="clear" w:color="auto" w:fill="FFFFFF"/>
        </w:rPr>
        <w:t>万元，与2023年度相比，减少91.70万元，下降2.24%，主要原因是2023年补发公务员以前年度奖金、独生子女一次性抚恤金、村干部工资补发，2024年无该项支出。其中：基本支出</w:t>
      </w:r>
      <w:r>
        <w:rPr>
          <w:rFonts w:ascii="方正仿宋_GBK" w:hAnsi="方正仿宋_GBK" w:eastAsia="方正仿宋_GBK" w:cs="方正仿宋_GBK"/>
          <w:sz w:val="32"/>
          <w:szCs w:val="32"/>
        </w:rPr>
        <w:t>1230.19</w:t>
      </w:r>
      <w:r>
        <w:rPr>
          <w:rFonts w:ascii="方正仿宋_GBK" w:hAnsi="方正仿宋_GBK" w:eastAsia="方正仿宋_GBK" w:cs="方正仿宋_GBK"/>
          <w:sz w:val="32"/>
          <w:szCs w:val="32"/>
          <w:shd w:val="clear" w:color="auto" w:fill="FFFFFF"/>
        </w:rPr>
        <w:t>万元，占30.68%；项目支出</w:t>
      </w:r>
      <w:r>
        <w:rPr>
          <w:rFonts w:ascii="方正仿宋_GBK" w:hAnsi="方正仿宋_GBK" w:eastAsia="方正仿宋_GBK" w:cs="方正仿宋_GBK"/>
          <w:sz w:val="32"/>
          <w:szCs w:val="32"/>
        </w:rPr>
        <w:t>2780.18</w:t>
      </w:r>
      <w:r>
        <w:rPr>
          <w:rFonts w:ascii="方正仿宋_GBK" w:hAnsi="方正仿宋_GBK" w:eastAsia="方正仿宋_GBK" w:cs="方正仿宋_GBK"/>
          <w:sz w:val="32"/>
          <w:szCs w:val="32"/>
          <w:shd w:val="clear" w:color="auto" w:fill="FFFFFF"/>
        </w:rPr>
        <w:t>万元，占69.32%；经营支出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2024年度年末结转和结余1.00万元，与2023年度相比，减少106.37万元，下降99.07%，主要原因是2024年度清理以前年度存量资金。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（二）财政拨款收入支出决算总体情况说明</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2024年度财政拨款收、支总计4011.37万元。与2023年相比，财政拨款收、支总计各减少198.07万元，下降4.71%。主要原因是2023年补发公务员以前年度奖金、独生子女一次性抚恤金、村干部工资补发，2024年无该项支出。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3745.31</w:t>
      </w:r>
      <w:r>
        <w:rPr>
          <w:rFonts w:ascii="方正仿宋_GBK" w:hAnsi="方正仿宋_GBK" w:eastAsia="方正仿宋_GBK" w:cs="方正仿宋_GBK"/>
          <w:sz w:val="32"/>
          <w:szCs w:val="32"/>
          <w:shd w:val="clear" w:color="auto" w:fill="FFFFFF"/>
        </w:rPr>
        <w:t>万元，与2023年度相比，减少346.36万元，下降8.47%。主要原因是2023年补发公务员以前年度奖金、独生子女一次性抚恤金、村干部工资补发，2024年无该项支出。较年初预算数增加413.94万元，增长12.43%。主要原因是年中追加项目资金（乡镇（街道）耕地补足、撂荒地复耕复种补助资金、少数民族发展资金、土地征收补偿费、中央林业改革发展资金--造林补助、提前下达2023年车辆购置税收入补助地方资金等）。此外，年初财政拨款结转和结余</w:t>
      </w:r>
      <w:r>
        <w:rPr>
          <w:rFonts w:ascii="方正仿宋_GBK" w:hAnsi="方正仿宋_GBK" w:eastAsia="方正仿宋_GBK" w:cs="方正仿宋_GBK"/>
          <w:sz w:val="32"/>
          <w:szCs w:val="32"/>
        </w:rPr>
        <w:t>28.61</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3772.92</w:t>
      </w:r>
      <w:r>
        <w:rPr>
          <w:rFonts w:ascii="方正仿宋_GBK" w:hAnsi="方正仿宋_GBK" w:eastAsia="方正仿宋_GBK" w:cs="方正仿宋_GBK"/>
          <w:sz w:val="32"/>
          <w:szCs w:val="32"/>
          <w:shd w:val="clear" w:color="auto" w:fill="FFFFFF"/>
        </w:rPr>
        <w:t>万元，与2023年度相比，减少328.50万元，下降8.01%。主要原因是2023年补发公务员以前年度奖金、独生子女一次性抚恤金、村干部工资补发，2024年无该项支出。较年初预算数增加441.55万元，增长13.25%。主要原因是年中追加项目资金（乡镇（街道）耕地补足、撂荒地复耕复种补助资金、少数民族发展资金、土地征收补偿费、中央林业改革发展资金--造林补助、提前下达2023年车辆购置税收入补助地方资金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万元，与2023年度相比，减少101.76万元，下降99.03%，主要原因是2024年度清理以前年度存量资金。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2"/>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890.67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23.61</w:t>
      </w:r>
      <w:r>
        <w:rPr>
          <w:rFonts w:ascii="方正仿宋_GBK" w:hAnsi="方正仿宋_GBK" w:eastAsia="方正仿宋_GBK" w:cs="方正仿宋_GBK"/>
          <w:sz w:val="32"/>
          <w:szCs w:val="32"/>
          <w:shd w:val="clear" w:color="auto" w:fill="FFFFFF"/>
        </w:rPr>
        <w:t>%，较年初预算数减少1126.81万元，下降55.85%，主要原因是年初预算时将上年结余的项目资金，统一列入乡镇运转经费：一般公共服务支出中，而实际开支时按照项目需求进行调整。</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%，较年初预算数增加8.88万元，增长555.00%，主要原因是追加项目资金平安建设专项经费。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5.62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%，较年初预算数增加4.65万元，增长479.38%，主要原因是追加公共图书馆、美术馆、文化馆（站）免费开发补助资金。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170.44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较年初预算数增加56.09万元，增长49.05%，主要原因是追加项目资金（重庆市高校毕业生“三支一扶”补助资金、退役军人补助资金资金、退休“中人”一次性补贴资金、残疾人事业发展、困难群众救助补助资金、残疾人联络经费、民政专项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%，较年初预算数增加2.41万元，增长6.84%，主要原因是追加项目资金（居民医保参保工作经费、优抚对象补助（直达资金）、计划生育特殊家庭节日走访慰问资金）。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35.47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%，较年初预算数减少28.65万元，下降44.68%，主要原因是2024年本单位无城镇基础设施建设，年初预算资金未使用。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654.62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17.35</w:t>
      </w:r>
      <w:r>
        <w:rPr>
          <w:rFonts w:ascii="方正仿宋_GBK" w:hAnsi="方正仿宋_GBK" w:eastAsia="方正仿宋_GBK" w:cs="方正仿宋_GBK"/>
          <w:sz w:val="32"/>
          <w:szCs w:val="32"/>
          <w:shd w:val="clear" w:color="auto" w:fill="FFFFFF"/>
        </w:rPr>
        <w:t>%，较年初预算数增加154.69万元，增长30.94%，主要原因是追加项目资金（少数民族发展资金、农村综合改革转移支付资金、中央水利救灾资金（防汛）、村社区办公经费、产粮大县奖励资金、市财政衔接推进乡村振兴补助资金（农村环境卫生治理）、离任村干部生活补贴、中央林业改革发展资金--造林补助等）。</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127.63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%，较年初预算数增加80.00万元，增长167.96%，主要原因是追加项目资金（农村公路日常养护补助、提前下达2023年车辆购置税收入补助地方资金、车辆购置税补助地方收入）。</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1734.20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45.96</w:t>
      </w:r>
      <w:r>
        <w:rPr>
          <w:rFonts w:ascii="方正仿宋_GBK" w:hAnsi="方正仿宋_GBK" w:eastAsia="方正仿宋_GBK" w:cs="方正仿宋_GBK"/>
          <w:sz w:val="32"/>
          <w:szCs w:val="32"/>
          <w:shd w:val="clear" w:color="auto" w:fill="FFFFFF"/>
        </w:rPr>
        <w:t>%，较年初预算数增加1232.15万元，增长245.42%，主要原因是增加对中小企业发展扶持的费用补贴。</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（10）商业服务业等支出6.78万元，占0.18%，较年初预算数增加6.78万元，增长100.00%，主要原因是追加限上企业（个体）发展奖励资金。</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（11）自然资源海洋气象等支出17.99万元，占0.48%，较年初预算数增加17.99万元，增长100.00%，主要原因是增加市级耕地保护奖补资金。</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（12）住房保障支出47.58万元，占</w:t>
      </w:r>
      <w:r>
        <w:rPr>
          <w:rFonts w:ascii="方正仿宋_GBK" w:hAnsi="方正仿宋_GBK" w:eastAsia="方正仿宋_GBK" w:cs="方正仿宋_GBK"/>
          <w:sz w:val="32"/>
          <w:szCs w:val="32"/>
        </w:rPr>
        <w:t>1.26</w:t>
      </w:r>
      <w:r>
        <w:rPr>
          <w:rFonts w:ascii="方正仿宋_GBK" w:hAnsi="方正仿宋_GBK" w:eastAsia="方正仿宋_GBK" w:cs="方正仿宋_GBK"/>
          <w:sz w:val="32"/>
          <w:szCs w:val="32"/>
          <w:shd w:val="clear" w:color="auto" w:fill="FFFFFF"/>
        </w:rPr>
        <w:t>%，较年初预算数增加0.60万元，增长1.28%，主要原因是追加农村低收入群体等重点对象危房改造资金。</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%，较年初预算数增加32.77万元，增长3212.75%，主要原因是追加中央自然灾害救灾资金。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（四）一般公共预算财政拨款基本支出决算情况说明</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1230.19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1007.30</w:t>
      </w:r>
      <w:r>
        <w:rPr>
          <w:rFonts w:ascii="方正仿宋_GBK" w:hAnsi="方正仿宋_GBK" w:eastAsia="方正仿宋_GBK" w:cs="方正仿宋_GBK"/>
          <w:sz w:val="32"/>
          <w:szCs w:val="32"/>
          <w:shd w:val="clear" w:color="auto" w:fill="FFFFFF"/>
        </w:rPr>
        <w:t>万元，与2023年度相比，减少91.44万元，下降8.32%，主要原因是2023年补发公务员以前年度奖金、独生子女一次性抚恤金、村干部工资补发，2024年无该项支出。人员经费用途主要包括基本工资123.89万元，津贴补贴99.34万元、奖金178.63万元、伙食补助73.8万元、机关事业单位基本养老保险缴费54.77万元、职业年金缴费26.29万元、职工基本医疗保险缴费33.38万元、其他社会保障缴费1.06万元、住房公积金41.28万元、医疗费14.88万元、其他工资福利支出20.35万元、生活补助333.61万元、医疗补助费3.60万元、奖励金2.41万元。公用经费</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与2023年度相比，减少13.43万元，下降5.68%，主要原因是不超预算安排使用资金,严格控制公用经费。公用经费用途主要包括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万元，与2023年度相比，增加236.79万元，增长36429.23%，主要原因是年中追加项目资金（乡镇（街道）耕地补足、撂荒地复耕复种补助资金、土地征收补偿费、彩票公益金用于社会福利事业资金）。本年支出</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11.69</w:t>
      </w:r>
      <w:r>
        <w:rPr>
          <w:rFonts w:ascii="方正仿宋_GBK" w:hAnsi="方正仿宋_GBK" w:eastAsia="方正仿宋_GBK" w:cs="方正仿宋_GBK"/>
          <w:sz w:val="32"/>
          <w:szCs w:val="32"/>
          <w:shd w:val="clear" w:color="auto" w:fill="FFFFFF"/>
        </w:rPr>
        <w:t>万元，较年初预算数增加9.69万元，增长484.50%，主要原因是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和公务接待的实际运行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中，出现资金</w:t>
      </w:r>
      <w:r>
        <w:rPr>
          <w:rFonts w:hint="default" w:ascii="方正仿宋_GBK" w:hAnsi="方正仿宋_GBK" w:eastAsia="方正仿宋_GBK" w:cs="方正仿宋_GBK"/>
          <w:sz w:val="32"/>
          <w:szCs w:val="32"/>
          <w:shd w:val="clear" w:color="auto" w:fill="FFFFFF"/>
        </w:rPr>
        <w:t>缺口</w:t>
      </w:r>
      <w:r>
        <w:rPr>
          <w:rFonts w:ascii="方正仿宋_GBK" w:hAnsi="方正仿宋_GBK" w:eastAsia="方正仿宋_GBK" w:cs="方正仿宋_GBK"/>
          <w:sz w:val="32"/>
          <w:szCs w:val="32"/>
          <w:shd w:val="clear" w:color="auto" w:fill="FFFFFF"/>
        </w:rPr>
        <w:t>，只能</w:t>
      </w:r>
      <w:r>
        <w:rPr>
          <w:rFonts w:hint="default" w:ascii="方正仿宋_GBK" w:hAnsi="方正仿宋_GBK" w:eastAsia="方正仿宋_GBK" w:cs="方正仿宋_GBK"/>
          <w:sz w:val="32"/>
          <w:szCs w:val="32"/>
          <w:shd w:val="clear" w:color="auto" w:fill="FFFFFF"/>
        </w:rPr>
        <w:t>通过</w:t>
      </w:r>
      <w:r>
        <w:rPr>
          <w:rFonts w:ascii="方正仿宋_GBK" w:hAnsi="方正仿宋_GBK" w:eastAsia="方正仿宋_GBK" w:cs="方正仿宋_GBK"/>
          <w:sz w:val="32"/>
          <w:szCs w:val="32"/>
          <w:shd w:val="clear" w:color="auto" w:fill="FFFFFF"/>
        </w:rPr>
        <w:t>调剂</w:t>
      </w:r>
      <w:r>
        <w:rPr>
          <w:rFonts w:hint="default" w:ascii="方正仿宋_GBK" w:hAnsi="方正仿宋_GBK" w:eastAsia="方正仿宋_GBK" w:cs="方正仿宋_GBK"/>
          <w:sz w:val="32"/>
          <w:szCs w:val="32"/>
          <w:shd w:val="clear" w:color="auto" w:fill="FFFFFF"/>
        </w:rPr>
        <w:t>方式</w:t>
      </w:r>
      <w:r>
        <w:rPr>
          <w:rFonts w:ascii="方正仿宋_GBK" w:hAnsi="方正仿宋_GBK" w:eastAsia="方正仿宋_GBK" w:cs="方正仿宋_GBK"/>
          <w:sz w:val="32"/>
          <w:szCs w:val="32"/>
          <w:shd w:val="clear" w:color="auto" w:fill="FFFFFF"/>
        </w:rPr>
        <w:t>追加</w:t>
      </w:r>
      <w:r>
        <w:rPr>
          <w:rFonts w:hint="default" w:ascii="方正仿宋_GBK" w:hAnsi="方正仿宋_GBK" w:eastAsia="方正仿宋_GBK" w:cs="方正仿宋_GBK"/>
          <w:sz w:val="32"/>
          <w:szCs w:val="32"/>
          <w:shd w:val="clear" w:color="auto" w:fill="FFFFFF"/>
        </w:rPr>
        <w:t>预算，导致支出增加</w:t>
      </w:r>
      <w:r>
        <w:rPr>
          <w:rFonts w:ascii="方正仿宋_GBK" w:hAnsi="方正仿宋_GBK" w:eastAsia="方正仿宋_GBK" w:cs="方正仿宋_GBK"/>
          <w:sz w:val="32"/>
          <w:szCs w:val="32"/>
          <w:shd w:val="clear" w:color="auto" w:fill="FFFFFF"/>
        </w:rPr>
        <w:t>。较上年支出数无增减，主要原因是严控三公经费，加强管理，按照只减不增的要求从严控制“三公”经费。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万元，主要用于本单位按规定保留的公务用车燃料费、新能源汽车充电费、维修费、过桥过路费、保险费等。费用支出较年初预算数增加5.79万元，增长579.00%，主要原因是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w:t>
      </w:r>
      <w:r>
        <w:rPr>
          <w:rFonts w:hint="default" w:ascii="方正仿宋_GBK" w:hAnsi="方正仿宋_GBK" w:eastAsia="方正仿宋_GBK" w:cs="方正仿宋_GBK"/>
          <w:sz w:val="32"/>
          <w:szCs w:val="32"/>
          <w:shd w:val="clear" w:color="auto" w:fill="FFFFFF"/>
        </w:rPr>
        <w:t>油费有所增加，且由于公车使用年限已久，维修费增多。</w:t>
      </w:r>
      <w:r>
        <w:rPr>
          <w:rFonts w:ascii="方正仿宋_GBK" w:hAnsi="方正仿宋_GBK" w:eastAsia="方正仿宋_GBK" w:cs="方正仿宋_GBK"/>
          <w:sz w:val="32"/>
          <w:szCs w:val="32"/>
          <w:shd w:val="clear" w:color="auto" w:fill="FFFFFF"/>
        </w:rPr>
        <w:t>较上年支出数无增减，主要原因是严格控制“三公”经费支出情况，按照标准使用公务车外出办事。</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万元，主要用于接待招商企业产生的相关费用。费用支出较年初预算数增加3.91万元，增长391.00%，主要原因是</w:t>
      </w:r>
      <w:r>
        <w:rPr>
          <w:rFonts w:hint="default" w:ascii="方正仿宋_GBK" w:hAnsi="方正仿宋_GBK" w:eastAsia="方正仿宋_GBK" w:cs="方正仿宋_GBK"/>
          <w:sz w:val="32"/>
          <w:szCs w:val="32"/>
          <w:shd w:val="clear" w:color="auto" w:fill="FFFFFF"/>
          <w:lang w:bidi="ar"/>
        </w:rPr>
        <w:t>本年度招商引资和公务接待增多，导致公务接待费增加</w:t>
      </w:r>
      <w:r>
        <w:rPr>
          <w:rFonts w:ascii="方正仿宋_GBK" w:hAnsi="方正仿宋_GBK" w:eastAsia="方正仿宋_GBK" w:cs="方正仿宋_GBK"/>
          <w:sz w:val="32"/>
          <w:szCs w:val="32"/>
          <w:shd w:val="clear" w:color="auto" w:fill="FFFFFF"/>
        </w:rPr>
        <w:t>。较上年支出数无增减，主要原因是严格控制“三公”经费支出情况，严格参照接待费标准，确保不超标准接待来访人员。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864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56.80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万元。</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（一）财政拨款会议费和培训费情况说明</w:t>
      </w:r>
    </w:p>
    <w:p>
      <w:pPr>
        <w:widowControl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13.00</w:t>
      </w:r>
      <w:r>
        <w:rPr>
          <w:rFonts w:ascii="方正仿宋_GBK" w:hAnsi="方正仿宋_GBK" w:eastAsia="方正仿宋_GBK" w:cs="方正仿宋_GBK"/>
          <w:sz w:val="32"/>
          <w:szCs w:val="32"/>
          <w:shd w:val="clear" w:color="auto" w:fill="FFFFFF"/>
        </w:rPr>
        <w:t>万元，与2023年度相比，增加8.52万元，增长190.18%，主要原因是</w:t>
      </w:r>
      <w:r>
        <w:rPr>
          <w:rFonts w:hint="default" w:ascii="方正仿宋_GBK" w:hAnsi="方正仿宋_GBK" w:eastAsia="方正仿宋_GBK" w:cs="方正仿宋_GBK"/>
          <w:sz w:val="32"/>
          <w:szCs w:val="32"/>
          <w:shd w:val="clear" w:color="auto" w:fill="FFFFFF"/>
        </w:rPr>
        <w:t>基层业务多，任务重，根据工作需要安排必要的会议，导致支出增加。此外，人代会召开次数由每年2次增加为每季度1次，全年共4次。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万元，与2023年度相比，增加0.06万元，增长1.88%，主要原因是增加2024年新录用公务员到重庆学习培训费。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（二）机关运行经费情况说明</w:t>
      </w:r>
    </w:p>
    <w:p>
      <w:pPr>
        <w:pStyle w:val="8"/>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机关运行经费主要用于开支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机关运行经费较上年支出数减少13.43万元，下降5.68%，主要原因是严把支出关，严格执行</w:t>
      </w:r>
      <w:r>
        <w:rPr>
          <w:rFonts w:hint="eastAsia" w:ascii="方正仿宋_GBK" w:hAnsi="方正仿宋_GBK" w:eastAsia="方正仿宋_GBK" w:cs="方正仿宋_GBK"/>
          <w:sz w:val="32"/>
          <w:szCs w:val="32"/>
          <w:shd w:val="clear" w:color="auto" w:fill="FFFFFF"/>
          <w:lang w:eastAsia="zh-CN"/>
        </w:rPr>
        <w:t>中央八项规定精神</w:t>
      </w:r>
      <w:r>
        <w:rPr>
          <w:rFonts w:ascii="方正仿宋_GBK" w:hAnsi="方正仿宋_GBK" w:eastAsia="方正仿宋_GBK" w:cs="方正仿宋_GBK"/>
          <w:sz w:val="32"/>
          <w:szCs w:val="32"/>
          <w:shd w:val="clear" w:color="auto" w:fill="FFFFFF"/>
        </w:rPr>
        <w:t>和厉行节约要求，强化支出管理。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%，其中：授予小微企业合同金额0.00万元，占政府采购支出总额的0 %。2024年度我单位未发生政府采购事项，无相关经费支出。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（一）单位自评情况</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根据预算绩效管理要求，我单位对77个二级项目开展了绩效自评，涉及财政拨款项目支出资金2780.18万元。</w:t>
      </w:r>
    </w:p>
    <w:p>
      <w:pPr>
        <w:pStyle w:val="14"/>
        <w:spacing w:before="0" w:beforeAutospacing="0" w:after="0" w:afterAutospacing="0" w:line="600" w:lineRule="exact"/>
        <w:jc w:val="both"/>
        <w:rPr>
          <w:rFonts w:hint="default" w:ascii="楷体" w:hAnsi="楷体" w:eastAsia="楷体" w:cs="楷体"/>
          <w:b/>
          <w:bCs/>
          <w:sz w:val="28"/>
          <w:szCs w:val="28"/>
          <w:shd w:val="clear" w:color="auto" w:fill="FFFFFF"/>
        </w:rPr>
      </w:pPr>
    </w:p>
    <w:p>
      <w:pPr>
        <w:pStyle w:val="13"/>
        <w:autoSpaceDE w:val="0"/>
        <w:ind w:firstLine="0" w:firstLineChars="0"/>
      </w:pPr>
      <w:r>
        <w:pict>
          <v:shape id="_x0000_i1025" o:spt="75" type="#_x0000_t75" style="height:278.25pt;width:414.75pt;" filled="f" o:preferrelative="t" stroked="f" coordsize="21600,21600">
            <v:path/>
            <v:fill on="f" focussize="0,0"/>
            <v:stroke on="f" joinstyle="miter"/>
            <v:imagedata r:id="rId7"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drawing>
          <wp:inline distT="0" distB="0" distL="114300" distR="114300">
            <wp:extent cx="5269865" cy="3326130"/>
            <wp:effectExtent l="0" t="0" r="6985" b="762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lum/>
                    </a:blip>
                    <a:stretch>
                      <a:fillRect/>
                    </a:stretch>
                  </pic:blipFill>
                  <pic:spPr>
                    <a:xfrm>
                      <a:off x="0" y="0"/>
                      <a:ext cx="5269865" cy="3326130"/>
                    </a:xfrm>
                    <a:prstGeom prst="rect">
                      <a:avLst/>
                    </a:prstGeom>
                    <a:noFill/>
                    <a:ln>
                      <a:noFill/>
                    </a:ln>
                  </pic:spPr>
                </pic:pic>
              </a:graphicData>
            </a:graphic>
          </wp:inline>
        </w:drawing>
      </w: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p>
    <w:p>
      <w:pPr>
        <w:pStyle w:val="13"/>
        <w:autoSpaceDE w:val="0"/>
        <w:ind w:firstLine="0" w:firstLineChars="0"/>
      </w:pPr>
      <w:r>
        <w:pict>
          <v:shape id="_x0000_i1026" o:spt="75" type="#_x0000_t75" style="height:291.75pt;width:415.5pt;" filled="f" o:preferrelative="t" stroked="f" coordsize="21600,21600">
            <v:path/>
            <v:fill on="f" focussize="0,0"/>
            <v:stroke on="f" joinstyle="miter"/>
            <v:imagedata r:id="rId9"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pict>
          <v:shape id="_x0000_i1027" o:spt="75" type="#_x0000_t75" style="height:320.25pt;width:414.75pt;" filled="f" o:preferrelative="t" stroked="f" coordsize="21600,21600">
            <v:path/>
            <v:fill on="f" focussize="0,0"/>
            <v:stroke on="f" joinstyle="miter"/>
            <v:imagedata r:id="rId10" o:title=""/>
            <o:lock v:ext="edit" aspectratio="t"/>
            <w10:wrap type="none"/>
            <w10:anchorlock/>
          </v:shape>
        </w:pict>
      </w:r>
    </w:p>
    <w:p>
      <w:pPr>
        <w:pStyle w:val="8"/>
        <w:shd w:val="clear" w:color="auto" w:fill="FFFFFF"/>
        <w:spacing w:before="0" w:beforeAutospacing="0" w:after="0" w:afterAutospacing="0"/>
        <w:ind w:firstLine="643" w:firstLineChars="200"/>
        <w:rPr>
          <w:rStyle w:val="12"/>
          <w:rFonts w:ascii="楷体" w:hAnsi="楷体" w:eastAsia="楷体" w:cs="楷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（二）单位绩效评价情况</w:t>
      </w:r>
    </w:p>
    <w:p>
      <w:pPr>
        <w:pStyle w:val="13"/>
        <w:autoSpaceDE w:val="0"/>
        <w:spacing w:line="60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  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本单位决算公开信息反馈和联系方式：魏老师023-74570718。</w:t>
      </w:r>
    </w:p>
    <w:p>
      <w:pPr>
        <w:pStyle w:val="13"/>
        <w:autoSpaceDE w:val="0"/>
        <w:ind w:firstLine="0" w:firstLineChars="0"/>
        <w:rPr>
          <w:rStyle w:val="12"/>
          <w:rFonts w:ascii="方正仿宋_GBK" w:hAnsi="方正仿宋_GBK" w:eastAsia="方正仿宋_GBK" w:cs="方正仿宋_GBK"/>
          <w:sz w:val="32"/>
          <w:szCs w:val="32"/>
          <w:shd w:val="clear" w:color="auto" w:fill="FFFF00"/>
        </w:rPr>
      </w:pPr>
    </w:p>
    <w:p>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垫江县曹回镇人民政府（本级）</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3,745.31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3,982.75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4,010.37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4,011.37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4,011.37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垫江县曹回镇人民政府（本级）</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3,982.75</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3,982.75</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08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1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37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8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1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08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8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37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垫江县曹回镇人民政府（本级）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4,010.37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1,230.19</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2,780.18</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5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5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5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5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垫江县曹回镇人民政府（本级）</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3,745.31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3,982.75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4,010.37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3,772.92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4,011.37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4,011.37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3,773.92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垫江县曹回镇人民政府（本级）</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3,772.92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2,542.73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343.15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0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1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331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0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31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垫江县曹回镇人民政府（本级）</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339.62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333.61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1,007.30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垫江县曹回镇人民政府（本级）</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垫江县曹回镇人民政府（本级）</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垫江县曹回镇人民政府（本级）</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rect id="文本框 127" o:spid="_x0000_s3074" o:spt="1"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rPr>
                  <w:t>- 40 -</w:t>
                </w:r>
                <w:r>
                  <w:fldChar w:fldCharType="end"/>
                </w:r>
                <w:r>
                  <w:t xml:space="preserve"> </w:t>
                </w:r>
              </w:p>
            </w:txbxContent>
          </v:textbox>
        </v:rect>
      </w:pict>
    </w:r>
    <w:r>
      <w:rPr>
        <w:rFonts w:hint="default"/>
      </w:rPr>
      <w:pict>
        <v:rect id="文本框 126" o:spid="_x0000_s3075"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BFFFB"/>
    <w:multiLevelType w:val="singleLevel"/>
    <w:tmpl w:val="689BFF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B03CCD"/>
    <w:rsid w:val="000239C6"/>
    <w:rsid w:val="0002624B"/>
    <w:rsid w:val="00164EB9"/>
    <w:rsid w:val="001D3BB7"/>
    <w:rsid w:val="002B254B"/>
    <w:rsid w:val="00466C9B"/>
    <w:rsid w:val="00550ABE"/>
    <w:rsid w:val="006558F7"/>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4981D2F"/>
    <w:rsid w:val="05BC6D49"/>
    <w:rsid w:val="06194FF1"/>
    <w:rsid w:val="06A2550B"/>
    <w:rsid w:val="06F80EE2"/>
    <w:rsid w:val="07001CCA"/>
    <w:rsid w:val="075678DB"/>
    <w:rsid w:val="079D7CC7"/>
    <w:rsid w:val="08051BCA"/>
    <w:rsid w:val="081C745E"/>
    <w:rsid w:val="086C12F4"/>
    <w:rsid w:val="08705944"/>
    <w:rsid w:val="08807182"/>
    <w:rsid w:val="08BA052C"/>
    <w:rsid w:val="08DB07BA"/>
    <w:rsid w:val="09330074"/>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05014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0F669C"/>
    <w:rsid w:val="163A6CEE"/>
    <w:rsid w:val="173708E3"/>
    <w:rsid w:val="17C374FC"/>
    <w:rsid w:val="182E4AB6"/>
    <w:rsid w:val="189079DC"/>
    <w:rsid w:val="189B0D0B"/>
    <w:rsid w:val="18B43F7C"/>
    <w:rsid w:val="194A1770"/>
    <w:rsid w:val="19AF5431"/>
    <w:rsid w:val="19B906A4"/>
    <w:rsid w:val="1AF82EDF"/>
    <w:rsid w:val="1B6F15B6"/>
    <w:rsid w:val="1BAA2EDC"/>
    <w:rsid w:val="1CA55E64"/>
    <w:rsid w:val="1D014A01"/>
    <w:rsid w:val="1D022362"/>
    <w:rsid w:val="1D1B04B0"/>
    <w:rsid w:val="1DA52501"/>
    <w:rsid w:val="1DBD6767"/>
    <w:rsid w:val="1DC52125"/>
    <w:rsid w:val="1DD26311"/>
    <w:rsid w:val="1E374ACB"/>
    <w:rsid w:val="1ECF0A66"/>
    <w:rsid w:val="1EE6018D"/>
    <w:rsid w:val="1EF67CA4"/>
    <w:rsid w:val="1F020D3A"/>
    <w:rsid w:val="1F2C5189"/>
    <w:rsid w:val="1F4B0B02"/>
    <w:rsid w:val="1FBB35CD"/>
    <w:rsid w:val="1FCD26AF"/>
    <w:rsid w:val="1FEA526B"/>
    <w:rsid w:val="20642787"/>
    <w:rsid w:val="21556F04"/>
    <w:rsid w:val="22403BD3"/>
    <w:rsid w:val="24B92327"/>
    <w:rsid w:val="24C14514"/>
    <w:rsid w:val="2533755C"/>
    <w:rsid w:val="25791755"/>
    <w:rsid w:val="26396DF4"/>
    <w:rsid w:val="27167136"/>
    <w:rsid w:val="271B442C"/>
    <w:rsid w:val="274676FC"/>
    <w:rsid w:val="27B23302"/>
    <w:rsid w:val="29310A5F"/>
    <w:rsid w:val="29C37A35"/>
    <w:rsid w:val="29F12B5D"/>
    <w:rsid w:val="2A076083"/>
    <w:rsid w:val="2A73162E"/>
    <w:rsid w:val="2B167953"/>
    <w:rsid w:val="2B200583"/>
    <w:rsid w:val="2B8209DE"/>
    <w:rsid w:val="2C187F64"/>
    <w:rsid w:val="2C636760"/>
    <w:rsid w:val="2C6762A3"/>
    <w:rsid w:val="2D657C06"/>
    <w:rsid w:val="2EA42B11"/>
    <w:rsid w:val="2FCA4B37"/>
    <w:rsid w:val="2FE029D7"/>
    <w:rsid w:val="2FF06E00"/>
    <w:rsid w:val="30586FEC"/>
    <w:rsid w:val="315F0B22"/>
    <w:rsid w:val="31D84415"/>
    <w:rsid w:val="31FF3316"/>
    <w:rsid w:val="32285F6F"/>
    <w:rsid w:val="327018CD"/>
    <w:rsid w:val="32770556"/>
    <w:rsid w:val="329C0913"/>
    <w:rsid w:val="32AA0460"/>
    <w:rsid w:val="32FFF35A"/>
    <w:rsid w:val="3337290D"/>
    <w:rsid w:val="33E31118"/>
    <w:rsid w:val="33EF7674"/>
    <w:rsid w:val="342D7BC6"/>
    <w:rsid w:val="34777AA4"/>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C02F13"/>
    <w:rsid w:val="3BFC579D"/>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084E9C"/>
    <w:rsid w:val="40BD5482"/>
    <w:rsid w:val="411B6CE5"/>
    <w:rsid w:val="412070D7"/>
    <w:rsid w:val="41314E40"/>
    <w:rsid w:val="41E0734B"/>
    <w:rsid w:val="4204145F"/>
    <w:rsid w:val="426C1EA8"/>
    <w:rsid w:val="42736402"/>
    <w:rsid w:val="427B6B1F"/>
    <w:rsid w:val="42CF43AB"/>
    <w:rsid w:val="42E86A87"/>
    <w:rsid w:val="43307B09"/>
    <w:rsid w:val="439A3EB9"/>
    <w:rsid w:val="43BB152F"/>
    <w:rsid w:val="445A1933"/>
    <w:rsid w:val="44C37687"/>
    <w:rsid w:val="45CB699A"/>
    <w:rsid w:val="45E2495B"/>
    <w:rsid w:val="465B470D"/>
    <w:rsid w:val="469D6AD4"/>
    <w:rsid w:val="471E6C84"/>
    <w:rsid w:val="473232DB"/>
    <w:rsid w:val="4748792B"/>
    <w:rsid w:val="475D719D"/>
    <w:rsid w:val="47674801"/>
    <w:rsid w:val="48225EF7"/>
    <w:rsid w:val="485B78C5"/>
    <w:rsid w:val="488F422B"/>
    <w:rsid w:val="48E36915"/>
    <w:rsid w:val="48EB6572"/>
    <w:rsid w:val="49295994"/>
    <w:rsid w:val="49352AAB"/>
    <w:rsid w:val="495C4A24"/>
    <w:rsid w:val="497135DF"/>
    <w:rsid w:val="4A263DF2"/>
    <w:rsid w:val="4A6F6675"/>
    <w:rsid w:val="4B135857"/>
    <w:rsid w:val="4B1751BF"/>
    <w:rsid w:val="4B7951CB"/>
    <w:rsid w:val="4B7C315C"/>
    <w:rsid w:val="4C0348C5"/>
    <w:rsid w:val="4CC53C01"/>
    <w:rsid w:val="4D9B295F"/>
    <w:rsid w:val="4DAC4ACA"/>
    <w:rsid w:val="4DBE01D2"/>
    <w:rsid w:val="4E4C4D02"/>
    <w:rsid w:val="4EFE4237"/>
    <w:rsid w:val="4F0C6BA3"/>
    <w:rsid w:val="4F186D58"/>
    <w:rsid w:val="50F06B6E"/>
    <w:rsid w:val="51D21804"/>
    <w:rsid w:val="52234D33"/>
    <w:rsid w:val="522F6E0C"/>
    <w:rsid w:val="52463BA1"/>
    <w:rsid w:val="52F163D4"/>
    <w:rsid w:val="531A2DB4"/>
    <w:rsid w:val="53B0035C"/>
    <w:rsid w:val="53C0244D"/>
    <w:rsid w:val="53DD4D4E"/>
    <w:rsid w:val="53E578CE"/>
    <w:rsid w:val="541330F0"/>
    <w:rsid w:val="54272666"/>
    <w:rsid w:val="543B029D"/>
    <w:rsid w:val="543FDC26"/>
    <w:rsid w:val="54861779"/>
    <w:rsid w:val="552256E1"/>
    <w:rsid w:val="554E5773"/>
    <w:rsid w:val="555829E0"/>
    <w:rsid w:val="555A3CBC"/>
    <w:rsid w:val="5582012B"/>
    <w:rsid w:val="558E4E05"/>
    <w:rsid w:val="55BE2E85"/>
    <w:rsid w:val="56530F5D"/>
    <w:rsid w:val="567700D3"/>
    <w:rsid w:val="56FF7E9E"/>
    <w:rsid w:val="578867FC"/>
    <w:rsid w:val="5842572D"/>
    <w:rsid w:val="59B853BE"/>
    <w:rsid w:val="5A3B59D6"/>
    <w:rsid w:val="5A425322"/>
    <w:rsid w:val="5AD134D8"/>
    <w:rsid w:val="5B3439B1"/>
    <w:rsid w:val="5B9A01F8"/>
    <w:rsid w:val="5BF43582"/>
    <w:rsid w:val="5C263CE4"/>
    <w:rsid w:val="5C5D2777"/>
    <w:rsid w:val="5C8332D2"/>
    <w:rsid w:val="5CF66BF3"/>
    <w:rsid w:val="5D261BE2"/>
    <w:rsid w:val="5D290C69"/>
    <w:rsid w:val="5E19466D"/>
    <w:rsid w:val="5EEF321E"/>
    <w:rsid w:val="5F2D4A41"/>
    <w:rsid w:val="60C74F6C"/>
    <w:rsid w:val="61025A59"/>
    <w:rsid w:val="61356E89"/>
    <w:rsid w:val="613D5BBC"/>
    <w:rsid w:val="61536C39"/>
    <w:rsid w:val="62944DD7"/>
    <w:rsid w:val="62C97B0C"/>
    <w:rsid w:val="6314191D"/>
    <w:rsid w:val="6319381F"/>
    <w:rsid w:val="63C25DC5"/>
    <w:rsid w:val="63C62057"/>
    <w:rsid w:val="64144421"/>
    <w:rsid w:val="64571EF5"/>
    <w:rsid w:val="64FB113D"/>
    <w:rsid w:val="656152C6"/>
    <w:rsid w:val="6587477F"/>
    <w:rsid w:val="658C3A08"/>
    <w:rsid w:val="65B456E9"/>
    <w:rsid w:val="65C031CA"/>
    <w:rsid w:val="65CE6852"/>
    <w:rsid w:val="66267C04"/>
    <w:rsid w:val="663F505A"/>
    <w:rsid w:val="66EE5541"/>
    <w:rsid w:val="67924660"/>
    <w:rsid w:val="68407834"/>
    <w:rsid w:val="6883293E"/>
    <w:rsid w:val="688412AD"/>
    <w:rsid w:val="68EB1B71"/>
    <w:rsid w:val="6A6C7940"/>
    <w:rsid w:val="6AAD2300"/>
    <w:rsid w:val="6AF8247B"/>
    <w:rsid w:val="6B474EF5"/>
    <w:rsid w:val="6BFB6DB8"/>
    <w:rsid w:val="6C0A5AC5"/>
    <w:rsid w:val="6C560CAE"/>
    <w:rsid w:val="6C576495"/>
    <w:rsid w:val="6D903FF5"/>
    <w:rsid w:val="6DA955B8"/>
    <w:rsid w:val="6DE346AB"/>
    <w:rsid w:val="6DE5391A"/>
    <w:rsid w:val="6EFD1324"/>
    <w:rsid w:val="6F5A53AC"/>
    <w:rsid w:val="6F6303CE"/>
    <w:rsid w:val="6FAC003D"/>
    <w:rsid w:val="6FE55E12"/>
    <w:rsid w:val="6FFB2E76"/>
    <w:rsid w:val="708F6F7F"/>
    <w:rsid w:val="70C17279"/>
    <w:rsid w:val="70D94BD3"/>
    <w:rsid w:val="711C739F"/>
    <w:rsid w:val="71C34D91"/>
    <w:rsid w:val="72DB435C"/>
    <w:rsid w:val="72E2613A"/>
    <w:rsid w:val="72F771F4"/>
    <w:rsid w:val="73934AD2"/>
    <w:rsid w:val="750837F0"/>
    <w:rsid w:val="754758CF"/>
    <w:rsid w:val="75EB41C1"/>
    <w:rsid w:val="764F62AB"/>
    <w:rsid w:val="765C45EC"/>
    <w:rsid w:val="768A7619"/>
    <w:rsid w:val="772E1EBA"/>
    <w:rsid w:val="77DF03B7"/>
    <w:rsid w:val="781926BC"/>
    <w:rsid w:val="796D60A4"/>
    <w:rsid w:val="79A031D5"/>
    <w:rsid w:val="7A1525F7"/>
    <w:rsid w:val="7B420052"/>
    <w:rsid w:val="7BD06A28"/>
    <w:rsid w:val="7C3A7C0B"/>
    <w:rsid w:val="7C5248E4"/>
    <w:rsid w:val="7C566698"/>
    <w:rsid w:val="7C5866A3"/>
    <w:rsid w:val="7C62561D"/>
    <w:rsid w:val="7D7406BB"/>
    <w:rsid w:val="7DE94331"/>
    <w:rsid w:val="7EB006E5"/>
    <w:rsid w:val="7F446A19"/>
    <w:rsid w:val="7F7452B9"/>
    <w:rsid w:val="7F812FBC"/>
    <w:rsid w:val="B796C3D6"/>
    <w:rsid w:val="D77F8D07"/>
    <w:rsid w:val="EECAE2F5"/>
    <w:rsid w:val="EFB6EE2E"/>
    <w:rsid w:val="FBCB225B"/>
    <w:rsid w:val="FD2B8F32"/>
    <w:rsid w:val="FFDF8C68"/>
    <w:rsid w:val="FFF3B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iPriority w:val="0"/>
    <w:pPr>
      <w:ind w:firstLine="567"/>
    </w:pPr>
  </w:style>
  <w:style w:type="paragraph" w:styleId="3">
    <w:name w:val="Body Text"/>
    <w:basedOn w:val="1"/>
    <w:link w:val="19"/>
    <w:uiPriority w:val="0"/>
    <w:pPr>
      <w:spacing w:before="100" w:beforeAutospacing="1" w:after="100" w:afterAutospacing="1"/>
    </w:pPr>
    <w:rPr>
      <w:rFonts w:cs="宋体"/>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basedOn w:val="1"/>
    <w:qFormat/>
    <w:uiPriority w:val="0"/>
    <w:pPr>
      <w:spacing w:before="100" w:beforeAutospacing="1" w:after="100" w:afterAutospacing="1"/>
    </w:p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character" w:customStyle="1" w:styleId="17">
    <w:name w:val="批注框文本 字符"/>
    <w:basedOn w:val="11"/>
    <w:link w:val="4"/>
    <w:qFormat/>
    <w:uiPriority w:val="0"/>
    <w:rPr>
      <w:rFonts w:ascii="宋体" w:hAnsi="宋体"/>
      <w:sz w:val="18"/>
      <w:szCs w:val="18"/>
    </w:rPr>
  </w:style>
  <w:style w:type="character" w:customStyle="1" w:styleId="18">
    <w:name w:val="正文文本 Char"/>
    <w:basedOn w:val="11"/>
    <w:qFormat/>
    <w:uiPriority w:val="0"/>
    <w:rPr>
      <w:rFonts w:ascii="宋体" w:hAnsi="宋体" w:cs="宋体"/>
      <w:kern w:val="0"/>
      <w:sz w:val="24"/>
    </w:rPr>
  </w:style>
  <w:style w:type="character" w:customStyle="1" w:styleId="19">
    <w:name w:val="正文文本 字符"/>
    <w:basedOn w:val="11"/>
    <w:link w:val="3"/>
    <w:qFormat/>
    <w:uiPriority w:val="0"/>
    <w:rPr>
      <w:rFonts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8785</Words>
  <Characters>12568</Characters>
  <Lines>232</Lines>
  <Paragraphs>65</Paragraphs>
  <TotalTime>21</TotalTime>
  <ScaleCrop>false</ScaleCrop>
  <LinksUpToDate>false</LinksUpToDate>
  <CharactersWithSpaces>13330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WPS_1664260647</cp:lastModifiedBy>
  <dcterms:modified xsi:type="dcterms:W3CDTF">2025-09-24T07:13:51Z</dcterms:modified>
  <dc:title>垫江县曹回镇人民政府（本级）2024年度决算公开说明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eyJoZGlkIjoiM2E5OGYzMDI4MmJmODNlMTY0ZDdlYzdkYjA3Y2Q4Y2IiLCJ1c2VySWQiOiIxMjMxMzUwMDMyIn0=</vt:lpwstr>
  </property>
</Properties>
</file>