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贷款风险补偿流程</w:t>
      </w:r>
    </w:p>
    <w:bookmarkEnd w:id="0"/>
    <w:p>
      <w:pPr>
        <w:spacing w:line="580" w:lineRule="exact"/>
        <w:ind w:firstLine="560" w:firstLineChars="200"/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  <w:t>一、风险补偿触发规则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当借款人贷款本金或利息逾期30日未还的，则启动风险补偿机制。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  <w:t>二、风险补偿比例</w:t>
      </w:r>
    </w:p>
    <w:p>
      <w:pPr>
        <w:overflowPunct w:val="0"/>
        <w:spacing w:line="580" w:lineRule="exact"/>
        <w:ind w:firstLine="560" w:firstLineChars="200"/>
        <w:rPr>
          <w:rFonts w:hint="default" w:ascii="Times New Roman" w:hAnsi="Times New Roman" w:eastAsia="方正仿宋_GBK" w:cs="Times New Roman"/>
          <w:color w:val="C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</w:rPr>
        <w:t>担保公司担保贷款：县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  <w:lang w:eastAsia="zh-CN"/>
        </w:rPr>
        <w:t>供销合作社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</w:rPr>
        <w:t>与市农担公司承担风险补偿比例为5：5，与县兴农担保公司承担风险补偿比例为4：6。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  <w:t>三、操作流程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贷款本金或利息逾期的，不符合续贷条件的，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</w:rPr>
        <w:t>承办银行、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担保公司应在逾期后10个工作日内启动催收工作，包括但不限于：电话催收、约谈借款人或保证人、发送催收通知书、提起诉讼等，并留存催收记录。贷款本金或利息逾期30日，根据“违约担责”的原则，担保公司有权从风险补偿金账户中按补偿比例直接扣收相应款项；担保公司从风险补偿金账户扣收后，需在5个工作日内将《保证金扣划通知书》分别报送给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</w:rPr>
        <w:t>县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  <w:lang w:eastAsia="zh-CN"/>
        </w:rPr>
        <w:t>供销合作社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</w:rPr>
        <w:t>和县财政局，县财政局在接到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《保证金扣划通知书》后15个工作日内将保证金账户资金予以补足。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  <w:t>四、贷款追偿</w:t>
      </w:r>
    </w:p>
    <w:p>
      <w:pPr>
        <w:pStyle w:val="2"/>
        <w:ind w:firstLine="560" w:firstLineChars="200"/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</w:rPr>
        <w:t>在实施风险补偿金补偿后，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担保公司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</w:rPr>
        <w:t>应在收到补偿金之日起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</w:rPr>
        <w:t>个月内通过法院诉讼或仲裁向借款人进行债务追偿，追索回的资金或企业恢复还款收回的资金在抵扣追索费、违约金等费用后，按办法约定的风险比例进行分配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shd w:val="clear" w:color="auto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20082"/>
    <w:rsid w:val="34B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460</Characters>
  <Lines>0</Lines>
  <Paragraphs>0</Paragraphs>
  <TotalTime>0</TotalTime>
  <ScaleCrop>false</ScaleCrop>
  <LinksUpToDate>false</LinksUpToDate>
  <CharactersWithSpaces>460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2022-03-10T01:14:00Z</dcterms:created>
  <dc:creator>Administrator</dc:creator>
  <cp:lastModifiedBy>Mr.L</cp:lastModifiedBy>
  <dcterms:modified xsi:type="dcterms:W3CDTF">2022-08-16T01:21:47Z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560452D851AD4D2EA487899B4784B918</vt:lpwstr>
  </property>
</Properties>
</file>