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垫江县大石乡人民政府（本级）</w:t>
      </w:r>
    </w:p>
    <w:p>
      <w:pPr>
        <w:pStyle w:val="9"/>
        <w:keepNext w:val="0"/>
        <w:keepLines w:val="0"/>
        <w:pageBreakBefore w:val="0"/>
        <w:widowControl/>
        <w:kinsoku/>
        <w:wordWrap/>
        <w:overflowPunct/>
        <w:topLinePunct w:val="0"/>
        <w:autoSpaceDE/>
        <w:autoSpaceDN/>
        <w:bidi w:val="0"/>
        <w:adjustRightInd/>
        <w:snapToGrid/>
        <w:spacing w:before="0" w:beforeAutospacing="0" w:line="60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default" w:ascii="Times New Roman" w:hAnsi="Times New Roman" w:eastAsia="黑体" w:cs="Times New Roman"/>
          <w:b w:val="0"/>
          <w:bCs/>
          <w:sz w:val="32"/>
          <w:szCs w:val="32"/>
          <w:shd w:val="clear" w:color="auto" w:fill="FFFFFF"/>
        </w:rPr>
      </w:pPr>
      <w:r>
        <w:rPr>
          <w:rStyle w:val="13"/>
          <w:rFonts w:hint="default" w:ascii="Times New Roman" w:hAnsi="Times New Roman" w:eastAsia="黑体" w:cs="Times New Roman"/>
          <w:b w:val="0"/>
          <w:bCs/>
          <w:sz w:val="32"/>
          <w:szCs w:val="32"/>
          <w:shd w:val="clear" w:color="auto" w:fill="FFFFFF"/>
          <w:lang w:eastAsia="zh-CN"/>
        </w:rPr>
        <w:t>一、</w:t>
      </w:r>
      <w:r>
        <w:rPr>
          <w:rStyle w:val="13"/>
          <w:rFonts w:hint="default" w:ascii="Times New Roman" w:hAnsi="Times New Roman" w:eastAsia="黑体" w:cs="Times New Roman"/>
          <w:b w:val="0"/>
          <w:bCs/>
          <w:sz w:val="32"/>
          <w:szCs w:val="32"/>
          <w:shd w:val="clear" w:color="auto" w:fill="FFFFFF"/>
        </w:rPr>
        <w:t>单位基本情况</w:t>
      </w:r>
    </w:p>
    <w:p>
      <w:pPr>
        <w:keepNext w:val="0"/>
        <w:keepLines w:val="0"/>
        <w:pageBreakBefore w:val="0"/>
        <w:kinsoku/>
        <w:wordWrap/>
        <w:overflowPunct/>
        <w:topLinePunct w:val="0"/>
        <w:autoSpaceDE w:val="0"/>
        <w:autoSpaceDN/>
        <w:bidi w:val="0"/>
        <w:spacing w:beforeAutospacing="0" w:line="594" w:lineRule="atLeast"/>
        <w:ind w:firstLine="640" w:firstLineChars="200"/>
        <w:textAlignment w:val="auto"/>
        <w:rPr>
          <w:rFonts w:hint="default" w:ascii="Times New Roman" w:hAnsi="Times New Roman" w:eastAsia="方正楷体_GBK" w:cs="Times New Roman"/>
          <w:b w:val="0"/>
          <w:bCs/>
          <w:sz w:val="32"/>
          <w:szCs w:val="32"/>
          <w:shd w:val="clear" w:color="auto" w:fill="FFFFFF"/>
          <w:lang w:val="en-US" w:eastAsia="zh-CN"/>
        </w:rPr>
      </w:pPr>
      <w:r>
        <w:rPr>
          <w:rFonts w:hint="default" w:ascii="Times New Roman" w:hAnsi="Times New Roman" w:eastAsia="方正楷体_GBK" w:cs="Times New Roman"/>
          <w:b w:val="0"/>
          <w:bCs/>
          <w:sz w:val="32"/>
          <w:szCs w:val="32"/>
          <w:shd w:val="clear" w:color="auto" w:fill="FFFFFF"/>
          <w:lang w:val="en-US" w:eastAsia="zh-CN"/>
        </w:rPr>
        <w:t>（一）职能职责</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shd w:val="clear" w:color="auto" w:fill="FFFFFF"/>
        </w:rPr>
        <w:t>负责纪检、武装、政务公开等工作。负责机关文秘、会务、档案、保密、后勤服务等工作。完成党委、政府交办的其他工作。</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负责党的建设、组织、宣传、统战、民宗侨台、机构编制、人事、绩效管理、群团、党务公开等相关工作。</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负责乡人民代表大会、主席团履行法定职权的具体工作。组织人大代表视察、调研、评议等工作。</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承担促进乡、村（社区）经济发展职责。</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5</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负责财政收支、预决算、总会计、惠农资金兑付、财政资金监督检查、绩效评价、农村财务管理等工作。负责机关财务管理、国有资产管理。负责机关、所属事业单位及村（社区）财务内部审计及其他专项审计等工作。贯彻财经方针政策，执行财政法规、财经制度。</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6</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留守儿童和妇女、老人关爱服务等工作。宣传贯彻执行民政、教育、卫生健康、文化体育、社会救助、残疾人事业、劳动就业、社会保障等法律、法规、规章、政策。</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7</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负责普法教育、防邪、禁毒、综治、信访、维稳等工作。负责基层民间矛盾纠纷调解工作。组织、指导、协调、检查、督促辖区内各基层组织和企事业单位的社会治安综合治理等工作。</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8</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乡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9</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10</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负责综合行政执法方面法律、法规和规章的宣传教育工作。集中行使依法授权或委托的农林水利、规划建设、环境保护、卫生健康、市容环卫、文化旅游、民政管理、消防等领域的行政执法权。配合有关县级行政主管部门做好行政执法等工作。</w:t>
      </w:r>
    </w:p>
    <w:p>
      <w:pPr>
        <w:pStyle w:val="4"/>
        <w:rPr>
          <w:rStyle w:val="13"/>
          <w:rFonts w:hint="default" w:ascii="Times New Roman" w:hAnsi="Times New Roman" w:eastAsia="楷体" w:cs="Times New Roman"/>
          <w:b w:val="0"/>
          <w:bCs/>
          <w:sz w:val="32"/>
          <w:szCs w:val="32"/>
          <w:shd w:val="clear" w:color="auto" w:fill="FFFFFF"/>
        </w:rPr>
      </w:pPr>
      <w:r>
        <w:rPr>
          <w:rStyle w:val="13"/>
          <w:rFonts w:hint="default" w:ascii="Times New Roman" w:hAnsi="Times New Roman" w:eastAsia="楷体" w:cs="Times New Roman"/>
          <w:b w:val="0"/>
          <w:bCs/>
          <w:sz w:val="32"/>
          <w:szCs w:val="32"/>
          <w:shd w:val="clear" w:color="auto" w:fill="FFFFFF"/>
          <w:lang w:eastAsia="zh-CN"/>
        </w:rPr>
        <w:t>（二）</w:t>
      </w:r>
      <w:r>
        <w:rPr>
          <w:rStyle w:val="13"/>
          <w:rFonts w:hint="default" w:ascii="Times New Roman" w:hAnsi="Times New Roman" w:eastAsia="楷体" w:cs="Times New Roman"/>
          <w:b w:val="0"/>
          <w:bCs/>
          <w:sz w:val="32"/>
          <w:szCs w:val="32"/>
          <w:shd w:val="clear" w:color="auto" w:fill="FFFFFF"/>
        </w:rPr>
        <w:t>机构设置</w:t>
      </w:r>
    </w:p>
    <w:p>
      <w:pPr>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按照优化协同高效的原则，共计设置行政办公室10个。分别是：党政办公室、党群工作办公室、人大办公室、经济发展办公室、财政办公室、民政和社会事务办公室（挂卫生健康办公室牌子）、平安建设办公室、规划建设管理环保办公室、应急管理办公室、综合行政执法办公室。</w:t>
      </w:r>
      <w:r>
        <w:rPr>
          <w:rFonts w:hint="default" w:ascii="Times New Roman" w:hAnsi="Times New Roman" w:eastAsia="方正仿宋_GBK" w:cs="Times New Roman"/>
          <w:b w:val="0"/>
          <w:bCs/>
          <w:color w:val="000000"/>
          <w:sz w:val="32"/>
          <w:szCs w:val="32"/>
          <w:lang w:val="en-US" w:eastAsia="zh-CN"/>
        </w:rPr>
        <w:t>本单位现有在职职工18人。</w:t>
      </w:r>
    </w:p>
    <w:p>
      <w:pPr>
        <w:keepNext w:val="0"/>
        <w:keepLines w:val="0"/>
        <w:pageBreakBefore w:val="0"/>
        <w:kinsoku/>
        <w:wordWrap/>
        <w:overflowPunct/>
        <w:topLinePunct w:val="0"/>
        <w:autoSpaceDE w:val="0"/>
        <w:autoSpaceDN/>
        <w:bidi w:val="0"/>
        <w:spacing w:line="594" w:lineRule="atLeast"/>
        <w:ind w:firstLine="643"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5"/>
        <w:autoSpaceDE w:val="0"/>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rPr>
      </w:pPr>
      <w:r>
        <w:rPr>
          <w:rStyle w:val="13"/>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度收入总计3031.79万元，支出总计</w:t>
      </w:r>
      <w:r>
        <w:rPr>
          <w:rFonts w:hint="default" w:ascii="Times New Roman" w:hAnsi="Times New Roman" w:eastAsia="方正仿宋_GBK" w:cs="Times New Roman"/>
          <w:b w:val="0"/>
          <w:bCs/>
          <w:sz w:val="32"/>
          <w:szCs w:val="32"/>
        </w:rPr>
        <w:t>3031.79</w:t>
      </w:r>
      <w:r>
        <w:rPr>
          <w:rFonts w:hint="default" w:ascii="Times New Roman" w:hAnsi="Times New Roman" w:eastAsia="方正仿宋_GBK" w:cs="Times New Roman"/>
          <w:b w:val="0"/>
          <w:bCs/>
          <w:sz w:val="32"/>
          <w:szCs w:val="32"/>
          <w:shd w:val="clear" w:color="auto" w:fill="FFFFFF"/>
        </w:rPr>
        <w:t>万元。收、支与2023年度相比，减少1732.44万元，下降36.36%，</w:t>
      </w:r>
      <w:r>
        <w:rPr>
          <w:rFonts w:hint="default" w:ascii="Times New Roman" w:hAnsi="Times New Roman" w:eastAsia="方正仿宋_GBK" w:cs="Times New Roman"/>
          <w:b w:val="0"/>
          <w:bCs/>
          <w:sz w:val="32"/>
          <w:szCs w:val="32"/>
          <w:shd w:val="clear" w:color="auto" w:fill="FFFFFF"/>
          <w:lang w:eastAsia="zh-CN"/>
        </w:rPr>
        <w:t>主要原因为</w:t>
      </w:r>
      <w:r>
        <w:rPr>
          <w:rFonts w:hint="default" w:ascii="Times New Roman" w:hAnsi="Times New Roman" w:eastAsia="方正仿宋_GBK" w:cs="Times New Roman"/>
          <w:b w:val="0"/>
          <w:bCs/>
          <w:sz w:val="32"/>
          <w:szCs w:val="32"/>
          <w:lang w:eastAsia="zh-CN"/>
        </w:rPr>
        <w:t>本年度减少</w:t>
      </w:r>
      <w:r>
        <w:rPr>
          <w:rFonts w:hint="default" w:ascii="Times New Roman" w:hAnsi="Times New Roman" w:eastAsia="方正仿宋_GBK" w:cs="Times New Roman"/>
          <w:b w:val="0"/>
          <w:bCs/>
          <w:sz w:val="32"/>
          <w:szCs w:val="32"/>
        </w:rPr>
        <w:t>乡村振兴项目的投入（市级乡村振兴示范点之一）、农村特困人员救助资金</w:t>
      </w:r>
      <w:r>
        <w:rPr>
          <w:rFonts w:hint="default" w:ascii="Times New Roman" w:hAnsi="Times New Roman" w:eastAsia="方正仿宋_GBK" w:cs="Times New Roman"/>
          <w:b w:val="0"/>
          <w:bCs/>
          <w:sz w:val="32"/>
          <w:szCs w:val="32"/>
          <w:lang w:val="en-US" w:eastAsia="zh-CN"/>
        </w:rPr>
        <w:t>等项目资金</w:t>
      </w:r>
      <w:r>
        <w:rPr>
          <w:rFonts w:hint="default" w:ascii="Times New Roman" w:hAnsi="Times New Roman" w:eastAsia="方正仿宋_GBK" w:cs="Times New Roman"/>
          <w:b w:val="0"/>
          <w:bCs/>
          <w:sz w:val="32"/>
          <w:szCs w:val="32"/>
        </w:rPr>
        <w:t>。</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度收入合计2829.11万元，与2023年度相比，减少1935.12万元，下降40.62%，主要原因是</w:t>
      </w:r>
      <w:r>
        <w:rPr>
          <w:rFonts w:hint="default" w:ascii="Times New Roman" w:hAnsi="Times New Roman" w:eastAsia="方正仿宋_GBK" w:cs="Times New Roman"/>
          <w:b w:val="0"/>
          <w:bCs/>
          <w:color w:val="000000"/>
          <w:sz w:val="32"/>
          <w:szCs w:val="32"/>
          <w:lang w:val="en-US" w:eastAsia="zh-CN"/>
        </w:rPr>
        <w:t>受经济下滑影响</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本级税收收入减少</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sz w:val="32"/>
          <w:szCs w:val="32"/>
          <w:shd w:val="clear" w:color="auto" w:fill="FFFFFF"/>
        </w:rPr>
        <w:t>其中：财政拨款收入</w:t>
      </w:r>
      <w:r>
        <w:rPr>
          <w:rFonts w:hint="default" w:ascii="Times New Roman" w:hAnsi="Times New Roman" w:eastAsia="方正仿宋_GBK" w:cs="Times New Roman"/>
          <w:b w:val="0"/>
          <w:bCs/>
          <w:sz w:val="32"/>
          <w:szCs w:val="32"/>
        </w:rPr>
        <w:t>2829.11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万元，占0.00%。此外，使用非财政拨款结余和专用结余0.00万元，年初结转和结余202.67万元。</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3031.79万元，与2023年度相比，减少1732.44万元，下降36.36%，主要原因是本年度减少政府性基金预算、减少乡村振兴项目的投入（市级乡村振兴示范点之一）、支持中小企业发展资金、农村特困人员救助资金等项目资金的支出。其中：基本支出</w:t>
      </w:r>
      <w:r>
        <w:rPr>
          <w:rFonts w:hint="default" w:ascii="Times New Roman" w:hAnsi="Times New Roman" w:eastAsia="方正仿宋_GBK" w:cs="Times New Roman"/>
          <w:b w:val="0"/>
          <w:bCs/>
          <w:sz w:val="32"/>
          <w:szCs w:val="32"/>
        </w:rPr>
        <w:t>684.33</w:t>
      </w:r>
      <w:r>
        <w:rPr>
          <w:rFonts w:hint="default" w:ascii="Times New Roman" w:hAnsi="Times New Roman" w:eastAsia="方正仿宋_GBK" w:cs="Times New Roman"/>
          <w:b w:val="0"/>
          <w:bCs/>
          <w:sz w:val="32"/>
          <w:szCs w:val="32"/>
          <w:shd w:val="clear" w:color="auto" w:fill="FFFFFF"/>
        </w:rPr>
        <w:t>万元，占22.57%；项目支出</w:t>
      </w:r>
      <w:r>
        <w:rPr>
          <w:rFonts w:hint="default" w:ascii="Times New Roman" w:hAnsi="Times New Roman" w:eastAsia="方正仿宋_GBK" w:cs="Times New Roman"/>
          <w:b w:val="0"/>
          <w:bCs/>
          <w:sz w:val="32"/>
          <w:szCs w:val="32"/>
        </w:rPr>
        <w:t>2347.45</w:t>
      </w:r>
      <w:r>
        <w:rPr>
          <w:rFonts w:hint="default" w:ascii="Times New Roman" w:hAnsi="Times New Roman" w:eastAsia="方正仿宋_GBK" w:cs="Times New Roman"/>
          <w:b w:val="0"/>
          <w:bCs/>
          <w:sz w:val="32"/>
          <w:szCs w:val="32"/>
          <w:shd w:val="clear" w:color="auto" w:fill="FFFFFF"/>
        </w:rPr>
        <w:t>万元，占77.43%；经营支出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本年度</w:t>
      </w:r>
      <w:r>
        <w:rPr>
          <w:rFonts w:hint="default" w:ascii="Times New Roman" w:hAnsi="Times New Roman" w:eastAsia="方正仿宋_GBK" w:cs="Times New Roman"/>
          <w:b w:val="0"/>
          <w:bCs/>
          <w:sz w:val="32"/>
          <w:szCs w:val="32"/>
          <w:shd w:val="clear" w:color="auto" w:fill="FFFFFF"/>
        </w:rPr>
        <w:t>及时拨付兑现。</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（二）财政拨款收入支出决算总体情况说明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度财政拨款收、支总计3031.79万元。与202</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年相比，财政拨款收、支总计各减少1732.44万元，下降36.36%。主要原因是为本年度减少乡村振兴项目的投入（市级乡村振兴示范点之一）、农村特困人员救助资金等项目资金。</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（三）一般公共预算财政拨款收入支出决算情况说明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rPr>
      </w:pPr>
      <w:r>
        <w:rPr>
          <w:rStyle w:val="13"/>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2234.13</w:t>
      </w:r>
      <w:r>
        <w:rPr>
          <w:rFonts w:hint="default" w:ascii="Times New Roman" w:hAnsi="Times New Roman" w:eastAsia="方正仿宋_GBK" w:cs="Times New Roman"/>
          <w:b w:val="0"/>
          <w:bCs/>
          <w:sz w:val="32"/>
          <w:szCs w:val="32"/>
          <w:shd w:val="clear" w:color="auto" w:fill="FFFFFF"/>
        </w:rPr>
        <w:t>万元，与2023年度相比，减少1858.46万元，下降45.41%。主要原因是本年度基金收入比上年度减少76</w:t>
      </w:r>
      <w:r>
        <w:rPr>
          <w:rFonts w:hint="default" w:ascii="Times New Roman" w:hAnsi="Times New Roman" w:eastAsia="方正仿宋_GBK" w:cs="Times New Roman"/>
          <w:b w:val="0"/>
          <w:bCs/>
          <w:sz w:val="32"/>
          <w:szCs w:val="32"/>
          <w:shd w:val="clear" w:color="auto" w:fill="FFFFFF"/>
          <w:lang w:val="en-US" w:eastAsia="zh-CN"/>
        </w:rPr>
        <w:t>.65万</w:t>
      </w:r>
      <w:r>
        <w:rPr>
          <w:rFonts w:hint="default" w:ascii="Times New Roman" w:hAnsi="Times New Roman" w:eastAsia="方正仿宋_GBK" w:cs="Times New Roman"/>
          <w:b w:val="0"/>
          <w:bCs/>
          <w:sz w:val="32"/>
          <w:szCs w:val="32"/>
          <w:shd w:val="clear" w:color="auto" w:fill="FFFFFF"/>
        </w:rPr>
        <w:t>元、减少基层政权建设资金、乡村振兴专项资金等</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较年初预算数增加104.52万元，增长4.91%。主要原因是本年度增加政府性基金预算支出、支持中小企业发展资金，财政下达车辆购置税收入补助地方资金、森林防火等项目资金。此外，年初财政拨款结转和结余</w:t>
      </w:r>
      <w:r>
        <w:rPr>
          <w:rFonts w:hint="default" w:ascii="Times New Roman" w:hAnsi="Times New Roman" w:eastAsia="方正仿宋_GBK" w:cs="Times New Roman"/>
          <w:b w:val="0"/>
          <w:bCs/>
          <w:sz w:val="32"/>
          <w:szCs w:val="32"/>
        </w:rPr>
        <w:t>202.67</w:t>
      </w:r>
      <w:r>
        <w:rPr>
          <w:rFonts w:hint="default" w:ascii="Times New Roman" w:hAnsi="Times New Roman" w:eastAsia="方正仿宋_GBK" w:cs="Times New Roman"/>
          <w:b w:val="0"/>
          <w:bCs/>
          <w:sz w:val="32"/>
          <w:szCs w:val="32"/>
          <w:shd w:val="clear" w:color="auto" w:fill="FFFFFF"/>
        </w:rPr>
        <w:t>万元。</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2436.81</w:t>
      </w:r>
      <w:r>
        <w:rPr>
          <w:rFonts w:hint="default" w:ascii="Times New Roman" w:hAnsi="Times New Roman" w:eastAsia="方正仿宋_GBK" w:cs="Times New Roman"/>
          <w:b w:val="0"/>
          <w:bCs/>
          <w:sz w:val="32"/>
          <w:szCs w:val="32"/>
          <w:shd w:val="clear" w:color="auto" w:fill="FFFFFF"/>
        </w:rPr>
        <w:t>万元，与2023年度相比，减少1655.78万元，下降40.46%。主要原因是</w:t>
      </w:r>
      <w:r>
        <w:rPr>
          <w:rFonts w:hint="default" w:ascii="Times New Roman" w:hAnsi="Times New Roman" w:eastAsia="方正仿宋_GBK" w:cs="Times New Roman"/>
          <w:b w:val="0"/>
          <w:bCs/>
          <w:sz w:val="32"/>
          <w:szCs w:val="32"/>
          <w:lang w:eastAsia="zh-CN"/>
        </w:rPr>
        <w:t>减少</w:t>
      </w:r>
      <w:r>
        <w:rPr>
          <w:rFonts w:hint="default" w:ascii="Times New Roman" w:hAnsi="Times New Roman" w:eastAsia="方正仿宋_GBK" w:cs="Times New Roman"/>
          <w:b w:val="0"/>
          <w:bCs/>
          <w:sz w:val="32"/>
          <w:szCs w:val="32"/>
        </w:rPr>
        <w:t>乡村振兴项目的投入（市级乡村振兴示范点之一）、农村特困人员救助资金</w:t>
      </w:r>
      <w:r>
        <w:rPr>
          <w:rFonts w:hint="default" w:ascii="Times New Roman" w:hAnsi="Times New Roman" w:eastAsia="方正仿宋_GBK" w:cs="Times New Roman"/>
          <w:b w:val="0"/>
          <w:bCs/>
          <w:sz w:val="32"/>
          <w:szCs w:val="32"/>
          <w:lang w:val="en-US" w:eastAsia="zh-CN"/>
        </w:rPr>
        <w:t>等项目资金</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shd w:val="clear" w:color="auto" w:fill="FFFFFF"/>
        </w:rPr>
        <w:t>较年初预算数增加307.20万元，增长14.43%。主要原因是本年度增加政府性基金预算支出、支持中小企业发展资金，财政下达车辆购置税收入补助地方资金、森林防火等项目资金。</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本年度</w:t>
      </w:r>
      <w:r>
        <w:rPr>
          <w:rFonts w:hint="default" w:ascii="Times New Roman" w:hAnsi="Times New Roman" w:eastAsia="方正仿宋_GBK" w:cs="Times New Roman"/>
          <w:b w:val="0"/>
          <w:bCs/>
          <w:sz w:val="32"/>
          <w:szCs w:val="32"/>
          <w:shd w:val="clear" w:color="auto" w:fill="FFFFFF"/>
        </w:rPr>
        <w:t>及时拨付兑现。</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color w:val="FF0000"/>
          <w:sz w:val="32"/>
          <w:szCs w:val="32"/>
          <w:highlight w:val="cyan"/>
          <w:shd w:val="clear" w:color="auto" w:fill="FFFFFF"/>
        </w:rPr>
      </w:pPr>
      <w:r>
        <w:rPr>
          <w:rStyle w:val="13"/>
          <w:rFonts w:hint="default" w:ascii="Times New Roman" w:hAnsi="Times New Roman" w:eastAsia="方正仿宋_GBK" w:cs="Times New Roman"/>
          <w:b w:val="0"/>
          <w:bCs/>
          <w:sz w:val="32"/>
          <w:szCs w:val="32"/>
          <w:shd w:val="clear" w:color="auto" w:fill="FFFFFF"/>
        </w:rPr>
        <w:t xml:space="preserve"> 4.比较情况。</w:t>
      </w: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度一般公共预算财政拨款支出主要用于以下几个方面：</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（1）一般公共服务支出</w:t>
      </w:r>
      <w:r>
        <w:rPr>
          <w:rFonts w:hint="default" w:ascii="Times New Roman" w:hAnsi="Times New Roman" w:eastAsia="方正仿宋_GBK" w:cs="Times New Roman"/>
          <w:b w:val="0"/>
          <w:bCs/>
          <w:sz w:val="32"/>
          <w:szCs w:val="32"/>
        </w:rPr>
        <w:t>491.21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20.16</w:t>
      </w:r>
      <w:r>
        <w:rPr>
          <w:rFonts w:hint="default" w:ascii="Times New Roman" w:hAnsi="Times New Roman" w:eastAsia="方正仿宋_GBK" w:cs="Times New Roman"/>
          <w:b w:val="0"/>
          <w:bCs/>
          <w:sz w:val="32"/>
          <w:szCs w:val="32"/>
          <w:shd w:val="clear" w:color="auto" w:fill="FFFFFF"/>
        </w:rPr>
        <w:t>%，较年初预算数减少416.89万元，下降45.91%，主要原因是</w:t>
      </w:r>
      <w:r>
        <w:rPr>
          <w:rFonts w:hint="default" w:ascii="Times New Roman" w:hAnsi="Times New Roman" w:eastAsia="方正仿宋_GBK" w:cs="Times New Roman"/>
          <w:b w:val="0"/>
          <w:bCs/>
          <w:sz w:val="32"/>
          <w:szCs w:val="32"/>
          <w:lang w:eastAsia="zh-CN"/>
        </w:rPr>
        <w:t>本年度</w:t>
      </w:r>
      <w:r>
        <w:rPr>
          <w:rFonts w:hint="default" w:ascii="Times New Roman" w:hAnsi="Times New Roman" w:eastAsia="方正仿宋_GBK" w:cs="Times New Roman"/>
          <w:b w:val="0"/>
          <w:bCs/>
          <w:color w:val="000000"/>
          <w:sz w:val="32"/>
          <w:szCs w:val="32"/>
          <w:lang w:val="en-US" w:eastAsia="zh-CN"/>
        </w:rPr>
        <w:t>减少政府性基金预算、</w:t>
      </w:r>
      <w:r>
        <w:rPr>
          <w:rFonts w:hint="default" w:ascii="Times New Roman" w:hAnsi="Times New Roman" w:eastAsia="方正仿宋_GBK" w:cs="Times New Roman"/>
          <w:b w:val="0"/>
          <w:bCs/>
          <w:sz w:val="32"/>
          <w:szCs w:val="32"/>
          <w:lang w:eastAsia="zh-CN"/>
        </w:rPr>
        <w:t>减少</w:t>
      </w:r>
      <w:r>
        <w:rPr>
          <w:rFonts w:hint="default" w:ascii="Times New Roman" w:hAnsi="Times New Roman" w:eastAsia="方正仿宋_GBK" w:cs="Times New Roman"/>
          <w:b w:val="0"/>
          <w:bCs/>
          <w:sz w:val="32"/>
          <w:szCs w:val="32"/>
        </w:rPr>
        <w:t>乡村振兴项目的投入（市级乡村振兴示范点之一）、</w:t>
      </w:r>
      <w:r>
        <w:rPr>
          <w:rFonts w:hint="default" w:ascii="Times New Roman" w:hAnsi="Times New Roman" w:eastAsia="方正仿宋_GBK" w:cs="Times New Roman"/>
          <w:b w:val="0"/>
          <w:bCs/>
          <w:color w:val="000000"/>
          <w:sz w:val="32"/>
          <w:szCs w:val="32"/>
          <w:lang w:val="en-US" w:eastAsia="zh-CN"/>
        </w:rPr>
        <w:t>支持中小企业发展资金、</w:t>
      </w:r>
      <w:r>
        <w:rPr>
          <w:rFonts w:hint="default" w:ascii="Times New Roman" w:hAnsi="Times New Roman" w:eastAsia="方正仿宋_GBK" w:cs="Times New Roman"/>
          <w:b w:val="0"/>
          <w:bCs/>
          <w:sz w:val="32"/>
          <w:szCs w:val="32"/>
        </w:rPr>
        <w:t>农村特困人员救助资金</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shd w:val="clear" w:color="auto" w:fill="FFFFFF"/>
        </w:rPr>
        <w:t>劳务费、办公设施设备、</w:t>
      </w:r>
      <w:r>
        <w:rPr>
          <w:rFonts w:hint="default" w:ascii="Times New Roman" w:hAnsi="Times New Roman" w:eastAsia="方正仿宋_GBK" w:cs="Times New Roman"/>
          <w:b w:val="0"/>
          <w:bCs/>
          <w:sz w:val="32"/>
          <w:szCs w:val="32"/>
          <w:shd w:val="clear" w:color="auto" w:fill="FFFFFF"/>
          <w:lang w:eastAsia="zh-CN"/>
        </w:rPr>
        <w:t>减少</w:t>
      </w:r>
      <w:r>
        <w:rPr>
          <w:rFonts w:hint="default" w:ascii="Times New Roman" w:hAnsi="Times New Roman" w:eastAsia="方正仿宋_GBK" w:cs="Times New Roman"/>
          <w:b w:val="0"/>
          <w:bCs/>
          <w:sz w:val="32"/>
          <w:szCs w:val="32"/>
          <w:shd w:val="clear" w:color="auto" w:fill="FFFFFF"/>
        </w:rPr>
        <w:t>公用经费开支等原因</w:t>
      </w:r>
      <w:r>
        <w:rPr>
          <w:rFonts w:hint="default" w:ascii="Times New Roman" w:hAnsi="Times New Roman" w:eastAsia="方正仿宋_GBK" w:cs="Times New Roman"/>
          <w:b w:val="0"/>
          <w:bCs/>
          <w:sz w:val="32"/>
          <w:szCs w:val="32"/>
        </w:rPr>
        <w:t>。</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shd w:val="clear" w:color="auto" w:fill="FFFFFF"/>
        </w:rPr>
        <w:t>（2）公共安全支出</w:t>
      </w:r>
      <w:r>
        <w:rPr>
          <w:rFonts w:hint="default" w:ascii="Times New Roman" w:hAnsi="Times New Roman" w:eastAsia="方正仿宋_GBK" w:cs="Times New Roman"/>
          <w:b w:val="0"/>
          <w:bCs/>
          <w:sz w:val="32"/>
          <w:szCs w:val="32"/>
        </w:rPr>
        <w:t>5.57</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0.23</w:t>
      </w:r>
      <w:r>
        <w:rPr>
          <w:rFonts w:hint="default" w:ascii="Times New Roman" w:hAnsi="Times New Roman" w:eastAsia="方正仿宋_GBK" w:cs="Times New Roman"/>
          <w:b w:val="0"/>
          <w:bCs/>
          <w:sz w:val="32"/>
          <w:szCs w:val="32"/>
          <w:shd w:val="clear" w:color="auto" w:fill="FFFFFF"/>
        </w:rPr>
        <w:t>%，较年初预算数增加5.57万元，增长100.00%，主要原因是财政追加全县道安办劝导员工作经费</w:t>
      </w:r>
      <w:r>
        <w:rPr>
          <w:rFonts w:hint="default" w:ascii="Times New Roman" w:hAnsi="Times New Roman" w:eastAsia="方正仿宋_GBK" w:cs="Times New Roman"/>
          <w:b w:val="0"/>
          <w:bCs/>
          <w:sz w:val="32"/>
          <w:szCs w:val="32"/>
          <w:shd w:val="clear" w:color="auto" w:fill="FFFFFF"/>
          <w:lang w:eastAsia="zh-CN"/>
        </w:rPr>
        <w:t>、政法纪检监察转移支付等预算支出。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）文化旅游体育与传媒支出</w:t>
      </w:r>
      <w:r>
        <w:rPr>
          <w:rFonts w:hint="default" w:ascii="Times New Roman" w:hAnsi="Times New Roman" w:eastAsia="方正仿宋_GBK" w:cs="Times New Roman"/>
          <w:b w:val="0"/>
          <w:bCs/>
          <w:sz w:val="32"/>
          <w:szCs w:val="32"/>
        </w:rPr>
        <w:t>40.25</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1.65</w:t>
      </w:r>
      <w:r>
        <w:rPr>
          <w:rFonts w:hint="default" w:ascii="Times New Roman" w:hAnsi="Times New Roman" w:eastAsia="方正仿宋_GBK" w:cs="Times New Roman"/>
          <w:b w:val="0"/>
          <w:bCs/>
          <w:sz w:val="32"/>
          <w:szCs w:val="32"/>
          <w:shd w:val="clear" w:color="auto" w:fill="FFFFFF"/>
        </w:rPr>
        <w:t>%，较年初预算数减少31.98万元，下降44.28%，主要原因</w:t>
      </w:r>
      <w:r>
        <w:rPr>
          <w:rFonts w:hint="default" w:ascii="Times New Roman" w:hAnsi="Times New Roman" w:eastAsia="方正仿宋_GBK" w:cs="Times New Roman"/>
          <w:b w:val="0"/>
          <w:bCs/>
          <w:sz w:val="32"/>
          <w:szCs w:val="32"/>
          <w:shd w:val="clear" w:color="auto" w:fill="FFFFFF"/>
          <w:lang w:eastAsia="zh-CN"/>
        </w:rPr>
        <w:t>是</w:t>
      </w:r>
      <w:r>
        <w:rPr>
          <w:rFonts w:hint="default" w:ascii="Times New Roman" w:hAnsi="Times New Roman" w:eastAsia="方正仿宋_GBK" w:cs="Times New Roman"/>
          <w:b w:val="0"/>
          <w:bCs/>
          <w:sz w:val="32"/>
          <w:szCs w:val="32"/>
          <w:shd w:val="clear" w:color="auto" w:fill="FFFFFF"/>
        </w:rPr>
        <w:t>本年度</w:t>
      </w:r>
      <w:r>
        <w:rPr>
          <w:rFonts w:hint="default" w:ascii="Times New Roman" w:hAnsi="Times New Roman" w:eastAsia="方正仿宋_GBK" w:cs="Times New Roman"/>
          <w:b w:val="0"/>
          <w:bCs/>
          <w:sz w:val="32"/>
          <w:szCs w:val="32"/>
          <w:shd w:val="clear" w:color="auto" w:fill="FFFFFF"/>
          <w:lang w:eastAsia="zh-CN"/>
        </w:rPr>
        <w:t>减少</w:t>
      </w:r>
      <w:r>
        <w:rPr>
          <w:rFonts w:hint="default" w:ascii="Times New Roman" w:hAnsi="Times New Roman" w:eastAsia="方正仿宋_GBK" w:cs="Times New Roman"/>
          <w:b w:val="0"/>
          <w:bCs/>
          <w:sz w:val="32"/>
          <w:szCs w:val="32"/>
          <w:shd w:val="clear" w:color="auto" w:fill="FFFFFF"/>
        </w:rPr>
        <w:t>中央公共文化服务体系建</w:t>
      </w:r>
      <w:r>
        <w:rPr>
          <w:rFonts w:hint="default" w:ascii="Times New Roman" w:hAnsi="Times New Roman" w:eastAsia="方正仿宋_GBK" w:cs="Times New Roman"/>
          <w:b w:val="0"/>
          <w:bCs/>
          <w:sz w:val="32"/>
          <w:szCs w:val="32"/>
          <w:shd w:val="clear" w:color="auto" w:fill="FFFFFF"/>
          <w:lang w:eastAsia="zh-CN"/>
        </w:rPr>
        <w:t>设</w:t>
      </w:r>
      <w:r>
        <w:rPr>
          <w:rFonts w:hint="default" w:ascii="Times New Roman" w:hAnsi="Times New Roman" w:eastAsia="方正仿宋_GBK" w:cs="Times New Roman"/>
          <w:b w:val="0"/>
          <w:bCs/>
          <w:sz w:val="32"/>
          <w:szCs w:val="32"/>
          <w:shd w:val="clear" w:color="auto" w:fill="FFFFFF"/>
        </w:rPr>
        <w:t>专项</w:t>
      </w:r>
      <w:r>
        <w:rPr>
          <w:rFonts w:hint="default" w:ascii="Times New Roman" w:hAnsi="Times New Roman" w:eastAsia="方正仿宋_GBK" w:cs="Times New Roman"/>
          <w:b w:val="0"/>
          <w:bCs/>
          <w:sz w:val="32"/>
          <w:szCs w:val="32"/>
          <w:shd w:val="clear" w:color="auto" w:fill="FFFFFF"/>
          <w:lang w:eastAsia="zh-CN"/>
        </w:rPr>
        <w:t>资金</w:t>
      </w:r>
      <w:r>
        <w:rPr>
          <w:rFonts w:hint="default" w:ascii="Times New Roman" w:hAnsi="Times New Roman" w:eastAsia="方正仿宋_GBK" w:cs="Times New Roman"/>
          <w:b w:val="0"/>
          <w:bCs/>
          <w:sz w:val="32"/>
          <w:szCs w:val="32"/>
          <w:shd w:val="clear" w:color="auto" w:fill="FFFFFF"/>
        </w:rPr>
        <w:t>指标。</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）社会保障与就业支出</w:t>
      </w:r>
      <w:r>
        <w:rPr>
          <w:rFonts w:hint="default" w:ascii="Times New Roman" w:hAnsi="Times New Roman" w:eastAsia="方正仿宋_GBK" w:cs="Times New Roman"/>
          <w:b w:val="0"/>
          <w:bCs/>
          <w:sz w:val="32"/>
          <w:szCs w:val="32"/>
        </w:rPr>
        <w:t>82.86</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3.40</w:t>
      </w:r>
      <w:r>
        <w:rPr>
          <w:rFonts w:hint="default" w:ascii="Times New Roman" w:hAnsi="Times New Roman" w:eastAsia="方正仿宋_GBK" w:cs="Times New Roman"/>
          <w:b w:val="0"/>
          <w:bCs/>
          <w:sz w:val="32"/>
          <w:szCs w:val="32"/>
          <w:shd w:val="clear" w:color="auto" w:fill="FFFFFF"/>
        </w:rPr>
        <w:t>%，较年初预算数增加10.30万元，增长14.20%，主要原因是财政追加村（社区）退役军人服务站建设经费及站长补助</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基层政权建设石良村党群服务中心建设、</w:t>
      </w:r>
      <w:r>
        <w:rPr>
          <w:rFonts w:hint="default" w:ascii="Times New Roman" w:hAnsi="Times New Roman" w:eastAsia="方正仿宋_GBK" w:cs="Times New Roman"/>
          <w:b w:val="0"/>
          <w:bCs/>
          <w:sz w:val="32"/>
          <w:szCs w:val="32"/>
          <w:shd w:val="clear" w:color="auto" w:fill="FFFFFF"/>
          <w:lang w:eastAsia="zh-CN"/>
        </w:rPr>
        <w:t>养老中心、站、点运行经费、残疾人事业发展、拥军优属经费、严重精神障碍患者监护人以奖代补、优抚解三难资金</w:t>
      </w:r>
      <w:r>
        <w:rPr>
          <w:rFonts w:hint="default" w:ascii="Times New Roman" w:hAnsi="Times New Roman" w:eastAsia="方正仿宋_GBK" w:cs="Times New Roman"/>
          <w:b w:val="0"/>
          <w:bCs/>
          <w:sz w:val="32"/>
          <w:szCs w:val="32"/>
          <w:shd w:val="clear" w:color="auto" w:fill="FFFFFF"/>
        </w:rPr>
        <w:t>等预算支出。</w:t>
      </w:r>
    </w:p>
    <w:p>
      <w:pPr>
        <w:pStyle w:val="9"/>
        <w:keepNext w:val="0"/>
        <w:keepLines w:val="0"/>
        <w:pageBreakBefore w:val="0"/>
        <w:kinsoku/>
        <w:wordWrap/>
        <w:overflowPunct/>
        <w:topLinePunct w:val="0"/>
        <w:autoSpaceDN/>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5</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25.60</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1.05</w:t>
      </w:r>
      <w:r>
        <w:rPr>
          <w:rFonts w:hint="default" w:ascii="Times New Roman" w:hAnsi="Times New Roman" w:eastAsia="方正仿宋_GBK" w:cs="Times New Roman"/>
          <w:b w:val="0"/>
          <w:bCs/>
          <w:sz w:val="32"/>
          <w:szCs w:val="32"/>
          <w:shd w:val="clear" w:color="auto" w:fill="FFFFFF"/>
        </w:rPr>
        <w:t>%，较年初预算数增加4.90万元，增长23.67%，主要原因是本年度财政追加定点医疗机构管理工作经费、优抚对象补助、医疗保险等预算支出。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6</w:t>
      </w:r>
      <w:r>
        <w:rPr>
          <w:rFonts w:hint="default" w:ascii="Times New Roman" w:hAnsi="Times New Roman" w:eastAsia="方正仿宋_GBK" w:cs="Times New Roman"/>
          <w:b w:val="0"/>
          <w:bCs/>
          <w:sz w:val="32"/>
          <w:szCs w:val="32"/>
          <w:shd w:val="clear" w:color="auto" w:fill="FFFFFF"/>
        </w:rPr>
        <w:t>）节能环保支出</w:t>
      </w:r>
      <w:r>
        <w:rPr>
          <w:rFonts w:hint="default" w:ascii="Times New Roman" w:hAnsi="Times New Roman" w:eastAsia="方正仿宋_GBK" w:cs="Times New Roman"/>
          <w:b w:val="0"/>
          <w:bCs/>
          <w:sz w:val="32"/>
          <w:szCs w:val="32"/>
        </w:rPr>
        <w:t>0.60</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0.02</w:t>
      </w:r>
      <w:r>
        <w:rPr>
          <w:rFonts w:hint="default" w:ascii="Times New Roman" w:hAnsi="Times New Roman" w:eastAsia="方正仿宋_GBK" w:cs="Times New Roman"/>
          <w:b w:val="0"/>
          <w:bCs/>
          <w:sz w:val="32"/>
          <w:szCs w:val="32"/>
          <w:shd w:val="clear" w:color="auto" w:fill="FFFFFF"/>
        </w:rPr>
        <w:t>%，较年初预算数增加0.60万元，增长100.00%，主要原因</w:t>
      </w:r>
      <w:r>
        <w:rPr>
          <w:rFonts w:hint="default" w:ascii="Times New Roman" w:hAnsi="Times New Roman" w:eastAsia="方正仿宋_GBK" w:cs="Times New Roman"/>
          <w:b w:val="0"/>
          <w:bCs/>
          <w:sz w:val="32"/>
          <w:szCs w:val="32"/>
          <w:shd w:val="clear" w:color="auto" w:fill="FFFFFF"/>
          <w:lang w:eastAsia="zh-CN"/>
        </w:rPr>
        <w:t>是本年度财政追加国有林保护修复补助、</w:t>
      </w:r>
      <w:r>
        <w:rPr>
          <w:rFonts w:hint="default" w:ascii="Times New Roman" w:hAnsi="Times New Roman" w:eastAsia="方正仿宋_GBK" w:cs="Times New Roman"/>
          <w:b w:val="0"/>
          <w:bCs/>
          <w:sz w:val="32"/>
          <w:szCs w:val="32"/>
          <w:shd w:val="clear" w:color="auto" w:fill="FFFFFF"/>
        </w:rPr>
        <w:t>乡村绿化路旁植树项目尾款</w:t>
      </w:r>
      <w:r>
        <w:rPr>
          <w:rFonts w:hint="default" w:ascii="Times New Roman" w:hAnsi="Times New Roman" w:eastAsia="方正仿宋_GBK" w:cs="Times New Roman"/>
          <w:b w:val="0"/>
          <w:bCs/>
          <w:sz w:val="32"/>
          <w:szCs w:val="32"/>
          <w:shd w:val="clear" w:color="auto" w:fill="FFFFFF"/>
          <w:lang w:eastAsia="zh-CN"/>
        </w:rPr>
        <w:t>等预算支出。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7</w:t>
      </w:r>
      <w:r>
        <w:rPr>
          <w:rFonts w:hint="default" w:ascii="Times New Roman" w:hAnsi="Times New Roman" w:eastAsia="方正仿宋_GBK" w:cs="Times New Roman"/>
          <w:b w:val="0"/>
          <w:bCs/>
          <w:sz w:val="32"/>
          <w:szCs w:val="32"/>
          <w:shd w:val="clear" w:color="auto" w:fill="FFFFFF"/>
        </w:rPr>
        <w:t>）城乡社区支出</w:t>
      </w:r>
      <w:r>
        <w:rPr>
          <w:rFonts w:hint="default" w:ascii="Times New Roman" w:hAnsi="Times New Roman" w:eastAsia="方正仿宋_GBK" w:cs="Times New Roman"/>
          <w:b w:val="0"/>
          <w:bCs/>
          <w:sz w:val="32"/>
          <w:szCs w:val="32"/>
        </w:rPr>
        <w:t>12.16</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0.50</w:t>
      </w:r>
      <w:r>
        <w:rPr>
          <w:rFonts w:hint="default" w:ascii="Times New Roman" w:hAnsi="Times New Roman" w:eastAsia="方正仿宋_GBK" w:cs="Times New Roman"/>
          <w:b w:val="0"/>
          <w:bCs/>
          <w:sz w:val="32"/>
          <w:szCs w:val="32"/>
          <w:shd w:val="clear" w:color="auto" w:fill="FFFFFF"/>
        </w:rPr>
        <w:t>%，较年初预算数减少53.84万元，下降81.58%，主要原因是</w:t>
      </w:r>
      <w:r>
        <w:rPr>
          <w:rFonts w:hint="default" w:ascii="Times New Roman" w:hAnsi="Times New Roman" w:eastAsia="方正仿宋_GBK" w:cs="Times New Roman"/>
          <w:b w:val="0"/>
          <w:bCs/>
          <w:sz w:val="32"/>
          <w:szCs w:val="32"/>
          <w:shd w:val="clear" w:color="auto" w:fill="FFFFFF"/>
          <w:lang w:eastAsia="zh-CN"/>
        </w:rPr>
        <w:t>减少</w:t>
      </w:r>
      <w:r>
        <w:rPr>
          <w:rFonts w:hint="default" w:ascii="Times New Roman" w:hAnsi="Times New Roman" w:eastAsia="方正仿宋_GBK" w:cs="Times New Roman"/>
          <w:b w:val="0"/>
          <w:bCs/>
          <w:sz w:val="32"/>
          <w:szCs w:val="32"/>
          <w:shd w:val="clear" w:color="auto" w:fill="FFFFFF"/>
        </w:rPr>
        <w:t>2023年重庆市美丽宜居示范乡镇建设项目-市民综合</w:t>
      </w:r>
      <w:r>
        <w:rPr>
          <w:rFonts w:hint="default" w:ascii="Times New Roman" w:hAnsi="Times New Roman" w:eastAsia="方正仿宋_GBK" w:cs="Times New Roman"/>
          <w:b w:val="0"/>
          <w:bCs/>
          <w:sz w:val="32"/>
          <w:szCs w:val="32"/>
          <w:shd w:val="clear" w:color="auto" w:fill="FFFFFF"/>
          <w:lang w:eastAsia="zh-CN"/>
        </w:rPr>
        <w:t>项目、场镇重点节点、口袋公园建设项目。</w:t>
      </w:r>
      <w:r>
        <w:rPr>
          <w:rFonts w:hint="default" w:ascii="Times New Roman" w:hAnsi="Times New Roman" w:eastAsia="方正仿宋_GBK" w:cs="Times New Roman"/>
          <w:b w:val="0"/>
          <w:bCs/>
          <w:sz w:val="32"/>
          <w:szCs w:val="32"/>
          <w:shd w:val="clear" w:color="auto" w:fill="FFFFFF"/>
          <w:lang w:eastAsia="zh-CN"/>
        </w:rPr>
        <w:tab/>
      </w:r>
    </w:p>
    <w:p>
      <w:pPr>
        <w:pStyle w:val="9"/>
        <w:keepNext w:val="0"/>
        <w:keepLines w:val="0"/>
        <w:pageBreakBefore w:val="0"/>
        <w:kinsoku/>
        <w:wordWrap/>
        <w:overflowPunct/>
        <w:topLinePunct w:val="0"/>
        <w:autoSpaceDN/>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8</w:t>
      </w:r>
      <w:r>
        <w:rPr>
          <w:rFonts w:hint="default" w:ascii="Times New Roman" w:hAnsi="Times New Roman" w:eastAsia="方正仿宋_GBK" w:cs="Times New Roman"/>
          <w:b w:val="0"/>
          <w:bCs/>
          <w:sz w:val="32"/>
          <w:szCs w:val="32"/>
          <w:shd w:val="clear" w:color="auto" w:fill="FFFFFF"/>
        </w:rPr>
        <w:t>）农林水支出</w:t>
      </w:r>
      <w:r>
        <w:rPr>
          <w:rFonts w:hint="default" w:ascii="Times New Roman" w:hAnsi="Times New Roman" w:eastAsia="方正仿宋_GBK" w:cs="Times New Roman"/>
          <w:b w:val="0"/>
          <w:bCs/>
          <w:sz w:val="32"/>
          <w:szCs w:val="32"/>
        </w:rPr>
        <w:t>1121.42</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46.02</w:t>
      </w:r>
      <w:r>
        <w:rPr>
          <w:rFonts w:hint="default" w:ascii="Times New Roman" w:hAnsi="Times New Roman" w:eastAsia="方正仿宋_GBK" w:cs="Times New Roman"/>
          <w:b w:val="0"/>
          <w:bCs/>
          <w:sz w:val="32"/>
          <w:szCs w:val="32"/>
          <w:shd w:val="clear" w:color="auto" w:fill="FFFFFF"/>
        </w:rPr>
        <w:t>%，较年初预算数增加430.24万元，增长62.25%，主要原因是本年度财政追加农村道路基础设施建设专项经费</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森林防火经费</w:t>
      </w:r>
      <w:r>
        <w:rPr>
          <w:rFonts w:hint="default" w:ascii="Times New Roman" w:hAnsi="Times New Roman" w:eastAsia="方正仿宋_GBK" w:cs="Times New Roman"/>
          <w:b w:val="0"/>
          <w:bCs/>
          <w:sz w:val="32"/>
          <w:szCs w:val="32"/>
          <w:shd w:val="clear" w:color="auto" w:fill="FFFFFF"/>
          <w:lang w:eastAsia="zh-CN"/>
        </w:rPr>
        <w:t>、农村综合改革转移支付、农业防灾减灾资金、农村“厕所革命”补助、森林植被恢复返还</w:t>
      </w:r>
      <w:r>
        <w:rPr>
          <w:rFonts w:hint="default" w:ascii="Times New Roman" w:hAnsi="Times New Roman" w:eastAsia="方正仿宋_GBK" w:cs="Times New Roman"/>
          <w:b w:val="0"/>
          <w:bCs/>
          <w:sz w:val="32"/>
          <w:szCs w:val="32"/>
          <w:shd w:val="clear" w:color="auto" w:fill="FFFFFF"/>
        </w:rPr>
        <w:t>等预算支出。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9</w:t>
      </w:r>
      <w:r>
        <w:rPr>
          <w:rFonts w:hint="default" w:ascii="Times New Roman" w:hAnsi="Times New Roman" w:eastAsia="方正仿宋_GBK" w:cs="Times New Roman"/>
          <w:b w:val="0"/>
          <w:bCs/>
          <w:sz w:val="32"/>
          <w:szCs w:val="32"/>
          <w:shd w:val="clear" w:color="auto" w:fill="FFFFFF"/>
        </w:rPr>
        <w:t>）交通运输支出</w:t>
      </w:r>
      <w:r>
        <w:rPr>
          <w:rFonts w:hint="default" w:ascii="Times New Roman" w:hAnsi="Times New Roman" w:eastAsia="方正仿宋_GBK" w:cs="Times New Roman"/>
          <w:b w:val="0"/>
          <w:bCs/>
          <w:sz w:val="32"/>
          <w:szCs w:val="32"/>
        </w:rPr>
        <w:t>283.74</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11.64</w:t>
      </w:r>
      <w:r>
        <w:rPr>
          <w:rFonts w:hint="default" w:ascii="Times New Roman" w:hAnsi="Times New Roman" w:eastAsia="方正仿宋_GBK" w:cs="Times New Roman"/>
          <w:b w:val="0"/>
          <w:bCs/>
          <w:sz w:val="32"/>
          <w:szCs w:val="32"/>
          <w:shd w:val="clear" w:color="auto" w:fill="FFFFFF"/>
        </w:rPr>
        <w:t>%，较年初预算数增加283.74万元，增长100.00%，主要原因是本年度财政追加车辆购置税补助地方收入、农村公路养护工程等预算支出。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（1</w:t>
      </w:r>
      <w:r>
        <w:rPr>
          <w:rFonts w:hint="default"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）资源勘探信息等支出</w:t>
      </w:r>
      <w:r>
        <w:rPr>
          <w:rFonts w:hint="default" w:ascii="Times New Roman" w:hAnsi="Times New Roman" w:eastAsia="方正仿宋_GBK" w:cs="Times New Roman"/>
          <w:b w:val="0"/>
          <w:bCs/>
          <w:sz w:val="32"/>
          <w:szCs w:val="32"/>
        </w:rPr>
        <w:t>309.36</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12.70</w:t>
      </w:r>
      <w:r>
        <w:rPr>
          <w:rFonts w:hint="default" w:ascii="Times New Roman" w:hAnsi="Times New Roman" w:eastAsia="方正仿宋_GBK" w:cs="Times New Roman"/>
          <w:b w:val="0"/>
          <w:bCs/>
          <w:sz w:val="32"/>
          <w:szCs w:val="32"/>
          <w:shd w:val="clear" w:color="auto" w:fill="FFFFFF"/>
        </w:rPr>
        <w:t>%，较年初预算数增加45.44万元，增长17.22%，主要原因是本年度财政追加支持中小企业发展资金等预算支出。</w:t>
      </w:r>
    </w:p>
    <w:p>
      <w:pPr>
        <w:pStyle w:val="15"/>
        <w:keepNext w:val="0"/>
        <w:keepLines w:val="0"/>
        <w:pageBreakBefore w:val="0"/>
        <w:kinsoku/>
        <w:wordWrap/>
        <w:overflowPunct/>
        <w:topLinePunct w:val="0"/>
        <w:autoSpaceDE w:val="0"/>
        <w:autoSpaceDN/>
        <w:bidi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（1</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）商业服务业等支出</w:t>
      </w:r>
      <w:r>
        <w:rPr>
          <w:rFonts w:hint="default" w:ascii="Times New Roman" w:hAnsi="Times New Roman" w:eastAsia="方正仿宋_GBK" w:cs="Times New Roman"/>
          <w:b w:val="0"/>
          <w:bCs/>
          <w:sz w:val="32"/>
          <w:szCs w:val="32"/>
        </w:rPr>
        <w:t>3.60</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0.15</w:t>
      </w:r>
      <w:r>
        <w:rPr>
          <w:rFonts w:hint="default" w:ascii="Times New Roman" w:hAnsi="Times New Roman" w:eastAsia="方正仿宋_GBK" w:cs="Times New Roman"/>
          <w:b w:val="0"/>
          <w:bCs/>
          <w:sz w:val="32"/>
          <w:szCs w:val="32"/>
          <w:shd w:val="clear" w:color="auto" w:fill="FFFFFF"/>
        </w:rPr>
        <w:t>%，较年初预算数增加3.60万元，增长100.00%，主要原因是本年度财政追加中央服务业发展资金、限上企业（个体）发展奖励等预算支出。</w:t>
      </w:r>
    </w:p>
    <w:p>
      <w:pPr>
        <w:ind w:firstLine="640" w:firstLineChars="200"/>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（1</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住房保障支出32.88</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1.35</w:t>
      </w:r>
      <w:r>
        <w:rPr>
          <w:rFonts w:hint="default" w:ascii="Times New Roman" w:hAnsi="Times New Roman" w:eastAsia="方正仿宋_GBK" w:cs="Times New Roman"/>
          <w:b w:val="0"/>
          <w:bCs/>
          <w:sz w:val="32"/>
          <w:szCs w:val="32"/>
          <w:shd w:val="clear" w:color="auto" w:fill="FFFFFF"/>
        </w:rPr>
        <w:t>%，较年初预算数增加4.98万元，增长17.85%，主要原因是本年度财政追加农村危房改造补助项目等预算支出。</w:t>
      </w:r>
    </w:p>
    <w:p>
      <w:pPr>
        <w:ind w:firstLine="640" w:firstLineChars="200"/>
        <w:rPr>
          <w:rFonts w:hint="default" w:ascii="Times New Roman" w:hAnsi="Times New Roman" w:eastAsia="方正仿宋_GBK" w:cs="Times New Roman"/>
          <w:b w:val="0"/>
          <w:bCs/>
          <w:color w:val="FF0000"/>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13</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灾害防治及应急管理支出27.55</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1.13</w:t>
      </w:r>
      <w:r>
        <w:rPr>
          <w:rFonts w:hint="default" w:ascii="Times New Roman" w:hAnsi="Times New Roman" w:eastAsia="方正仿宋_GBK" w:cs="Times New Roman"/>
          <w:b w:val="0"/>
          <w:bCs/>
          <w:sz w:val="32"/>
          <w:szCs w:val="32"/>
          <w:shd w:val="clear" w:color="auto" w:fill="FFFFFF"/>
        </w:rPr>
        <w:t>%，较年初预算数增加20.55万元，增长293.57%，主要原因是本年度财政追加中央自然灾害救灾资金</w:t>
      </w:r>
      <w:r>
        <w:rPr>
          <w:rFonts w:hint="default" w:ascii="Times New Roman" w:hAnsi="Times New Roman" w:eastAsia="方正仿宋_GBK" w:cs="Times New Roman"/>
          <w:b w:val="0"/>
          <w:bCs/>
          <w:sz w:val="32"/>
          <w:szCs w:val="32"/>
          <w:shd w:val="clear" w:color="auto" w:fill="FFFFFF"/>
          <w:lang w:eastAsia="zh-CN"/>
        </w:rPr>
        <w:t>、自然灾害救灾资金、地质灾害</w:t>
      </w:r>
      <w:r>
        <w:rPr>
          <w:rFonts w:hint="default" w:ascii="Times New Roman" w:hAnsi="Times New Roman" w:eastAsia="方正仿宋_GBK" w:cs="Times New Roman"/>
          <w:b w:val="0"/>
          <w:bCs/>
          <w:sz w:val="32"/>
          <w:szCs w:val="32"/>
          <w:shd w:val="clear" w:color="auto" w:fill="FFFFFF"/>
        </w:rPr>
        <w:t>等预算支出。</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（四）一般公共预算财政拨款基本支出决算情况说明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度一般公共财政拨款基本支出</w:t>
      </w:r>
      <w:r>
        <w:rPr>
          <w:rFonts w:hint="default" w:ascii="Times New Roman" w:hAnsi="Times New Roman" w:eastAsia="方正仿宋_GBK" w:cs="Times New Roman"/>
          <w:b w:val="0"/>
          <w:bCs/>
          <w:sz w:val="32"/>
          <w:szCs w:val="32"/>
        </w:rPr>
        <w:t>684.33</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598.34</w:t>
      </w:r>
      <w:r>
        <w:rPr>
          <w:rFonts w:hint="default" w:ascii="Times New Roman" w:hAnsi="Times New Roman" w:eastAsia="方正仿宋_GBK" w:cs="Times New Roman"/>
          <w:b w:val="0"/>
          <w:bCs/>
          <w:sz w:val="32"/>
          <w:szCs w:val="32"/>
          <w:shd w:val="clear" w:color="auto" w:fill="FFFFFF"/>
        </w:rPr>
        <w:t>万元，与2023年度相比，减少64.59万元，下降9.74%，主要原因是本年度通过调减住房公积金基数（清算退回2022-2023年度住房公积金单位部分），公务员年度考核奖减少</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人员经费用途主要包括基本工资、津贴补贴、奖金、社会保障缴费、其他工资福利、公积金等支出。公用经费</w:t>
      </w:r>
      <w:r>
        <w:rPr>
          <w:rFonts w:hint="default" w:ascii="Times New Roman" w:hAnsi="Times New Roman" w:eastAsia="方正仿宋_GBK" w:cs="Times New Roman"/>
          <w:b w:val="0"/>
          <w:bCs/>
          <w:sz w:val="32"/>
          <w:szCs w:val="32"/>
        </w:rPr>
        <w:t>85.99</w:t>
      </w:r>
      <w:r>
        <w:rPr>
          <w:rFonts w:hint="default" w:ascii="Times New Roman" w:hAnsi="Times New Roman" w:eastAsia="方正仿宋_GBK" w:cs="Times New Roman"/>
          <w:b w:val="0"/>
          <w:bCs/>
          <w:sz w:val="32"/>
          <w:szCs w:val="32"/>
          <w:shd w:val="clear" w:color="auto" w:fill="FFFFFF"/>
        </w:rPr>
        <w:t>万元，与2023年度相比，减少70.89万元，下降45.19%，主要原因是落实过</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,办公费等节约开支</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严控</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三公</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经费开支。公用经费用途主要包括办公费、印刷费、水费、电费、邮电费、差旅费、维修费、劳务费、委托业务费、工会经费、公务车运行维护费、公务接待费、会议费、培训费、其他商品服务支出等。</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（五）政府性基金预算收支决算情况说明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度政府性基金预算财政拨款年初结转结余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万元，年末结转结余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万元。本年收入</w:t>
      </w:r>
      <w:r>
        <w:rPr>
          <w:rFonts w:hint="default" w:ascii="Times New Roman" w:hAnsi="Times New Roman" w:eastAsia="方正仿宋_GBK" w:cs="Times New Roman"/>
          <w:b w:val="0"/>
          <w:bCs/>
          <w:sz w:val="32"/>
          <w:szCs w:val="32"/>
        </w:rPr>
        <w:t>594.98</w:t>
      </w:r>
      <w:r>
        <w:rPr>
          <w:rFonts w:hint="default" w:ascii="Times New Roman" w:hAnsi="Times New Roman" w:eastAsia="方正仿宋_GBK" w:cs="Times New Roman"/>
          <w:b w:val="0"/>
          <w:bCs/>
          <w:sz w:val="32"/>
          <w:szCs w:val="32"/>
          <w:shd w:val="clear" w:color="auto" w:fill="FFFFFF"/>
        </w:rPr>
        <w:t>万元，与2023年度相比，减少76.65万元，下降11.41%，主要原因是本年度基金</w:t>
      </w:r>
      <w:r>
        <w:rPr>
          <w:rFonts w:hint="default" w:ascii="Times New Roman" w:hAnsi="Times New Roman" w:eastAsia="方正仿宋_GBK" w:cs="Times New Roman"/>
          <w:b w:val="0"/>
          <w:bCs/>
          <w:sz w:val="32"/>
          <w:szCs w:val="32"/>
          <w:shd w:val="clear" w:color="auto" w:fill="FFFFFF"/>
          <w:lang w:eastAsia="zh-CN"/>
        </w:rPr>
        <w:t>收入</w:t>
      </w:r>
      <w:r>
        <w:rPr>
          <w:rFonts w:hint="default" w:ascii="Times New Roman" w:hAnsi="Times New Roman" w:eastAsia="方正仿宋_GBK" w:cs="Times New Roman"/>
          <w:b w:val="0"/>
          <w:bCs/>
          <w:sz w:val="32"/>
          <w:szCs w:val="32"/>
          <w:shd w:val="clear" w:color="auto" w:fill="FFFFFF"/>
        </w:rPr>
        <w:t>比上年度减少</w:t>
      </w:r>
      <w:r>
        <w:rPr>
          <w:rFonts w:hint="default" w:ascii="Times New Roman" w:hAnsi="Times New Roman" w:eastAsia="方正仿宋_GBK" w:cs="Times New Roman"/>
          <w:b w:val="0"/>
          <w:bCs/>
          <w:sz w:val="32"/>
          <w:szCs w:val="32"/>
          <w:shd w:val="clear" w:color="auto" w:fill="FFFFFF"/>
          <w:lang w:val="en-US" w:eastAsia="zh-CN"/>
        </w:rPr>
        <w:t>76.65万</w:t>
      </w:r>
      <w:r>
        <w:rPr>
          <w:rFonts w:hint="default" w:ascii="Times New Roman" w:hAnsi="Times New Roman" w:eastAsia="方正仿宋_GBK" w:cs="Times New Roman"/>
          <w:b w:val="0"/>
          <w:bCs/>
          <w:sz w:val="32"/>
          <w:szCs w:val="32"/>
          <w:shd w:val="clear" w:color="auto" w:fill="FFFFFF"/>
        </w:rPr>
        <w:t>元、减少基层政权建设资金、乡村振兴专项资金等</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本年支出</w:t>
      </w:r>
      <w:r>
        <w:rPr>
          <w:rFonts w:hint="default" w:ascii="Times New Roman" w:hAnsi="Times New Roman" w:eastAsia="方正仿宋_GBK" w:cs="Times New Roman"/>
          <w:b w:val="0"/>
          <w:bCs/>
          <w:sz w:val="32"/>
          <w:szCs w:val="32"/>
        </w:rPr>
        <w:t>594.98</w:t>
      </w:r>
      <w:r>
        <w:rPr>
          <w:rFonts w:hint="default" w:ascii="Times New Roman" w:hAnsi="Times New Roman" w:eastAsia="方正仿宋_GBK" w:cs="Times New Roman"/>
          <w:b w:val="0"/>
          <w:bCs/>
          <w:sz w:val="32"/>
          <w:szCs w:val="32"/>
          <w:shd w:val="clear" w:color="auto" w:fill="FFFFFF"/>
        </w:rPr>
        <w:t>万元，与2023年度相比，减少76.65万元，下降11.41%，主要原因是本年度基金</w:t>
      </w:r>
      <w:r>
        <w:rPr>
          <w:rFonts w:hint="default" w:ascii="Times New Roman" w:hAnsi="Times New Roman" w:eastAsia="方正仿宋_GBK" w:cs="Times New Roman"/>
          <w:b w:val="0"/>
          <w:bCs/>
          <w:sz w:val="32"/>
          <w:szCs w:val="32"/>
          <w:shd w:val="clear" w:color="auto" w:fill="FFFFFF"/>
          <w:lang w:eastAsia="zh-CN"/>
        </w:rPr>
        <w:t>支出</w:t>
      </w:r>
      <w:r>
        <w:rPr>
          <w:rFonts w:hint="default" w:ascii="Times New Roman" w:hAnsi="Times New Roman" w:eastAsia="方正仿宋_GBK" w:cs="Times New Roman"/>
          <w:b w:val="0"/>
          <w:bCs/>
          <w:sz w:val="32"/>
          <w:szCs w:val="32"/>
          <w:shd w:val="clear" w:color="auto" w:fill="FFFFFF"/>
        </w:rPr>
        <w:t>比上年度减少</w:t>
      </w:r>
      <w:r>
        <w:rPr>
          <w:rFonts w:hint="default" w:ascii="Times New Roman" w:hAnsi="Times New Roman" w:eastAsia="方正仿宋_GBK" w:cs="Times New Roman"/>
          <w:b w:val="0"/>
          <w:bCs/>
          <w:sz w:val="32"/>
          <w:szCs w:val="32"/>
          <w:shd w:val="clear" w:color="auto" w:fill="FFFFFF"/>
          <w:lang w:val="en-US" w:eastAsia="zh-CN"/>
        </w:rPr>
        <w:t>76.65万</w:t>
      </w:r>
      <w:r>
        <w:rPr>
          <w:rFonts w:hint="default" w:ascii="Times New Roman" w:hAnsi="Times New Roman" w:eastAsia="方正仿宋_GBK" w:cs="Times New Roman"/>
          <w:b w:val="0"/>
          <w:bCs/>
          <w:sz w:val="32"/>
          <w:szCs w:val="32"/>
          <w:shd w:val="clear" w:color="auto" w:fill="FFFFFF"/>
        </w:rPr>
        <w:t>元、减少基层政权建设资金、乡村振兴专项资金等</w:t>
      </w:r>
      <w:r>
        <w:rPr>
          <w:rFonts w:hint="default" w:ascii="Times New Roman" w:hAnsi="Times New Roman" w:eastAsia="方正仿宋_GBK" w:cs="Times New Roman"/>
          <w:b w:val="0"/>
          <w:bCs/>
          <w:sz w:val="32"/>
          <w:szCs w:val="32"/>
          <w:shd w:val="clear" w:color="auto" w:fill="FFFFFF"/>
          <w:lang w:eastAsia="zh-CN"/>
        </w:rPr>
        <w:t>。</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（六）国有资本经营预算财政拨款支出决算情况说明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 xml:space="preserve"> （一）“三公”经费支出总体情况说明</w:t>
      </w:r>
    </w:p>
    <w:p>
      <w:pPr>
        <w:pStyle w:val="15"/>
        <w:autoSpaceDE w:val="0"/>
        <w:ind w:firstLine="643"/>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度“三公”经费支出共计</w:t>
      </w:r>
      <w:r>
        <w:rPr>
          <w:rFonts w:hint="default" w:ascii="Times New Roman" w:hAnsi="Times New Roman" w:eastAsia="方正仿宋_GBK" w:cs="Times New Roman"/>
          <w:b w:val="0"/>
          <w:bCs/>
          <w:sz w:val="32"/>
          <w:szCs w:val="32"/>
        </w:rPr>
        <w:t>7.76</w:t>
      </w:r>
      <w:r>
        <w:rPr>
          <w:rFonts w:hint="default" w:ascii="Times New Roman" w:hAnsi="Times New Roman" w:eastAsia="方正仿宋_GBK" w:cs="Times New Roman"/>
          <w:b w:val="0"/>
          <w:bCs/>
          <w:sz w:val="32"/>
          <w:szCs w:val="32"/>
          <w:shd w:val="clear" w:color="auto" w:fill="FFFFFF"/>
        </w:rPr>
        <w:t>万元，较年初预算数增加4.52万元，增长139.51%，主要原因是乡村振兴项目增加公务接待、公务用车费用。较上年支出数减少2.25万元，下降22.48%，主要原因是落实过</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，严控</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三公</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经费开支。</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（二）“三公”经费分项支出情况</w:t>
      </w:r>
    </w:p>
    <w:p>
      <w:pPr>
        <w:keepNext w:val="0"/>
        <w:keepLines w:val="0"/>
        <w:pageBreakBefore w:val="0"/>
        <w:kinsoku/>
        <w:wordWrap/>
        <w:overflowPunct/>
        <w:topLinePunct w:val="0"/>
        <w:autoSpaceDN/>
        <w:bidi w:val="0"/>
        <w:adjustRightInd w:val="0"/>
        <w:snapToGrid w:val="0"/>
        <w:spacing w:line="594" w:lineRule="atLeas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度本单位因公出国（境）费用</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9"/>
        <w:keepNext w:val="0"/>
        <w:keepLines w:val="0"/>
        <w:pageBreakBefore w:val="0"/>
        <w:kinsoku/>
        <w:wordWrap/>
        <w:overflowPunct/>
        <w:topLinePunct w:val="0"/>
        <w:autoSpaceDN/>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公务车购置费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eastAsia" w:ascii="Times New Roman" w:hAnsi="Times New Roman" w:eastAsia="方正仿宋_GBK" w:cs="Times New Roman"/>
          <w:b w:val="0"/>
          <w:bCs/>
          <w:sz w:val="32"/>
          <w:szCs w:val="32"/>
          <w:shd w:val="clear" w:color="auto" w:fill="FFFFFF"/>
          <w:lang w:eastAsia="zh-CN"/>
        </w:rPr>
        <w:t>主要用于购买公务车。</w:t>
      </w:r>
      <w:r>
        <w:rPr>
          <w:rFonts w:hint="default" w:ascii="Times New Roman" w:hAnsi="Times New Roman" w:eastAsia="方正仿宋_GBK" w:cs="Times New Roman"/>
          <w:b w:val="0"/>
          <w:bCs/>
          <w:sz w:val="32"/>
          <w:szCs w:val="32"/>
          <w:shd w:val="clear" w:color="auto" w:fill="FFFFFF"/>
        </w:rPr>
        <w:t>费用支出较年初预算数无增减，主要原因是年初预算数未安排且本年未发生公务车购置费用。较上年支出数无增减，主要原因是上年和本年均未发生公务车购置费用。</w:t>
      </w:r>
    </w:p>
    <w:p>
      <w:pPr>
        <w:pStyle w:val="9"/>
        <w:keepNext w:val="0"/>
        <w:keepLines w:val="0"/>
        <w:pageBreakBefore w:val="0"/>
        <w:kinsoku/>
        <w:wordWrap/>
        <w:overflowPunct/>
        <w:topLinePunct w:val="0"/>
        <w:autoSpaceDN/>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公务车运行维护费</w:t>
      </w:r>
      <w:r>
        <w:rPr>
          <w:rFonts w:hint="default" w:ascii="Times New Roman" w:hAnsi="Times New Roman" w:eastAsia="方正仿宋_GBK" w:cs="Times New Roman"/>
          <w:b w:val="0"/>
          <w:bCs/>
          <w:sz w:val="32"/>
          <w:szCs w:val="32"/>
        </w:rPr>
        <w:t>4.33</w:t>
      </w:r>
      <w:r>
        <w:rPr>
          <w:rFonts w:hint="default" w:ascii="Times New Roman" w:hAnsi="Times New Roman" w:eastAsia="方正仿宋_GBK" w:cs="Times New Roman"/>
          <w:b w:val="0"/>
          <w:bCs/>
          <w:sz w:val="32"/>
          <w:szCs w:val="32"/>
          <w:shd w:val="clear" w:color="auto" w:fill="FFFFFF"/>
        </w:rPr>
        <w:t>万元，主要用于机要文件交换、市内因公出行、乡辖范围内各种安全检查、财政业务检查等工作所需车辆的燃料费、维修费、过桥过路费、保险费等。费用支出较年初预算数增加2.13万元，增长96.82%，主要原因是我乡为重庆市乡村振兴17个重点帮扶乡镇之一，乡村振兴项目增加公务用车费用，预算上升。较上年支出数减少0.26万元，下降5.66%，主要原因是落实过</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，严控</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三公</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经费开支。</w:t>
      </w:r>
    </w:p>
    <w:p>
      <w:pPr>
        <w:pStyle w:val="9"/>
        <w:keepNext w:val="0"/>
        <w:keepLines w:val="0"/>
        <w:pageBreakBefore w:val="0"/>
        <w:kinsoku/>
        <w:wordWrap/>
        <w:overflowPunct/>
        <w:topLinePunct w:val="0"/>
        <w:autoSpaceDN/>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公务接待费</w:t>
      </w:r>
      <w:r>
        <w:rPr>
          <w:rFonts w:hint="default" w:ascii="Times New Roman" w:hAnsi="Times New Roman" w:eastAsia="方正仿宋_GBK" w:cs="Times New Roman"/>
          <w:b w:val="0"/>
          <w:bCs/>
          <w:sz w:val="32"/>
          <w:szCs w:val="32"/>
        </w:rPr>
        <w:t>3.44</w:t>
      </w:r>
      <w:r>
        <w:rPr>
          <w:rFonts w:hint="default" w:ascii="Times New Roman" w:hAnsi="Times New Roman" w:eastAsia="方正仿宋_GBK" w:cs="Times New Roman"/>
          <w:b w:val="0"/>
          <w:bCs/>
          <w:sz w:val="32"/>
          <w:szCs w:val="32"/>
          <w:shd w:val="clear" w:color="auto" w:fill="FFFFFF"/>
        </w:rPr>
        <w:t>万元，主要</w:t>
      </w:r>
      <w:r>
        <w:rPr>
          <w:rFonts w:hint="default" w:ascii="Times New Roman" w:hAnsi="Times New Roman" w:eastAsia="方正仿宋_GBK" w:cs="Times New Roman"/>
          <w:b w:val="0"/>
          <w:bCs/>
          <w:sz w:val="32"/>
          <w:szCs w:val="32"/>
          <w:shd w:val="clear" w:color="auto" w:fill="FFFFFF"/>
          <w:lang w:eastAsia="zh-CN"/>
        </w:rPr>
        <w:t>是</w:t>
      </w:r>
      <w:r>
        <w:rPr>
          <w:rFonts w:hint="default" w:ascii="Times New Roman" w:hAnsi="Times New Roman" w:eastAsia="方正仿宋_GBK" w:cs="Times New Roman"/>
          <w:b w:val="0"/>
          <w:bCs/>
          <w:sz w:val="32"/>
          <w:szCs w:val="32"/>
          <w:shd w:val="clear" w:color="auto" w:fill="FFFFFF"/>
        </w:rPr>
        <w:t>用于接待增加县外乡镇、企业来乡考察及学习交流，市级、县级各部门、帮扶集团来乡检查、调研、指导工作，招商引资等发生接待费支出。费用支出较年初预算数增加2.40万元，增长230.77%，主要原因是年初未预算，增加县外乡镇、企业来乡考察及学习交流，市级、县级各部门、帮扶集团来乡检查、调研、指导工作，招商引资等发生接待费支出。较上年支出数减少1.98万元，下降36.53%，主要原因</w:t>
      </w:r>
      <w:r>
        <w:rPr>
          <w:rFonts w:hint="default" w:ascii="Times New Roman" w:hAnsi="Times New Roman" w:eastAsia="方正仿宋_GBK" w:cs="Times New Roman"/>
          <w:b w:val="0"/>
          <w:bCs/>
          <w:sz w:val="32"/>
          <w:szCs w:val="32"/>
          <w:shd w:val="clear" w:color="auto" w:fill="FFFFFF"/>
          <w:lang w:eastAsia="zh-CN"/>
        </w:rPr>
        <w:t>是</w:t>
      </w:r>
      <w:r>
        <w:rPr>
          <w:rFonts w:hint="default" w:ascii="Times New Roman" w:hAnsi="Times New Roman" w:eastAsia="方正仿宋_GBK" w:cs="Times New Roman"/>
          <w:b w:val="0"/>
          <w:bCs/>
          <w:sz w:val="32"/>
          <w:szCs w:val="32"/>
          <w:shd w:val="clear" w:color="auto" w:fill="FFFFFF"/>
        </w:rPr>
        <w:t>我单位食堂管理模式为自营，严格落实</w:t>
      </w:r>
      <w:r>
        <w:rPr>
          <w:rFonts w:hint="eastAsia" w:ascii="Times New Roman" w:hAnsi="Times New Roman" w:eastAsia="方正仿宋_GBK" w:cs="Times New Roman"/>
          <w:b w:val="0"/>
          <w:bCs/>
          <w:sz w:val="32"/>
          <w:szCs w:val="32"/>
          <w:shd w:val="clear" w:color="auto" w:fill="FFFFFF"/>
          <w:lang w:val="en-US" w:eastAsia="zh-CN"/>
        </w:rPr>
        <w:t>中央</w:t>
      </w:r>
      <w:bookmarkStart w:id="0" w:name="_GoBack"/>
      <w:bookmarkEnd w:id="0"/>
      <w:r>
        <w:rPr>
          <w:rFonts w:hint="default" w:ascii="Times New Roman" w:hAnsi="Times New Roman" w:eastAsia="方正仿宋_GBK" w:cs="Times New Roman"/>
          <w:b w:val="0"/>
          <w:bCs/>
          <w:sz w:val="32"/>
          <w:szCs w:val="32"/>
          <w:shd w:val="clear" w:color="auto" w:fill="FFFFFF"/>
        </w:rPr>
        <w:t>八项规定，厉行节约，不铺张浪费，严控</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三公</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经费开支。</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（三）“三公”经费实物量情况</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度本单位因公出国（境）共计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个团组，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人；公务用车购置</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辆，公务车保有量为</w:t>
      </w:r>
      <w:r>
        <w:rPr>
          <w:rFonts w:hint="default" w:ascii="Times New Roman" w:hAnsi="Times New Roman" w:eastAsia="方正仿宋_GBK" w:cs="Times New Roman"/>
          <w:b w:val="0"/>
          <w:bCs/>
          <w:sz w:val="32"/>
          <w:szCs w:val="32"/>
        </w:rPr>
        <w:t>2</w:t>
      </w:r>
      <w:r>
        <w:rPr>
          <w:rFonts w:hint="default" w:ascii="Times New Roman" w:hAnsi="Times New Roman" w:eastAsia="方正仿宋_GBK" w:cs="Times New Roman"/>
          <w:b w:val="0"/>
          <w:bCs/>
          <w:sz w:val="32"/>
          <w:szCs w:val="32"/>
          <w:shd w:val="clear" w:color="auto" w:fill="FFFFFF"/>
        </w:rPr>
        <w:t>辆；国内公务接待</w:t>
      </w:r>
      <w:r>
        <w:rPr>
          <w:rFonts w:hint="default" w:ascii="Times New Roman" w:hAnsi="Times New Roman" w:eastAsia="方正仿宋_GBK" w:cs="Times New Roman"/>
          <w:b w:val="0"/>
          <w:bCs/>
          <w:sz w:val="32"/>
          <w:szCs w:val="32"/>
        </w:rPr>
        <w:t>201</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491</w:t>
      </w:r>
      <w:r>
        <w:rPr>
          <w:rFonts w:hint="default" w:ascii="Times New Roman" w:hAnsi="Times New Roman" w:eastAsia="方正仿宋_GBK" w:cs="Times New Roman"/>
          <w:b w:val="0"/>
          <w:bCs/>
          <w:sz w:val="32"/>
          <w:szCs w:val="32"/>
          <w:shd w:val="clear" w:color="auto" w:fill="FFFFFF"/>
        </w:rPr>
        <w:t>人，其中：国内外事接待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人；国（境）外公务接待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本单位人均接待费</w:t>
      </w:r>
      <w:r>
        <w:rPr>
          <w:rFonts w:hint="default" w:ascii="Times New Roman" w:hAnsi="Times New Roman" w:eastAsia="方正仿宋_GBK" w:cs="Times New Roman"/>
          <w:b w:val="0"/>
          <w:bCs/>
          <w:sz w:val="32"/>
          <w:szCs w:val="32"/>
        </w:rPr>
        <w:t>69.98</w:t>
      </w:r>
      <w:r>
        <w:rPr>
          <w:rFonts w:hint="default" w:ascii="Times New Roman" w:hAnsi="Times New Roman" w:eastAsia="方正仿宋_GBK" w:cs="Times New Roman"/>
          <w:b w:val="0"/>
          <w:bCs/>
          <w:sz w:val="32"/>
          <w:szCs w:val="32"/>
          <w:shd w:val="clear" w:color="auto" w:fill="FFFFFF"/>
        </w:rPr>
        <w:t>元，车均购置费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万元，车均维护费</w:t>
      </w:r>
      <w:r>
        <w:rPr>
          <w:rFonts w:hint="default" w:ascii="Times New Roman" w:hAnsi="Times New Roman" w:eastAsia="方正仿宋_GBK" w:cs="Times New Roman"/>
          <w:b w:val="0"/>
          <w:bCs/>
          <w:sz w:val="32"/>
          <w:szCs w:val="32"/>
        </w:rPr>
        <w:t>2.16</w:t>
      </w:r>
      <w:r>
        <w:rPr>
          <w:rFonts w:hint="default" w:ascii="Times New Roman" w:hAnsi="Times New Roman" w:eastAsia="方正仿宋_GBK" w:cs="Times New Roman"/>
          <w:b w:val="0"/>
          <w:bCs/>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hint="default" w:ascii="Times New Roman" w:hAnsi="Times New Roman" w:eastAsia="黑体" w:cs="Times New Roman"/>
          <w:b w:val="0"/>
          <w:bCs/>
          <w:sz w:val="32"/>
          <w:szCs w:val="32"/>
          <w:shd w:val="clear" w:color="auto" w:fill="FFFFFF"/>
        </w:rPr>
        <w:t>四、其他需要说明的事项</w:t>
      </w:r>
    </w:p>
    <w:p>
      <w:pPr>
        <w:pStyle w:val="15"/>
        <w:keepNext w:val="0"/>
        <w:keepLines w:val="0"/>
        <w:pageBreakBefore w:val="0"/>
        <w:widowControl/>
        <w:kinsoku/>
        <w:wordWrap/>
        <w:overflowPunct/>
        <w:topLinePunct w:val="0"/>
        <w:autoSpaceDE w:val="0"/>
        <w:autoSpaceDN/>
        <w:bidi w:val="0"/>
        <w:adjustRightInd/>
        <w:snapToGrid/>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  （一）财政拨款会议费和培训费情况说明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本年度会议费支出</w:t>
      </w:r>
      <w:r>
        <w:rPr>
          <w:rFonts w:hint="default" w:ascii="Times New Roman" w:hAnsi="Times New Roman" w:eastAsia="方正仿宋_GBK" w:cs="Times New Roman"/>
          <w:b w:val="0"/>
          <w:bCs/>
          <w:sz w:val="32"/>
          <w:szCs w:val="32"/>
        </w:rPr>
        <w:t>3.54</w:t>
      </w:r>
      <w:r>
        <w:rPr>
          <w:rFonts w:hint="default" w:ascii="Times New Roman" w:hAnsi="Times New Roman" w:eastAsia="方正仿宋_GBK" w:cs="Times New Roman"/>
          <w:b w:val="0"/>
          <w:bCs/>
          <w:sz w:val="32"/>
          <w:szCs w:val="32"/>
          <w:shd w:val="clear" w:color="auto" w:fill="FFFFFF"/>
        </w:rPr>
        <w:t>万元，与2023年度相比，减少1.96万元，下降35.64%，主要原因是落实过</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,压减支出,减少会议召开次数。本年度培训费支出</w:t>
      </w:r>
      <w:r>
        <w:rPr>
          <w:rFonts w:hint="default" w:ascii="Times New Roman" w:hAnsi="Times New Roman" w:eastAsia="方正仿宋_GBK" w:cs="Times New Roman"/>
          <w:b w:val="0"/>
          <w:bCs/>
          <w:sz w:val="32"/>
          <w:szCs w:val="32"/>
        </w:rPr>
        <w:t>1.96</w:t>
      </w:r>
      <w:r>
        <w:rPr>
          <w:rFonts w:hint="default" w:ascii="Times New Roman" w:hAnsi="Times New Roman" w:eastAsia="方正仿宋_GBK" w:cs="Times New Roman"/>
          <w:b w:val="0"/>
          <w:bCs/>
          <w:sz w:val="32"/>
          <w:szCs w:val="32"/>
          <w:shd w:val="clear" w:color="auto" w:fill="FFFFFF"/>
        </w:rPr>
        <w:t>万元，与2023年度相比，减少0.01万元，下降0.51%，主要原因是落实过</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,压减支出,减少</w:t>
      </w:r>
      <w:r>
        <w:rPr>
          <w:rFonts w:hint="default" w:ascii="Times New Roman" w:hAnsi="Times New Roman" w:eastAsia="方正仿宋_GBK" w:cs="Times New Roman"/>
          <w:b w:val="0"/>
          <w:bCs/>
          <w:sz w:val="32"/>
          <w:szCs w:val="32"/>
          <w:shd w:val="clear" w:color="auto" w:fill="FFFFFF"/>
          <w:lang w:eastAsia="zh-CN"/>
        </w:rPr>
        <w:t>不必须的培训</w:t>
      </w:r>
      <w:r>
        <w:rPr>
          <w:rFonts w:hint="default" w:ascii="Times New Roman" w:hAnsi="Times New Roman" w:eastAsia="方正仿宋_GBK" w:cs="Times New Roman"/>
          <w:b w:val="0"/>
          <w:bCs/>
          <w:sz w:val="32"/>
          <w:szCs w:val="32"/>
          <w:shd w:val="clear" w:color="auto" w:fill="FFFFFF"/>
        </w:rPr>
        <w:t>次数。</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pPr>
        <w:pStyle w:val="9"/>
        <w:keepNext w:val="0"/>
        <w:keepLines w:val="0"/>
        <w:pageBreakBefore w:val="0"/>
        <w:kinsoku/>
        <w:wordWrap/>
        <w:overflowPunct/>
        <w:topLinePunct w:val="0"/>
        <w:autoSpaceDN/>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度本单位机关运行经费支出</w:t>
      </w:r>
      <w:r>
        <w:rPr>
          <w:rFonts w:hint="default" w:ascii="Times New Roman" w:hAnsi="Times New Roman" w:eastAsia="方正仿宋_GBK" w:cs="Times New Roman"/>
          <w:b w:val="0"/>
          <w:bCs/>
          <w:sz w:val="32"/>
          <w:szCs w:val="32"/>
        </w:rPr>
        <w:t>85.99</w:t>
      </w:r>
      <w:r>
        <w:rPr>
          <w:rFonts w:hint="default" w:ascii="Times New Roman" w:hAnsi="Times New Roman" w:eastAsia="方正仿宋_GBK" w:cs="Times New Roman"/>
          <w:b w:val="0"/>
          <w:bCs/>
          <w:sz w:val="32"/>
          <w:szCs w:val="32"/>
          <w:shd w:val="clear" w:color="auto" w:fill="FFFFFF"/>
        </w:rPr>
        <w:t>万元，机关运行经费主要用于开支办公费、会议费、公务车运行维护费、电费、培训费、公务接待费、差旅费、办公设备等支出。机关运行经费较上年支出数减少70.89万元，下降45.19%，主要原因是落实过</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,办公费等节约开支</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严控</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三公</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经费开支。</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12月31日，本单位共有车辆</w:t>
      </w:r>
      <w:r>
        <w:rPr>
          <w:rFonts w:hint="default" w:ascii="Times New Roman" w:hAnsi="Times New Roman" w:eastAsia="方正仿宋_GBK" w:cs="Times New Roman"/>
          <w:b w:val="0"/>
          <w:bCs/>
          <w:sz w:val="32"/>
          <w:szCs w:val="32"/>
        </w:rPr>
        <w:t>2</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2</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度本单位政府采购支出总额</w:t>
      </w:r>
      <w:r>
        <w:rPr>
          <w:rFonts w:hint="default" w:ascii="Times New Roman" w:hAnsi="Times New Roman" w:eastAsia="方正仿宋_GBK" w:cs="Times New Roman"/>
          <w:b w:val="0"/>
          <w:bCs/>
          <w:sz w:val="32"/>
          <w:szCs w:val="32"/>
        </w:rPr>
        <w:t>304.34</w:t>
      </w:r>
      <w:r>
        <w:rPr>
          <w:rFonts w:hint="default" w:ascii="Times New Roman" w:hAnsi="Times New Roman" w:eastAsia="方正仿宋_GBK" w:cs="Times New Roman"/>
          <w:b w:val="0"/>
          <w:bCs/>
          <w:sz w:val="32"/>
          <w:szCs w:val="32"/>
          <w:shd w:val="clear" w:color="auto" w:fill="FFFFFF"/>
        </w:rPr>
        <w:t>万元，其中：政府采购货物支出</w:t>
      </w:r>
      <w:r>
        <w:rPr>
          <w:rFonts w:hint="default" w:ascii="Times New Roman" w:hAnsi="Times New Roman" w:eastAsia="方正仿宋_GBK" w:cs="Times New Roman"/>
          <w:b w:val="0"/>
          <w:bCs/>
          <w:sz w:val="32"/>
          <w:szCs w:val="32"/>
        </w:rPr>
        <w:t>304.34</w:t>
      </w:r>
      <w:r>
        <w:rPr>
          <w:rFonts w:hint="default" w:ascii="Times New Roman" w:hAnsi="Times New Roman" w:eastAsia="方正仿宋_GBK" w:cs="Times New Roman"/>
          <w:b w:val="0"/>
          <w:bCs/>
          <w:sz w:val="32"/>
          <w:szCs w:val="32"/>
          <w:shd w:val="clear" w:color="auto" w:fill="FFFFFF"/>
        </w:rPr>
        <w:t>万元、政府采购工程支出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万元、政府采购服务支出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万元。授予中小企业合同金额</w:t>
      </w:r>
      <w:r>
        <w:rPr>
          <w:rFonts w:hint="default" w:ascii="Times New Roman" w:hAnsi="Times New Roman" w:eastAsia="方正仿宋_GBK" w:cs="Times New Roman"/>
          <w:b w:val="0"/>
          <w:bCs/>
          <w:sz w:val="32"/>
          <w:szCs w:val="32"/>
        </w:rPr>
        <w:t>304.34万</w:t>
      </w:r>
      <w:r>
        <w:rPr>
          <w:rFonts w:hint="default" w:ascii="Times New Roman" w:hAnsi="Times New Roman" w:eastAsia="方正仿宋_GBK" w:cs="Times New Roman"/>
          <w:b w:val="0"/>
          <w:bCs/>
          <w:sz w:val="32"/>
          <w:szCs w:val="32"/>
          <w:shd w:val="clear" w:color="auto" w:fill="FFFFFF"/>
        </w:rPr>
        <w:t>元，占政府采购支出总额的</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rPr>
        <w:t>304.34</w:t>
      </w:r>
      <w:r>
        <w:rPr>
          <w:rFonts w:hint="default" w:ascii="Times New Roman" w:hAnsi="Times New Roman" w:eastAsia="方正仿宋_GBK" w:cs="Times New Roman"/>
          <w:b w:val="0"/>
          <w:bCs/>
          <w:sz w:val="32"/>
          <w:szCs w:val="32"/>
          <w:shd w:val="clear" w:color="auto" w:fill="FFFFFF"/>
        </w:rPr>
        <w:t>万元，占政府采购支出总额的</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 xml:space="preserve"> %。主要用于采购大石乡滴水村辣椒加工厂社会化服务</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综合便民服务中心</w:t>
      </w:r>
      <w:r>
        <w:rPr>
          <w:rFonts w:hint="default" w:ascii="Times New Roman" w:hAnsi="Times New Roman" w:eastAsia="方正仿宋_GBK" w:cs="Times New Roman"/>
          <w:b w:val="0"/>
          <w:bCs/>
          <w:sz w:val="32"/>
          <w:szCs w:val="32"/>
          <w:shd w:val="clear" w:color="auto" w:fill="FFFFFF"/>
          <w:lang w:eastAsia="zh-CN"/>
        </w:rPr>
        <w:t>建设、专家服务基地建设、公共文化服务</w:t>
      </w:r>
      <w:r>
        <w:rPr>
          <w:rFonts w:hint="default" w:ascii="Times New Roman" w:hAnsi="Times New Roman" w:eastAsia="方正仿宋_GBK" w:cs="Times New Roman"/>
          <w:b w:val="0"/>
          <w:bCs/>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autoSpaceDE w:val="0"/>
        <w:ind w:firstLine="643"/>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（一）单位自评情况</w:t>
      </w:r>
    </w:p>
    <w:p>
      <w:pPr>
        <w:pStyle w:val="16"/>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lang w:eastAsia="zh-CN"/>
        </w:rPr>
      </w:pPr>
      <w:r>
        <w:rPr>
          <w:rFonts w:hint="default" w:ascii="Times New Roman" w:hAnsi="Times New Roman" w:eastAsia="方正仿宋_GBK" w:cs="Times New Roman"/>
          <w:b w:val="0"/>
          <w:bCs/>
          <w:sz w:val="32"/>
          <w:szCs w:val="32"/>
          <w:shd w:val="clear" w:color="auto" w:fill="FFFFFF"/>
        </w:rPr>
        <w:t>根据预算绩效管理要求，我单位</w:t>
      </w:r>
      <w:r>
        <w:rPr>
          <w:rFonts w:hint="default" w:ascii="Times New Roman" w:hAnsi="Times New Roman" w:eastAsia="方正仿宋_GBK" w:cs="Times New Roman"/>
          <w:b w:val="0"/>
          <w:bCs/>
          <w:sz w:val="32"/>
          <w:szCs w:val="32"/>
          <w:shd w:val="clear" w:color="auto" w:fill="FFFFFF"/>
          <w:lang w:val="en-US" w:eastAsia="zh-CN"/>
        </w:rPr>
        <w:t>79</w:t>
      </w:r>
      <w:r>
        <w:rPr>
          <w:rFonts w:hint="default" w:ascii="Times New Roman" w:hAnsi="Times New Roman" w:eastAsia="方正仿宋_GBK" w:cs="Times New Roman"/>
          <w:b w:val="0"/>
          <w:bCs/>
          <w:sz w:val="32"/>
          <w:szCs w:val="32"/>
          <w:shd w:val="clear" w:color="auto" w:fill="FFFFFF"/>
        </w:rPr>
        <w:t>个二级项目开展了绩效自评，涉及财政拨款项目支出资金</w:t>
      </w:r>
      <w:r>
        <w:rPr>
          <w:rFonts w:hint="default" w:ascii="Times New Roman" w:hAnsi="Times New Roman" w:eastAsia="方正仿宋_GBK" w:cs="Times New Roman"/>
          <w:b w:val="0"/>
          <w:bCs/>
          <w:sz w:val="32"/>
          <w:szCs w:val="32"/>
          <w:shd w:val="clear" w:color="auto" w:fill="FFFFFF"/>
          <w:lang w:val="en-US" w:eastAsia="zh-CN"/>
        </w:rPr>
        <w:t>2347.45</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eastAsia="zh-CN"/>
        </w:rPr>
        <w:t>。</w:t>
      </w:r>
    </w:p>
    <w:tbl>
      <w:tblPr>
        <w:tblStyle w:val="10"/>
        <w:tblW w:w="8484" w:type="dxa"/>
        <w:tblInd w:w="0" w:type="dxa"/>
        <w:shd w:val="clear" w:color="auto" w:fill="auto"/>
        <w:tblLayout w:type="fixed"/>
        <w:tblCellMar>
          <w:top w:w="0" w:type="dxa"/>
          <w:left w:w="0" w:type="dxa"/>
          <w:bottom w:w="0" w:type="dxa"/>
          <w:right w:w="0" w:type="dxa"/>
        </w:tblCellMar>
      </w:tblPr>
      <w:tblGrid>
        <w:gridCol w:w="1077"/>
        <w:gridCol w:w="640"/>
        <w:gridCol w:w="640"/>
        <w:gridCol w:w="692"/>
        <w:gridCol w:w="856"/>
        <w:gridCol w:w="1231"/>
        <w:gridCol w:w="644"/>
        <w:gridCol w:w="823"/>
        <w:gridCol w:w="548"/>
        <w:gridCol w:w="640"/>
        <w:gridCol w:w="693"/>
      </w:tblGrid>
      <w:tr>
        <w:tblPrEx>
          <w:shd w:val="clear" w:color="auto" w:fill="auto"/>
          <w:tblCellMar>
            <w:top w:w="0" w:type="dxa"/>
            <w:left w:w="0" w:type="dxa"/>
            <w:bottom w:w="0" w:type="dxa"/>
            <w:right w:w="0" w:type="dxa"/>
          </w:tblCellMar>
        </w:tblPrEx>
        <w:trPr>
          <w:trHeight w:val="800" w:hRule="atLeast"/>
        </w:trPr>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500" w:hRule="atLeast"/>
        </w:trPr>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农村危房改造补助项目</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50023124T000004295265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713-垫江县大石乡人民政府</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吴鹏</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74550830</w:t>
            </w:r>
          </w:p>
        </w:tc>
      </w:tr>
      <w:tr>
        <w:tblPrEx>
          <w:tblCellMar>
            <w:top w:w="0" w:type="dxa"/>
            <w:left w:w="0" w:type="dxa"/>
            <w:bottom w:w="0" w:type="dxa"/>
            <w:right w:w="0" w:type="dxa"/>
          </w:tblCellMar>
        </w:tblPrEx>
        <w:trPr>
          <w:trHeight w:val="600" w:hRule="atLeast"/>
        </w:trPr>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5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2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5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2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5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2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55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0" w:hRule="atLeast"/>
        </w:trPr>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对全乡2024年动态新增农村低收入群体等重点对象农村危房改造</w:t>
            </w:r>
          </w:p>
        </w:tc>
        <w:tc>
          <w:tcPr>
            <w:tcW w:w="355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对全乡2024年动态新增农村低收入群体等重点对象农村危房改造</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已完成危房改造。</w:t>
            </w:r>
          </w:p>
        </w:tc>
      </w:tr>
      <w:tr>
        <w:tblPrEx>
          <w:shd w:val="clear" w:color="auto" w:fill="auto"/>
          <w:tblCellMar>
            <w:top w:w="0" w:type="dxa"/>
            <w:left w:w="0" w:type="dxa"/>
            <w:bottom w:w="0" w:type="dxa"/>
            <w:right w:w="0" w:type="dxa"/>
          </w:tblCellMar>
        </w:tblPrEx>
        <w:trPr>
          <w:trHeight w:val="600" w:hRule="atLeast"/>
        </w:trPr>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C级危房户数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解决住房困难人数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达到验收合格率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C级危房补助标准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解决和保障农户安全率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C级危户满意率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trPr>
        <w:tc>
          <w:tcPr>
            <w:tcW w:w="1077"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2"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56"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31"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4"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23"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48"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3"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bl>
    <w:p>
      <w:pPr>
        <w:pStyle w:val="16"/>
        <w:autoSpaceDE w:val="0"/>
        <w:spacing w:before="0" w:beforeAutospacing="0" w:line="600" w:lineRule="exact"/>
        <w:rPr>
          <w:rFonts w:hint="eastAsia" w:ascii="方正仿宋_GBK" w:hAnsi="方正仿宋_GBK" w:eastAsia="方正仿宋_GBK" w:cs="方正仿宋_GBK"/>
          <w:sz w:val="32"/>
          <w:szCs w:val="32"/>
          <w:highlight w:val="yellow"/>
          <w:shd w:val="clear" w:color="auto" w:fill="FFFFFF"/>
        </w:rPr>
      </w:pPr>
    </w:p>
    <w:tbl>
      <w:tblPr>
        <w:tblStyle w:val="10"/>
        <w:tblW w:w="8391" w:type="dxa"/>
        <w:tblInd w:w="0" w:type="dxa"/>
        <w:shd w:val="clear" w:color="auto" w:fill="auto"/>
        <w:tblLayout w:type="fixed"/>
        <w:tblCellMar>
          <w:top w:w="0" w:type="dxa"/>
          <w:left w:w="0" w:type="dxa"/>
          <w:bottom w:w="0" w:type="dxa"/>
          <w:right w:w="0" w:type="dxa"/>
        </w:tblCellMar>
      </w:tblPr>
      <w:tblGrid>
        <w:gridCol w:w="1145"/>
        <w:gridCol w:w="753"/>
        <w:gridCol w:w="663"/>
        <w:gridCol w:w="626"/>
        <w:gridCol w:w="724"/>
        <w:gridCol w:w="1311"/>
        <w:gridCol w:w="583"/>
        <w:gridCol w:w="890"/>
        <w:gridCol w:w="386"/>
        <w:gridCol w:w="697"/>
        <w:gridCol w:w="613"/>
      </w:tblGrid>
      <w:tr>
        <w:tblPrEx>
          <w:shd w:val="clear" w:color="auto" w:fill="auto"/>
          <w:tblCellMar>
            <w:top w:w="0" w:type="dxa"/>
            <w:left w:w="0" w:type="dxa"/>
            <w:bottom w:w="0" w:type="dxa"/>
            <w:right w:w="0" w:type="dxa"/>
          </w:tblCellMar>
        </w:tblPrEx>
        <w:trPr>
          <w:trHeight w:val="800" w:hRule="atLeast"/>
        </w:trPr>
        <w:tc>
          <w:tcPr>
            <w:tcW w:w="83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500" w:hRule="atLeast"/>
        </w:trPr>
        <w:tc>
          <w:tcPr>
            <w:tcW w:w="83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shd w:val="clear" w:color="auto" w:fill="auto"/>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乡村振兴驻乡驻村工作队工作经费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50023124T000003999157</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713-垫江县大石乡人民政府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谭志男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74550830</w:t>
            </w:r>
          </w:p>
        </w:tc>
      </w:tr>
      <w:tr>
        <w:tblPrEx>
          <w:shd w:val="clear" w:color="auto" w:fill="auto"/>
          <w:tblCellMar>
            <w:top w:w="0" w:type="dxa"/>
            <w:left w:w="0" w:type="dxa"/>
            <w:bottom w:w="0" w:type="dxa"/>
            <w:right w:w="0" w:type="dxa"/>
          </w:tblCellMar>
        </w:tblPrEx>
        <w:trPr>
          <w:trHeight w:val="600" w:hRule="atLeast"/>
        </w:trPr>
        <w:tc>
          <w:tcPr>
            <w:tcW w:w="83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6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2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2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58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6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2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2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58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6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2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2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58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83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0" w:hRule="atLeast"/>
        </w:trPr>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保障驻乡驻村工作队日常运转，助力巩固拓展脱贫攻坚成果同乡村振兴有效衔接</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保障驻乡驻村工作队日常运转，助力巩固拓展脱贫攻坚成果同乡村振兴有效衔接</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保障驻乡驻村工作队日常运转和工作开展</w:t>
            </w:r>
          </w:p>
        </w:tc>
      </w:tr>
      <w:tr>
        <w:tblPrEx>
          <w:shd w:val="clear" w:color="auto" w:fill="auto"/>
          <w:tblCellMar>
            <w:top w:w="0" w:type="dxa"/>
            <w:left w:w="0" w:type="dxa"/>
            <w:bottom w:w="0" w:type="dxa"/>
            <w:right w:w="0" w:type="dxa"/>
          </w:tblCellMar>
        </w:tblPrEx>
        <w:trPr>
          <w:trHeight w:val="600" w:hRule="atLeast"/>
        </w:trPr>
        <w:tc>
          <w:tcPr>
            <w:tcW w:w="83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shd w:val="clear" w:color="auto" w:fill="auto"/>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驻村工作队人员数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驻乡工作队人员数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乡村振兴工作保障率</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及时支付工作队经费率</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工作队经费成本</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有效保障工作队的工作开展</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工作队人员满意度</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6"/>
        <w:autoSpaceDE w:val="0"/>
        <w:spacing w:before="0" w:beforeAutospacing="0" w:line="600" w:lineRule="exact"/>
        <w:rPr>
          <w:rFonts w:hint="eastAsia" w:ascii="方正仿宋_GBK" w:hAnsi="方正仿宋_GBK" w:eastAsia="方正仿宋_GBK" w:cs="方正仿宋_GBK"/>
          <w:sz w:val="32"/>
          <w:szCs w:val="32"/>
          <w:highlight w:val="yellow"/>
          <w:shd w:val="clear" w:color="auto" w:fill="FFFFFF"/>
        </w:rPr>
      </w:pPr>
    </w:p>
    <w:tbl>
      <w:tblPr>
        <w:tblStyle w:val="10"/>
        <w:tblW w:w="8484" w:type="dxa"/>
        <w:tblInd w:w="0" w:type="dxa"/>
        <w:shd w:val="clear" w:color="auto" w:fill="auto"/>
        <w:tblLayout w:type="fixed"/>
        <w:tblCellMar>
          <w:top w:w="0" w:type="dxa"/>
          <w:left w:w="0" w:type="dxa"/>
          <w:bottom w:w="0" w:type="dxa"/>
          <w:right w:w="0" w:type="dxa"/>
        </w:tblCellMar>
      </w:tblPr>
      <w:tblGrid>
        <w:gridCol w:w="1008"/>
        <w:gridCol w:w="553"/>
        <w:gridCol w:w="226"/>
        <w:gridCol w:w="327"/>
        <w:gridCol w:w="408"/>
        <w:gridCol w:w="571"/>
        <w:gridCol w:w="164"/>
        <w:gridCol w:w="545"/>
        <w:gridCol w:w="250"/>
        <w:gridCol w:w="623"/>
        <w:gridCol w:w="293"/>
        <w:gridCol w:w="390"/>
        <w:gridCol w:w="166"/>
        <w:gridCol w:w="574"/>
        <w:gridCol w:w="405"/>
        <w:gridCol w:w="112"/>
        <w:gridCol w:w="310"/>
        <w:gridCol w:w="154"/>
        <w:gridCol w:w="472"/>
        <w:gridCol w:w="213"/>
        <w:gridCol w:w="654"/>
        <w:gridCol w:w="66"/>
      </w:tblGrid>
      <w:tr>
        <w:tblPrEx>
          <w:tblCellMar>
            <w:top w:w="0" w:type="dxa"/>
            <w:left w:w="0" w:type="dxa"/>
            <w:bottom w:w="0" w:type="dxa"/>
            <w:right w:w="0" w:type="dxa"/>
          </w:tblCellMar>
        </w:tblPrEx>
        <w:trPr>
          <w:gridAfter w:val="1"/>
          <w:wAfter w:w="66" w:type="dxa"/>
          <w:trHeight w:val="800" w:hRule="atLeast"/>
        </w:trPr>
        <w:tc>
          <w:tcPr>
            <w:tcW w:w="841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CellMar>
            <w:top w:w="0" w:type="dxa"/>
            <w:left w:w="0" w:type="dxa"/>
            <w:bottom w:w="0" w:type="dxa"/>
            <w:right w:w="0" w:type="dxa"/>
          </w:tblCellMar>
        </w:tblPrEx>
        <w:trPr>
          <w:gridAfter w:val="1"/>
          <w:wAfter w:w="66" w:type="dxa"/>
          <w:trHeight w:val="500" w:hRule="atLeast"/>
        </w:trPr>
        <w:tc>
          <w:tcPr>
            <w:tcW w:w="841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1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美丽宜居示范乡镇建设项目</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87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50023123T000002831831</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99.98</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1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713-垫江县大石乡人民政府</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87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4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龚长明</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13609475716</w:t>
            </w:r>
          </w:p>
        </w:tc>
      </w:tr>
      <w:tr>
        <w:tblPrEx>
          <w:shd w:val="clear" w:color="auto" w:fill="auto"/>
          <w:tblCellMar>
            <w:top w:w="0" w:type="dxa"/>
            <w:left w:w="0" w:type="dxa"/>
            <w:bottom w:w="0" w:type="dxa"/>
            <w:right w:w="0" w:type="dxa"/>
          </w:tblCellMar>
        </w:tblPrEx>
        <w:trPr>
          <w:gridAfter w:val="1"/>
          <w:wAfter w:w="66" w:type="dxa"/>
          <w:trHeight w:val="600" w:hRule="atLeast"/>
        </w:trPr>
        <w:tc>
          <w:tcPr>
            <w:tcW w:w="841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gridAfter w:val="1"/>
          <w:wAfter w:w="66" w:type="dxa"/>
          <w:trHeight w:val="500"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87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5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53"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3,862,733.79 </w:t>
            </w:r>
          </w:p>
        </w:tc>
        <w:tc>
          <w:tcPr>
            <w:tcW w:w="709"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5,019,101.28 </w:t>
            </w:r>
          </w:p>
        </w:tc>
        <w:tc>
          <w:tcPr>
            <w:tcW w:w="556"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5,010,901.28 </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5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53"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3,862,733.79 </w:t>
            </w:r>
          </w:p>
        </w:tc>
        <w:tc>
          <w:tcPr>
            <w:tcW w:w="709"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5,019,101.28 </w:t>
            </w:r>
          </w:p>
        </w:tc>
        <w:tc>
          <w:tcPr>
            <w:tcW w:w="556"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5,010,901.28 </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99.84</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9.98 </w:t>
            </w: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5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53"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09"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556"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66" w:type="dxa"/>
          <w:trHeight w:val="600" w:hRule="atLeast"/>
        </w:trPr>
        <w:tc>
          <w:tcPr>
            <w:tcW w:w="841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gridAfter w:val="1"/>
          <w:wAfter w:w="66" w:type="dxa"/>
          <w:trHeight w:val="500" w:hRule="atLeast"/>
        </w:trPr>
        <w:tc>
          <w:tcPr>
            <w:tcW w:w="309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41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91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shd w:val="clear" w:color="auto" w:fill="auto"/>
          <w:tblCellMar>
            <w:top w:w="0" w:type="dxa"/>
            <w:left w:w="0" w:type="dxa"/>
            <w:bottom w:w="0" w:type="dxa"/>
            <w:right w:w="0" w:type="dxa"/>
          </w:tblCellMar>
        </w:tblPrEx>
        <w:trPr>
          <w:gridAfter w:val="1"/>
          <w:wAfter w:w="66" w:type="dxa"/>
          <w:trHeight w:val="1600" w:hRule="atLeast"/>
        </w:trPr>
        <w:tc>
          <w:tcPr>
            <w:tcW w:w="3093"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提升场镇品质，增加场镇功能，改善人居环境，创建市级美丽宜居示范乡镇。</w:t>
            </w:r>
          </w:p>
        </w:tc>
        <w:tc>
          <w:tcPr>
            <w:tcW w:w="3410"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提升场镇品质，增加场镇功能，改善人居环境，创建市级美丽宜居示范乡镇。</w:t>
            </w:r>
          </w:p>
        </w:tc>
        <w:tc>
          <w:tcPr>
            <w:tcW w:w="191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按进度已完成90%。</w:t>
            </w:r>
          </w:p>
        </w:tc>
      </w:tr>
      <w:tr>
        <w:tblPrEx>
          <w:tblCellMar>
            <w:top w:w="0" w:type="dxa"/>
            <w:left w:w="0" w:type="dxa"/>
            <w:bottom w:w="0" w:type="dxa"/>
            <w:right w:w="0" w:type="dxa"/>
          </w:tblCellMar>
        </w:tblPrEx>
        <w:trPr>
          <w:gridAfter w:val="1"/>
          <w:wAfter w:w="66" w:type="dxa"/>
          <w:trHeight w:val="600" w:hRule="atLeast"/>
        </w:trPr>
        <w:tc>
          <w:tcPr>
            <w:tcW w:w="841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群众人数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项目个数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修建项目质量验收合格率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按文件要求完成率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改善农村面貌率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修建项目成本</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00" w:hRule="atLeast"/>
        </w:trPr>
        <w:tc>
          <w:tcPr>
            <w:tcW w:w="8484"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500" w:hRule="atLeast"/>
        </w:trPr>
        <w:tc>
          <w:tcPr>
            <w:tcW w:w="8484"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全县道安办劝导员工作经费</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3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50023124T000003980503</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713-垫江县大石乡人民政府</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3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吴建平</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74550830</w:t>
            </w:r>
          </w:p>
        </w:tc>
      </w:tr>
      <w:tr>
        <w:tblPrEx>
          <w:shd w:val="clear" w:color="auto" w:fill="auto"/>
          <w:tblCellMar>
            <w:top w:w="0" w:type="dxa"/>
            <w:left w:w="0" w:type="dxa"/>
            <w:bottom w:w="0" w:type="dxa"/>
            <w:right w:w="0" w:type="dxa"/>
          </w:tblCellMar>
        </w:tblPrEx>
        <w:trPr>
          <w:trHeight w:val="600" w:hRule="atLeast"/>
        </w:trPr>
        <w:tc>
          <w:tcPr>
            <w:tcW w:w="8484"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shd w:val="clear" w:color="auto" w:fill="auto"/>
          <w:tblCellMar>
            <w:top w:w="0" w:type="dxa"/>
            <w:left w:w="0" w:type="dxa"/>
            <w:bottom w:w="0" w:type="dxa"/>
            <w:right w:w="0" w:type="dxa"/>
          </w:tblCellMar>
        </w:tblPrEx>
        <w:trPr>
          <w:trHeight w:val="500" w:hRule="atLeast"/>
        </w:trPr>
        <w:tc>
          <w:tcPr>
            <w:tcW w:w="252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3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25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shd w:val="clear" w:color="auto" w:fill="auto"/>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9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62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740"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17"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9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62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740"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17"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9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62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740"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17"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8484"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405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563"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86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0" w:hRule="atLeast"/>
        </w:trPr>
        <w:tc>
          <w:tcPr>
            <w:tcW w:w="4052"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积极推进农村道路交通安全“三化六体系”建设，各乡镇积极推进农村交安安全劝导站建设，运行。</w:t>
            </w:r>
          </w:p>
        </w:tc>
        <w:tc>
          <w:tcPr>
            <w:tcW w:w="2563"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积极推进农村道路交通安全“三化六体系”建设，各乡镇积极推进农村交安安全劝导站建设，运行。</w:t>
            </w:r>
          </w:p>
        </w:tc>
        <w:tc>
          <w:tcPr>
            <w:tcW w:w="1869"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已基本完全服务</w:t>
            </w:r>
          </w:p>
        </w:tc>
      </w:tr>
      <w:tr>
        <w:tblPrEx>
          <w:tblCellMar>
            <w:top w:w="0" w:type="dxa"/>
            <w:left w:w="0" w:type="dxa"/>
            <w:bottom w:w="0" w:type="dxa"/>
            <w:right w:w="0" w:type="dxa"/>
          </w:tblCellMar>
        </w:tblPrEx>
        <w:trPr>
          <w:trHeight w:val="600" w:hRule="atLeast"/>
        </w:trPr>
        <w:tc>
          <w:tcPr>
            <w:tcW w:w="8484"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二级劝导站数量</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服务群众人数</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一级劝导站数量</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按劝导要求高质量保障群众出行率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按工作完成时间按时发放率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确保农村道路全安出行率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保障农村道路安全率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保障农村群众安全出行率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5"/>
        <w:autoSpaceDE w:val="0"/>
        <w:ind w:firstLine="643"/>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（二）单位绩效评价情况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我单位未组织开展绩效评价。</w:t>
      </w:r>
    </w:p>
    <w:p>
      <w:pPr>
        <w:pStyle w:val="15"/>
        <w:autoSpaceDE w:val="0"/>
        <w:ind w:firstLine="643"/>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pPr>
        <w:pStyle w:val="15"/>
        <w:autoSpaceDE w:val="0"/>
        <w:ind w:firstLine="643"/>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县财政局未委托第三方对我单位开展绩效评价。</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Style w:val="13"/>
          <w:rFonts w:hint="default" w:ascii="Times New Roman" w:hAnsi="Times New Roman" w:eastAsia="黑体" w:cs="Times New Roman"/>
          <w:b w:val="0"/>
          <w:bCs w:val="0"/>
          <w:sz w:val="32"/>
          <w:szCs w:val="32"/>
          <w:shd w:val="clear" w:color="auto" w:fill="FFFFFF"/>
          <w:lang w:val="en-US" w:eastAsia="zh-CN"/>
        </w:rPr>
      </w:pPr>
      <w:r>
        <w:rPr>
          <w:rStyle w:val="13"/>
          <w:rFonts w:hint="default" w:ascii="Times New Roman" w:hAnsi="Times New Roman" w:eastAsia="黑体" w:cs="Times New Roman"/>
          <w:b w:val="0"/>
          <w:bCs w:val="0"/>
          <w:sz w:val="32"/>
          <w:szCs w:val="32"/>
          <w:shd w:val="clear" w:color="auto" w:fill="FFFFFF"/>
          <w:lang w:val="en-US" w:eastAsia="zh-CN"/>
        </w:rPr>
        <w:t>  六、专业名词解释</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 </w:t>
      </w:r>
      <w:r>
        <w:rPr>
          <w:rStyle w:val="13"/>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 </w:t>
      </w:r>
      <w:r>
        <w:rPr>
          <w:rStyle w:val="13"/>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 </w:t>
      </w:r>
      <w:r>
        <w:rPr>
          <w:rStyle w:val="13"/>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（五）使用非财政拨款结余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 </w:t>
      </w:r>
      <w:r>
        <w:rPr>
          <w:rStyle w:val="13"/>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 </w:t>
      </w:r>
      <w:r>
        <w:rPr>
          <w:rStyle w:val="13"/>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 </w:t>
      </w:r>
      <w:r>
        <w:rPr>
          <w:rStyle w:val="13"/>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 </w:t>
      </w:r>
      <w:r>
        <w:rPr>
          <w:rStyle w:val="13"/>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 </w:t>
      </w:r>
      <w:r>
        <w:rPr>
          <w:rStyle w:val="13"/>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 </w:t>
      </w:r>
      <w:r>
        <w:rPr>
          <w:rStyle w:val="13"/>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 </w:t>
      </w:r>
      <w:r>
        <w:rPr>
          <w:rStyle w:val="13"/>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七、决算公开联系方式及信息反馈渠道</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本单位决算公开信息反馈和联系方式：023-74550830。</w:t>
      </w:r>
    </w:p>
    <w:p>
      <w:pPr>
        <w:pStyle w:val="9"/>
        <w:snapToGrid w:val="0"/>
        <w:spacing w:before="0" w:beforeAutospacing="0" w:after="0" w:afterAutospacing="0" w:line="600" w:lineRule="exact"/>
        <w:ind w:firstLine="640" w:firstLineChars="200"/>
        <w:jc w:val="both"/>
        <w:rPr>
          <w:rStyle w:val="13"/>
          <w:rFonts w:hint="default" w:ascii="Times New Roman" w:hAnsi="Times New Roman" w:eastAsia="方正仿宋_GBK" w:cs="Times New Roman"/>
          <w:b w:val="0"/>
          <w:bCs w:val="0"/>
          <w:sz w:val="32"/>
          <w:szCs w:val="32"/>
          <w:shd w:val="clear" w:color="auto" w:fill="FFFF00"/>
        </w:rPr>
      </w:pPr>
    </w:p>
    <w:p>
      <w:pPr>
        <w:widowControl/>
        <w:numPr>
          <w:ilvl w:val="0"/>
          <w:numId w:val="0"/>
        </w:numPr>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15" w:lineRule="atLeast"/>
        <w:ind w:leftChars="0" w:right="0" w:firstLine="643" w:firstLineChars="200"/>
        <w:jc w:val="left"/>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垫江县大石乡人民政府（本级）</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2,234.13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594.98</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603.52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1,121.42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2,829.11</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3,031.79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3,031.79</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3,031.79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垫江县大石乡人民政府（本级）</w:t>
            </w:r>
          </w:p>
        </w:tc>
        <w:tc>
          <w:tcPr>
            <w:tcW w:w="13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2,829.11</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2,829.11</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451.50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603.52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603.52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1,033.32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1,033.32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246.07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246.07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246.07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246.07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169.16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169.16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垫江县大石乡人民政府（本级）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3,031.79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684.33</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2,347.45</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451.50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603.52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603.52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1,121.42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926.05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324.17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128.80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246.07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其他农村综合改革支出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272.05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272.05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垫江县大石乡人民政府（本级）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491.21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491.21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594.98</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603.52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591.35</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1,121.42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1,121.42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2,829.11</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3,031.79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2,436.81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594.98</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202.67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202.67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3,031.79</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3,031.79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2,436.81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594.98</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垫江县大石乡人民政府（本级）</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2,436.81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684.33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1,752.47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491.21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369.15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451.50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368.71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1,121.42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324.17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246.07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195.37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其他农村综合改革支出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272.05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垫江县大石乡人民政府（本级）</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382.08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216.26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214.66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598.34</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垫江县大石乡人民政府（本级）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594.98</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594.98</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594.98</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591.35</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591.35</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591.35</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垫江县大石乡人民政府（本级）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垫江县大石乡人民政府（本级）</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85.99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7.76</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7.76</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85.99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4.33</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4.33</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3.44</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3.44</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3.44</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304.34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304.34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304.34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304.34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3.54</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17.14</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0E215E"/>
    <w:rsid w:val="01474EBF"/>
    <w:rsid w:val="01CC6886"/>
    <w:rsid w:val="01E51806"/>
    <w:rsid w:val="01F3521E"/>
    <w:rsid w:val="03847CD4"/>
    <w:rsid w:val="03B87EA0"/>
    <w:rsid w:val="03E3214F"/>
    <w:rsid w:val="044C50BA"/>
    <w:rsid w:val="04AC3726"/>
    <w:rsid w:val="05BC6D49"/>
    <w:rsid w:val="06194FF1"/>
    <w:rsid w:val="065D1A12"/>
    <w:rsid w:val="06694A04"/>
    <w:rsid w:val="06A2550B"/>
    <w:rsid w:val="06F80EE2"/>
    <w:rsid w:val="07001CCA"/>
    <w:rsid w:val="075678DB"/>
    <w:rsid w:val="078D2E6E"/>
    <w:rsid w:val="079D7CC7"/>
    <w:rsid w:val="08051BCA"/>
    <w:rsid w:val="086C12F4"/>
    <w:rsid w:val="086D6F8C"/>
    <w:rsid w:val="08705944"/>
    <w:rsid w:val="08BA052C"/>
    <w:rsid w:val="08DB07BA"/>
    <w:rsid w:val="09472B9F"/>
    <w:rsid w:val="0969353F"/>
    <w:rsid w:val="098305D0"/>
    <w:rsid w:val="0A3317EA"/>
    <w:rsid w:val="0A5C4B69"/>
    <w:rsid w:val="0A86124A"/>
    <w:rsid w:val="0AB54CC0"/>
    <w:rsid w:val="0B156E0E"/>
    <w:rsid w:val="0B5B040F"/>
    <w:rsid w:val="0B9335CE"/>
    <w:rsid w:val="0BF2311A"/>
    <w:rsid w:val="0C2A5909"/>
    <w:rsid w:val="0C2C527F"/>
    <w:rsid w:val="0C7927C4"/>
    <w:rsid w:val="0C9B098C"/>
    <w:rsid w:val="0D673E11"/>
    <w:rsid w:val="0DDA54E4"/>
    <w:rsid w:val="0E256546"/>
    <w:rsid w:val="0E3A5F83"/>
    <w:rsid w:val="0E4850F2"/>
    <w:rsid w:val="0F836721"/>
    <w:rsid w:val="0FA25D96"/>
    <w:rsid w:val="1030334C"/>
    <w:rsid w:val="107B59E5"/>
    <w:rsid w:val="10EC0126"/>
    <w:rsid w:val="10F70B9A"/>
    <w:rsid w:val="111445C7"/>
    <w:rsid w:val="114278C6"/>
    <w:rsid w:val="1158083A"/>
    <w:rsid w:val="11643A4B"/>
    <w:rsid w:val="11AE4CAC"/>
    <w:rsid w:val="11ED0F98"/>
    <w:rsid w:val="11F03528"/>
    <w:rsid w:val="12860982"/>
    <w:rsid w:val="12A31BE1"/>
    <w:rsid w:val="12C24B40"/>
    <w:rsid w:val="12C921C4"/>
    <w:rsid w:val="136C5780"/>
    <w:rsid w:val="13871C70"/>
    <w:rsid w:val="13A71CB4"/>
    <w:rsid w:val="13AF1D43"/>
    <w:rsid w:val="13CE1647"/>
    <w:rsid w:val="13FD55AB"/>
    <w:rsid w:val="14200702"/>
    <w:rsid w:val="15641853"/>
    <w:rsid w:val="15843246"/>
    <w:rsid w:val="163A6CEE"/>
    <w:rsid w:val="173708E3"/>
    <w:rsid w:val="17C374FC"/>
    <w:rsid w:val="182E4AB6"/>
    <w:rsid w:val="189079DC"/>
    <w:rsid w:val="189B0D0B"/>
    <w:rsid w:val="18B43F7C"/>
    <w:rsid w:val="18F6448D"/>
    <w:rsid w:val="194A1770"/>
    <w:rsid w:val="19B906A4"/>
    <w:rsid w:val="1A4262BA"/>
    <w:rsid w:val="1B6D774E"/>
    <w:rsid w:val="1B6F15B6"/>
    <w:rsid w:val="1BAA2EDC"/>
    <w:rsid w:val="1C8F4DC3"/>
    <w:rsid w:val="1C927D61"/>
    <w:rsid w:val="1CA55E64"/>
    <w:rsid w:val="1D014A01"/>
    <w:rsid w:val="1D022362"/>
    <w:rsid w:val="1D1B04B0"/>
    <w:rsid w:val="1DA52501"/>
    <w:rsid w:val="1DAB2FB9"/>
    <w:rsid w:val="1DBD6767"/>
    <w:rsid w:val="1DC52125"/>
    <w:rsid w:val="1DD26311"/>
    <w:rsid w:val="1E374ACB"/>
    <w:rsid w:val="1ECF0A66"/>
    <w:rsid w:val="1EF67CA4"/>
    <w:rsid w:val="1F020D3A"/>
    <w:rsid w:val="1F2C5189"/>
    <w:rsid w:val="1F4B0B02"/>
    <w:rsid w:val="1FBB35CD"/>
    <w:rsid w:val="1FCD26AF"/>
    <w:rsid w:val="20642787"/>
    <w:rsid w:val="209C71CE"/>
    <w:rsid w:val="21556F04"/>
    <w:rsid w:val="22217914"/>
    <w:rsid w:val="22403BD3"/>
    <w:rsid w:val="2373246C"/>
    <w:rsid w:val="245967CA"/>
    <w:rsid w:val="24B92327"/>
    <w:rsid w:val="24C14514"/>
    <w:rsid w:val="2533755C"/>
    <w:rsid w:val="25791755"/>
    <w:rsid w:val="26396DF4"/>
    <w:rsid w:val="264938E3"/>
    <w:rsid w:val="26F03750"/>
    <w:rsid w:val="27167136"/>
    <w:rsid w:val="271B442C"/>
    <w:rsid w:val="27B23302"/>
    <w:rsid w:val="27EF0BE1"/>
    <w:rsid w:val="290A45CD"/>
    <w:rsid w:val="29310A5F"/>
    <w:rsid w:val="29C37A35"/>
    <w:rsid w:val="2A076083"/>
    <w:rsid w:val="2A5B6286"/>
    <w:rsid w:val="2A73162E"/>
    <w:rsid w:val="2B167953"/>
    <w:rsid w:val="2B200583"/>
    <w:rsid w:val="2B8209DE"/>
    <w:rsid w:val="2C0142A2"/>
    <w:rsid w:val="2C636760"/>
    <w:rsid w:val="2C6762A3"/>
    <w:rsid w:val="2C747AC6"/>
    <w:rsid w:val="2CB61D3F"/>
    <w:rsid w:val="2CCB43F7"/>
    <w:rsid w:val="2E017F52"/>
    <w:rsid w:val="2F6E20AB"/>
    <w:rsid w:val="2F7C4630"/>
    <w:rsid w:val="2FCA4B37"/>
    <w:rsid w:val="2FCC7833"/>
    <w:rsid w:val="2FE029D7"/>
    <w:rsid w:val="2FF06E00"/>
    <w:rsid w:val="30586FEC"/>
    <w:rsid w:val="30647653"/>
    <w:rsid w:val="31477A40"/>
    <w:rsid w:val="315F0B22"/>
    <w:rsid w:val="31D84415"/>
    <w:rsid w:val="32285F6F"/>
    <w:rsid w:val="32770556"/>
    <w:rsid w:val="329C0913"/>
    <w:rsid w:val="32AA0460"/>
    <w:rsid w:val="3337290D"/>
    <w:rsid w:val="33E31118"/>
    <w:rsid w:val="33EF7674"/>
    <w:rsid w:val="342D7BC6"/>
    <w:rsid w:val="352930DB"/>
    <w:rsid w:val="35573069"/>
    <w:rsid w:val="355F6038"/>
    <w:rsid w:val="358C217E"/>
    <w:rsid w:val="358C5A86"/>
    <w:rsid w:val="358E5594"/>
    <w:rsid w:val="35903F4E"/>
    <w:rsid w:val="35AE6D4F"/>
    <w:rsid w:val="36297E6D"/>
    <w:rsid w:val="36C9128A"/>
    <w:rsid w:val="376B649F"/>
    <w:rsid w:val="37841E99"/>
    <w:rsid w:val="37BF1123"/>
    <w:rsid w:val="383C3F15"/>
    <w:rsid w:val="38BE4696"/>
    <w:rsid w:val="3939115E"/>
    <w:rsid w:val="39746D0B"/>
    <w:rsid w:val="398A4DC7"/>
    <w:rsid w:val="39B82A39"/>
    <w:rsid w:val="39C42CA8"/>
    <w:rsid w:val="39DC4FD6"/>
    <w:rsid w:val="39F03D7A"/>
    <w:rsid w:val="39F33306"/>
    <w:rsid w:val="3A2C1C67"/>
    <w:rsid w:val="3ADD7F09"/>
    <w:rsid w:val="3B1705E5"/>
    <w:rsid w:val="3B18334B"/>
    <w:rsid w:val="3B1D7744"/>
    <w:rsid w:val="3B36794F"/>
    <w:rsid w:val="3B6F6EE0"/>
    <w:rsid w:val="3C4A4ED8"/>
    <w:rsid w:val="3C566AD6"/>
    <w:rsid w:val="3C594871"/>
    <w:rsid w:val="3C681EFD"/>
    <w:rsid w:val="3C6A5B02"/>
    <w:rsid w:val="3C896AD3"/>
    <w:rsid w:val="3D2757A1"/>
    <w:rsid w:val="3D3D4FC4"/>
    <w:rsid w:val="3D7C7E92"/>
    <w:rsid w:val="3DDF3AB1"/>
    <w:rsid w:val="3E1D0952"/>
    <w:rsid w:val="3E35411E"/>
    <w:rsid w:val="3E42660A"/>
    <w:rsid w:val="3E7555B1"/>
    <w:rsid w:val="3E787ED9"/>
    <w:rsid w:val="3EE31399"/>
    <w:rsid w:val="3F032E93"/>
    <w:rsid w:val="3F0527E5"/>
    <w:rsid w:val="3F58643B"/>
    <w:rsid w:val="3F694D83"/>
    <w:rsid w:val="3F885DCC"/>
    <w:rsid w:val="3FC13F3F"/>
    <w:rsid w:val="3FCD675E"/>
    <w:rsid w:val="4004000C"/>
    <w:rsid w:val="40BD5482"/>
    <w:rsid w:val="411B6CE5"/>
    <w:rsid w:val="412070D7"/>
    <w:rsid w:val="41314E40"/>
    <w:rsid w:val="41CE7BCF"/>
    <w:rsid w:val="41E0734B"/>
    <w:rsid w:val="426C1EA8"/>
    <w:rsid w:val="42736402"/>
    <w:rsid w:val="42E86A87"/>
    <w:rsid w:val="43307B09"/>
    <w:rsid w:val="439A3EB9"/>
    <w:rsid w:val="43BB152F"/>
    <w:rsid w:val="44C37687"/>
    <w:rsid w:val="45CB699A"/>
    <w:rsid w:val="45E2495B"/>
    <w:rsid w:val="465B470D"/>
    <w:rsid w:val="46822DA0"/>
    <w:rsid w:val="469D6AD4"/>
    <w:rsid w:val="46EB5E2C"/>
    <w:rsid w:val="471E6C84"/>
    <w:rsid w:val="47276331"/>
    <w:rsid w:val="4748792B"/>
    <w:rsid w:val="475D719D"/>
    <w:rsid w:val="47674801"/>
    <w:rsid w:val="48225EF7"/>
    <w:rsid w:val="488F422B"/>
    <w:rsid w:val="48E36915"/>
    <w:rsid w:val="48EB6572"/>
    <w:rsid w:val="49102941"/>
    <w:rsid w:val="495C4A24"/>
    <w:rsid w:val="497135DF"/>
    <w:rsid w:val="4A263DF2"/>
    <w:rsid w:val="4A6F6675"/>
    <w:rsid w:val="4B135857"/>
    <w:rsid w:val="4B7951CB"/>
    <w:rsid w:val="4B7C315C"/>
    <w:rsid w:val="4BA3563B"/>
    <w:rsid w:val="4CCE6574"/>
    <w:rsid w:val="4D3425D9"/>
    <w:rsid w:val="4DAC4ACA"/>
    <w:rsid w:val="4DBE01D2"/>
    <w:rsid w:val="4E125526"/>
    <w:rsid w:val="4E62007D"/>
    <w:rsid w:val="4F0C6BA3"/>
    <w:rsid w:val="4F186D58"/>
    <w:rsid w:val="50F06B6E"/>
    <w:rsid w:val="51935A63"/>
    <w:rsid w:val="51D21804"/>
    <w:rsid w:val="52234D33"/>
    <w:rsid w:val="522F6E0C"/>
    <w:rsid w:val="523218A3"/>
    <w:rsid w:val="52463BA1"/>
    <w:rsid w:val="52F163D4"/>
    <w:rsid w:val="531A2DB4"/>
    <w:rsid w:val="53C0244D"/>
    <w:rsid w:val="53D167AB"/>
    <w:rsid w:val="53DD4D4E"/>
    <w:rsid w:val="53E578CE"/>
    <w:rsid w:val="541330F0"/>
    <w:rsid w:val="54272666"/>
    <w:rsid w:val="543B029D"/>
    <w:rsid w:val="54861779"/>
    <w:rsid w:val="54F128DC"/>
    <w:rsid w:val="552256E1"/>
    <w:rsid w:val="554E5773"/>
    <w:rsid w:val="555829E0"/>
    <w:rsid w:val="555A3CBC"/>
    <w:rsid w:val="5582012B"/>
    <w:rsid w:val="558E4E05"/>
    <w:rsid w:val="55BE2E85"/>
    <w:rsid w:val="56530F5D"/>
    <w:rsid w:val="567700D3"/>
    <w:rsid w:val="56C863E2"/>
    <w:rsid w:val="56FF7E9E"/>
    <w:rsid w:val="578867FC"/>
    <w:rsid w:val="579976F2"/>
    <w:rsid w:val="5842572D"/>
    <w:rsid w:val="588D5910"/>
    <w:rsid w:val="5924682D"/>
    <w:rsid w:val="59A31527"/>
    <w:rsid w:val="5A3B59D6"/>
    <w:rsid w:val="5AD134D8"/>
    <w:rsid w:val="5B720601"/>
    <w:rsid w:val="5B9A01F8"/>
    <w:rsid w:val="5BF85693"/>
    <w:rsid w:val="5C263CE4"/>
    <w:rsid w:val="5C5D2777"/>
    <w:rsid w:val="5CF1178C"/>
    <w:rsid w:val="5CF66BF3"/>
    <w:rsid w:val="5D290C69"/>
    <w:rsid w:val="5D9E0F03"/>
    <w:rsid w:val="5DA85894"/>
    <w:rsid w:val="5DE378AD"/>
    <w:rsid w:val="5E8A38DE"/>
    <w:rsid w:val="5EF91A9D"/>
    <w:rsid w:val="5F044A75"/>
    <w:rsid w:val="5F2D4A41"/>
    <w:rsid w:val="5FCE2DDA"/>
    <w:rsid w:val="60C74F6C"/>
    <w:rsid w:val="61025A59"/>
    <w:rsid w:val="613D5BBC"/>
    <w:rsid w:val="61536C39"/>
    <w:rsid w:val="61EE192D"/>
    <w:rsid w:val="61F60889"/>
    <w:rsid w:val="62944DD7"/>
    <w:rsid w:val="62B20FF0"/>
    <w:rsid w:val="6319381F"/>
    <w:rsid w:val="6339432D"/>
    <w:rsid w:val="63C25DC5"/>
    <w:rsid w:val="63C62057"/>
    <w:rsid w:val="63D115D7"/>
    <w:rsid w:val="64571EF5"/>
    <w:rsid w:val="64FB113D"/>
    <w:rsid w:val="656152C6"/>
    <w:rsid w:val="6587477F"/>
    <w:rsid w:val="658C3A08"/>
    <w:rsid w:val="65C031CA"/>
    <w:rsid w:val="65CE6852"/>
    <w:rsid w:val="66267C04"/>
    <w:rsid w:val="663F505A"/>
    <w:rsid w:val="66B57C17"/>
    <w:rsid w:val="66EE5541"/>
    <w:rsid w:val="672D5683"/>
    <w:rsid w:val="67924660"/>
    <w:rsid w:val="68407834"/>
    <w:rsid w:val="6883293E"/>
    <w:rsid w:val="688412AD"/>
    <w:rsid w:val="68EB1B71"/>
    <w:rsid w:val="6A6C7940"/>
    <w:rsid w:val="6AAD2300"/>
    <w:rsid w:val="6B0E2B7F"/>
    <w:rsid w:val="6B0F411D"/>
    <w:rsid w:val="6B474EF5"/>
    <w:rsid w:val="6C0A5AC5"/>
    <w:rsid w:val="6C1A4039"/>
    <w:rsid w:val="6C560CAE"/>
    <w:rsid w:val="6C576495"/>
    <w:rsid w:val="6C8F2659"/>
    <w:rsid w:val="6CB85479"/>
    <w:rsid w:val="6D231757"/>
    <w:rsid w:val="6D903FF5"/>
    <w:rsid w:val="6DA955B8"/>
    <w:rsid w:val="6DE346AB"/>
    <w:rsid w:val="6DE5391A"/>
    <w:rsid w:val="6EFD1324"/>
    <w:rsid w:val="6F5A53AC"/>
    <w:rsid w:val="6FAC003D"/>
    <w:rsid w:val="6FE55E12"/>
    <w:rsid w:val="6FFB2E76"/>
    <w:rsid w:val="708F6F7F"/>
    <w:rsid w:val="70D94BD3"/>
    <w:rsid w:val="715E4D31"/>
    <w:rsid w:val="71C34D91"/>
    <w:rsid w:val="72DB435C"/>
    <w:rsid w:val="72E2613A"/>
    <w:rsid w:val="72F771F4"/>
    <w:rsid w:val="73653026"/>
    <w:rsid w:val="73934AD2"/>
    <w:rsid w:val="73F57532"/>
    <w:rsid w:val="744F2FB3"/>
    <w:rsid w:val="750837F0"/>
    <w:rsid w:val="754758CF"/>
    <w:rsid w:val="764F62AB"/>
    <w:rsid w:val="765C45EC"/>
    <w:rsid w:val="768A7619"/>
    <w:rsid w:val="772E1EBA"/>
    <w:rsid w:val="773C728D"/>
    <w:rsid w:val="775814F2"/>
    <w:rsid w:val="781926BC"/>
    <w:rsid w:val="796D60A4"/>
    <w:rsid w:val="79A031D5"/>
    <w:rsid w:val="7A1525F7"/>
    <w:rsid w:val="7B420052"/>
    <w:rsid w:val="7BD06A28"/>
    <w:rsid w:val="7C3A7C0B"/>
    <w:rsid w:val="7C5248E4"/>
    <w:rsid w:val="7C566698"/>
    <w:rsid w:val="7C5866A3"/>
    <w:rsid w:val="7D7406BB"/>
    <w:rsid w:val="7DE94331"/>
    <w:rsid w:val="7DEC5BA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99"/>
    <w:rPr>
      <w:rFonts w:hint="eastAsia" w:ascii="宋体" w:hAnsi="宋体" w:eastAsia="宋体" w:cs="Times New Roman"/>
      <w:sz w:val="24"/>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autoRedefine/>
    <w:qFormat/>
    <w:uiPriority w:val="0"/>
    <w:pPr>
      <w:ind w:left="1280"/>
      <w:jc w:val="left"/>
    </w:pPr>
    <w:rPr>
      <w:rFonts w:cs="Calibri"/>
      <w:sz w:val="20"/>
      <w:szCs w:val="20"/>
    </w:rPr>
  </w:style>
  <w:style w:type="paragraph" w:styleId="4">
    <w:name w:val="Normal Indent"/>
    <w:basedOn w:val="1"/>
    <w:next w:val="1"/>
    <w:autoRedefine/>
    <w:qFormat/>
    <w:uiPriority w:val="0"/>
    <w:pPr>
      <w:ind w:firstLine="420" w:firstLineChars="200"/>
    </w:pPr>
  </w:style>
  <w:style w:type="paragraph" w:styleId="5">
    <w:name w:val="Balloon Text"/>
    <w:basedOn w:val="1"/>
    <w:link w:val="19"/>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0"/>
    <w:rPr>
      <w:b/>
    </w:rPr>
  </w:style>
  <w:style w:type="paragraph" w:customStyle="1" w:styleId="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
    <w:name w:val="列出段落1"/>
    <w:basedOn w:val="1"/>
    <w:autoRedefine/>
    <w:qFormat/>
    <w:uiPriority w:val="99"/>
    <w:pPr>
      <w:ind w:firstLine="420" w:firstLineChars="200"/>
    </w:pPr>
    <w:rPr>
      <w:rFonts w:hint="default"/>
    </w:rPr>
  </w:style>
  <w:style w:type="paragraph" w:customStyle="1" w:styleId="16">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autoRedefine/>
    <w:qFormat/>
    <w:uiPriority w:val="0"/>
    <w:rPr>
      <w:rFonts w:hint="default" w:ascii="Wingdings" w:hAnsi="Wingdings" w:cs="Wingdings"/>
      <w:b/>
      <w:bCs/>
    </w:rPr>
  </w:style>
  <w:style w:type="paragraph" w:customStyle="1" w:styleId="18">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2"/>
    <w:link w:val="5"/>
    <w:autoRedefine/>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11008</Words>
  <Characters>14822</Characters>
  <Lines>190</Lines>
  <Paragraphs>53</Paragraphs>
  <TotalTime>0</TotalTime>
  <ScaleCrop>false</ScaleCrop>
  <LinksUpToDate>false</LinksUpToDate>
  <CharactersWithSpaces>15541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2025-09-24T05:35:43Z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