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垫江县高安镇人民政府</w:t>
      </w:r>
    </w:p>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1．主要职能。</w:t>
      </w:r>
    </w:p>
    <w:p>
      <w:pPr>
        <w:spacing w:line="594" w:lineRule="exact"/>
        <w:ind w:firstLine="640" w:firstLineChars="200"/>
        <w:rPr>
          <w:rFonts w:hint="default" w:ascii="仿宋_GB2312" w:hAnsi="方正仿宋_GBK" w:eastAsia="仿宋_GB2312" w:cs="方正仿宋_GBK"/>
          <w:sz w:val="32"/>
          <w:szCs w:val="32"/>
        </w:rPr>
      </w:pPr>
      <w:r>
        <w:rPr>
          <w:rFonts w:ascii="仿宋_GB2312" w:hAnsi="方正楷体_GBK" w:eastAsia="仿宋_GB2312" w:cs="方正楷体_GBK"/>
          <w:sz w:val="32"/>
          <w:szCs w:val="32"/>
        </w:rPr>
        <w:t>（1）</w:t>
      </w:r>
      <w:r>
        <w:rPr>
          <w:rFonts w:ascii="仿宋_GB2312" w:hAnsi="方正仿宋_GBK" w:eastAsia="仿宋_GB2312" w:cs="方正仿宋_GBK"/>
          <w:sz w:val="32"/>
          <w:szCs w:val="32"/>
        </w:rPr>
        <w:t>负责纪检、武装（退役军人）、政务公开等工作。负责机关文秘、会务、档案、保密、后勤服务等工作。负责牵头协调办理人大代表和政协委员的议案、提案、建议、意见。</w:t>
      </w:r>
      <w:r>
        <w:rPr>
          <w:rFonts w:ascii="仿宋_GB2312" w:eastAsia="仿宋_GB2312" w:cs="方正仿宋_GBK"/>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sz w:val="32"/>
          <w:szCs w:val="32"/>
        </w:rPr>
        <w:t>（2）</w:t>
      </w:r>
      <w:r>
        <w:rPr>
          <w:rFonts w:ascii="仿宋_GB2312" w:hAnsi="方正仿宋_GBK" w:eastAsia="仿宋_GB2312" w:cs="方正仿宋_GBK"/>
          <w:sz w:val="32"/>
          <w:szCs w:val="32"/>
        </w:rPr>
        <w:t>负责</w:t>
      </w:r>
      <w:r>
        <w:rPr>
          <w:rFonts w:ascii="仿宋_GB2312" w:eastAsia="仿宋_GB2312" w:cs="方正仿宋_GBK"/>
          <w:sz w:val="32"/>
          <w:szCs w:val="32"/>
        </w:rPr>
        <w:t>党的建设</w:t>
      </w:r>
      <w:r>
        <w:rPr>
          <w:rFonts w:ascii="仿宋_GB2312" w:hAnsi="方正仿宋_GBK" w:eastAsia="仿宋_GB2312" w:cs="方正仿宋_GBK"/>
          <w:sz w:val="32"/>
          <w:szCs w:val="32"/>
        </w:rPr>
        <w:t>、组织、宣传、统战、民宗侨台、（文服中心）机构编制、人事、绩效管理、群团、党务公开等相关工作。负责镇公共服务中心和村（社区）便民服务中心的监督和管理等工作。</w:t>
      </w:r>
      <w:r>
        <w:rPr>
          <w:rFonts w:ascii="仿宋_GB2312" w:eastAsia="仿宋_GB2312" w:cs="方正仿宋_GBK"/>
          <w:sz w:val="32"/>
          <w:szCs w:val="32"/>
        </w:rPr>
        <w:t>完成党委、政府交</w:t>
      </w:r>
      <w:r>
        <w:rPr>
          <w:rFonts w:ascii="仿宋_GB2312" w:eastAsia="仿宋_GB2312" w:cs="方正仿宋_GBK"/>
          <w:color w:val="000000"/>
          <w:sz w:val="32"/>
          <w:szCs w:val="32"/>
        </w:rPr>
        <w:t>办的其他工作。</w:t>
      </w:r>
    </w:p>
    <w:p>
      <w:pPr>
        <w:spacing w:line="594" w:lineRule="exact"/>
        <w:ind w:firstLine="640" w:firstLineChars="200"/>
        <w:rPr>
          <w:rFonts w:hint="default" w:ascii="仿宋_GB2312" w:eastAsia="仿宋_GB2312"/>
          <w:color w:val="000000"/>
        </w:rPr>
      </w:pPr>
      <w:r>
        <w:rPr>
          <w:rFonts w:ascii="仿宋_GB2312" w:hAnsi="方正楷体_GBK" w:eastAsia="仿宋_GB2312" w:cs="方正楷体_GBK"/>
          <w:color w:val="000000"/>
          <w:sz w:val="32"/>
          <w:szCs w:val="32"/>
        </w:rPr>
        <w:t>（3）</w:t>
      </w:r>
      <w:r>
        <w:rPr>
          <w:rFonts w:ascii="仿宋_GB2312" w:hAnsi="方正仿宋_GBK" w:eastAsia="仿宋_GB2312" w:cs="方正仿宋_GBK"/>
          <w:color w:val="000000"/>
          <w:sz w:val="32"/>
          <w:szCs w:val="32"/>
        </w:rPr>
        <w:t>负责镇人民代表大会、主席团履行法定职权的具体工作。组织人大代表视</w:t>
      </w:r>
      <w:r>
        <w:rPr>
          <w:rFonts w:ascii="仿宋_GB2312" w:eastAsia="仿宋_GB2312"/>
          <w:color w:val="000000"/>
          <w:sz w:val="32"/>
          <w:szCs w:val="32"/>
        </w:rPr>
        <w:t xml:space="preserve">察、调研、评议等工作。完成党委、人大主席团交办的其他工作。 </w:t>
      </w:r>
    </w:p>
    <w:p>
      <w:pPr>
        <w:spacing w:line="594" w:lineRule="exact"/>
        <w:ind w:firstLine="640" w:firstLineChars="200"/>
        <w:rPr>
          <w:rFonts w:hint="default" w:ascii="仿宋_GB2312" w:eastAsia="仿宋_GB2312" w:cs="方正仿宋_GBK"/>
          <w:color w:val="000000"/>
          <w:sz w:val="32"/>
          <w:szCs w:val="32"/>
        </w:rPr>
      </w:pPr>
      <w:r>
        <w:rPr>
          <w:rFonts w:ascii="仿宋_GB2312" w:hAnsi="方正楷体_GBK" w:eastAsia="仿宋_GB2312" w:cs="方正楷体_GBK"/>
          <w:color w:val="000000"/>
          <w:sz w:val="32"/>
          <w:szCs w:val="32"/>
        </w:rPr>
        <w:t>（4）</w:t>
      </w:r>
      <w:r>
        <w:rPr>
          <w:rFonts w:ascii="仿宋_GB2312" w:hAnsi="方正仿宋_GBK" w:eastAsia="仿宋_GB2312" w:cs="方正仿宋_GBK"/>
          <w:color w:val="000000"/>
          <w:sz w:val="32"/>
          <w:szCs w:val="32"/>
        </w:rPr>
        <w:t>承担促进镇、村（社区）经济发展职责。负责拟订</w:t>
      </w:r>
      <w:r>
        <w:rPr>
          <w:rFonts w:ascii="仿宋_GB2312" w:eastAsia="仿宋_GB2312" w:cs="方正仿宋_GBK"/>
          <w:color w:val="000000"/>
          <w:sz w:val="32"/>
          <w:szCs w:val="32"/>
        </w:rPr>
        <w:t>辖区</w:t>
      </w:r>
      <w:r>
        <w:rPr>
          <w:rFonts w:ascii="仿宋_GB2312" w:hAnsi="方正仿宋_GBK" w:eastAsia="仿宋_GB2312" w:cs="方正仿宋_GBK"/>
          <w:color w:val="000000"/>
          <w:sz w:val="32"/>
          <w:szCs w:val="32"/>
        </w:rPr>
        <w:t>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w:t>
      </w:r>
      <w:r>
        <w:rPr>
          <w:rFonts w:ascii="仿宋_GB2312" w:hAnsi="方正仿宋_GBK" w:eastAsia="仿宋_GB2312" w:cs="方正仿宋_GBK"/>
          <w:sz w:val="32"/>
          <w:szCs w:val="32"/>
        </w:rPr>
        <w:t>劳务输出（社保所）、移民安置（农服中心）等工作。</w:t>
      </w:r>
      <w:r>
        <w:rPr>
          <w:rFonts w:ascii="仿宋_GB2312" w:hAnsi="方正仿宋简体" w:eastAsia="仿宋_GB2312"/>
          <w:sz w:val="32"/>
          <w:szCs w:val="32"/>
        </w:rPr>
        <w:t>负责扶贫开发、脱贫攻坚、精准扶贫、精准脱贫等相关工作（农服中心）。</w:t>
      </w:r>
      <w:r>
        <w:rPr>
          <w:rFonts w:ascii="仿宋_GB2312" w:hAnsi="方正仿宋_GBK" w:eastAsia="仿宋_GB2312" w:cs="方正仿宋_GBK"/>
          <w:color w:val="000000"/>
          <w:sz w:val="32"/>
          <w:szCs w:val="32"/>
        </w:rPr>
        <w:t>负责生产经营企业等方面的安全监管工作。负责农民负担等工作。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eastAsia="仿宋_GB2312"/>
          <w:color w:val="000000"/>
        </w:rPr>
      </w:pPr>
      <w:r>
        <w:rPr>
          <w:rFonts w:ascii="仿宋_GB2312" w:hAnsi="方正楷体_GBK" w:eastAsia="仿宋_GB2312" w:cs="方正楷体_GBK"/>
          <w:color w:val="000000"/>
          <w:sz w:val="32"/>
          <w:szCs w:val="32"/>
        </w:rPr>
        <w:t>（5）</w:t>
      </w:r>
      <w:r>
        <w:rPr>
          <w:rFonts w:ascii="仿宋_GB2312" w:eastAsia="仿宋_GB2312" w:cs="方正仿宋_GBK"/>
          <w:color w:val="000000"/>
          <w:sz w:val="32"/>
          <w:szCs w:val="32"/>
        </w:rPr>
        <w:t>贯彻财经方针政策，执行财政法规、财经制度。</w:t>
      </w:r>
      <w:r>
        <w:rPr>
          <w:rFonts w:ascii="仿宋_GB2312" w:hAnsi="方正仿宋_GBK" w:eastAsia="仿宋_GB2312" w:cs="方正仿宋_GBK"/>
          <w:color w:val="000000"/>
          <w:sz w:val="32"/>
          <w:szCs w:val="32"/>
        </w:rPr>
        <w:t>负责财政收支、预决算、总会计、惠农资金兑付、财政资金监督检查、绩效评价、农村财务管理等工作。负责机关财务管理、国有资产管理。负责机关、所属事业单位及村（社区）财务内部审计及其他专项审计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（6）</w:t>
      </w:r>
      <w:r>
        <w:rPr>
          <w:rFonts w:ascii="仿宋_GB2312" w:eastAsia="仿宋_GB2312" w:cs="方正仿宋_GBK"/>
          <w:color w:val="000000"/>
          <w:sz w:val="32"/>
          <w:szCs w:val="32"/>
        </w:rPr>
        <w:t>宣传贯彻执行民政、教育、卫生健康、文化体育、社会救助、残疾人事业、劳动就业、社会保障等法律、法规、规章、政策。</w:t>
      </w:r>
      <w:r>
        <w:rPr>
          <w:rFonts w:ascii="仿宋_GB2312" w:hAnsi="方正仿宋_GBK" w:eastAsia="仿宋_GB2312" w:cs="方正仿宋_GBK"/>
          <w:color w:val="000000"/>
          <w:sz w:val="32"/>
          <w:szCs w:val="32"/>
        </w:rPr>
        <w:t>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（7）</w:t>
      </w:r>
      <w:r>
        <w:rPr>
          <w:rFonts w:ascii="仿宋_GB2312" w:hAnsi="方正仿宋_GBK" w:eastAsia="仿宋_GB2312" w:cs="方正仿宋_GBK"/>
          <w:color w:val="000000"/>
          <w:sz w:val="32"/>
          <w:szCs w:val="32"/>
        </w:rPr>
        <w:t>负责普法教育、防邪、禁毒、综治、信访、维稳等工作。负责基层民间矛盾纠纷调解工作。负责高铁沿线护路管理工作。组织、指导、协调、检查、督促辖区内各基层组织和企事业单位的社会治安综合治理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楷体_GBK" w:eastAsia="仿宋_GB2312" w:cs="方正楷体_GBK"/>
          <w:color w:val="000000"/>
          <w:sz w:val="32"/>
          <w:szCs w:val="32"/>
        </w:rPr>
      </w:pPr>
      <w:r>
        <w:rPr>
          <w:rFonts w:ascii="仿宋_GB2312" w:hAnsi="方正仿宋_GBK" w:eastAsia="仿宋_GB2312" w:cs="方正仿宋_GBK"/>
          <w:color w:val="000000"/>
          <w:sz w:val="32"/>
          <w:szCs w:val="32"/>
        </w:rPr>
        <w:t>（</w:t>
      </w:r>
      <w:r>
        <w:rPr>
          <w:rFonts w:ascii="仿宋_GB2312" w:hAnsi="方正楷体_GBK" w:eastAsia="仿宋_GB2312" w:cs="方正楷体_GBK"/>
          <w:color w:val="000000"/>
          <w:sz w:val="32"/>
          <w:szCs w:val="32"/>
        </w:rPr>
        <w:t>8）</w:t>
      </w:r>
      <w:r>
        <w:rPr>
          <w:rFonts w:ascii="仿宋_GB2312" w:hAnsi="方正仿宋_GBK" w:eastAsia="仿宋_GB2312" w:cs="方正仿宋_GBK"/>
          <w:color w:val="000000"/>
          <w:sz w:val="32"/>
          <w:szCs w:val="32"/>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（9）</w:t>
      </w:r>
      <w:r>
        <w:rPr>
          <w:rFonts w:ascii="仿宋_GB2312" w:hAnsi="方正仿宋_GBK" w:eastAsia="仿宋_GB2312" w:cs="方正仿宋_GBK"/>
          <w:color w:val="000000"/>
          <w:sz w:val="32"/>
          <w:szCs w:val="32"/>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（10）</w:t>
      </w:r>
      <w:r>
        <w:rPr>
          <w:rFonts w:ascii="仿宋_GB2312" w:hAnsi="方正仿宋_GBK" w:eastAsia="仿宋_GB2312" w:cs="方正仿宋_GBK"/>
          <w:color w:val="000000"/>
          <w:sz w:val="32"/>
          <w:szCs w:val="32"/>
        </w:rPr>
        <w:t>负责综合行政执法方面法律、法规和规章的宣传教育工作。集中行使依法授权或委托的农林水利、规划建设、环境保护、</w:t>
      </w:r>
      <w:r>
        <w:rPr>
          <w:rStyle w:val="16"/>
          <w:rFonts w:ascii="仿宋_GB2312" w:hAnsi="方正仿宋_GBK" w:eastAsia="仿宋_GB2312" w:cs="方正仿宋_GBK"/>
          <w:color w:val="000000"/>
          <w:sz w:val="32"/>
          <w:szCs w:val="32"/>
        </w:rPr>
        <w:t>卫生健康、</w:t>
      </w:r>
      <w:r>
        <w:rPr>
          <w:rFonts w:ascii="仿宋_GB2312" w:hAnsi="方正仿宋_GBK" w:eastAsia="仿宋_GB2312" w:cs="方正仿宋_GBK"/>
          <w:color w:val="000000"/>
          <w:sz w:val="32"/>
          <w:szCs w:val="32"/>
        </w:rPr>
        <w:t>市容环卫、文化旅游、民政管理</w:t>
      </w:r>
      <w:r>
        <w:rPr>
          <w:rStyle w:val="16"/>
          <w:rFonts w:ascii="仿宋_GB2312" w:hAnsi="方正仿宋_GBK" w:eastAsia="仿宋_GB2312" w:cs="方正仿宋_GBK"/>
          <w:color w:val="000000"/>
          <w:sz w:val="32"/>
          <w:szCs w:val="32"/>
        </w:rPr>
        <w:t>、</w:t>
      </w:r>
      <w:r>
        <w:rPr>
          <w:rFonts w:ascii="仿宋_GB2312" w:hAnsi="方正仿宋_GBK" w:eastAsia="仿宋_GB2312" w:cs="方正仿宋_GBK"/>
          <w:color w:val="000000"/>
          <w:sz w:val="32"/>
          <w:szCs w:val="32"/>
        </w:rPr>
        <w:t>消防等领域的行政执法权。负责综合行政执法文书的制作、发放、审核、回收及案卷管理工作。配合有关县级行政主管部门做好行政执法等工作。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（11）</w:t>
      </w:r>
      <w:r>
        <w:rPr>
          <w:rFonts w:ascii="仿宋_GB2312" w:hAnsi="方正仿宋_GBK" w:eastAsia="仿宋_GB2312" w:cs="方正仿宋_GBK"/>
          <w:color w:val="000000"/>
          <w:sz w:val="32"/>
          <w:szCs w:val="32"/>
        </w:rPr>
        <w:t>负责农业技术的引进、示范与推广。负责动植物病虫害、农业灾情的监测、预报、防治。负责农业生态环境和农业投入品使用监测。承担农产品、水产种苗、水产品质量安全</w:t>
      </w:r>
      <w:r>
        <w:rPr>
          <w:rFonts w:ascii="仿宋_GB2312" w:eastAsia="仿宋_GB2312" w:cs="方正仿宋_GBK"/>
          <w:color w:val="000000"/>
          <w:sz w:val="32"/>
          <w:szCs w:val="32"/>
        </w:rPr>
        <w:t>监管公共服务等工作</w:t>
      </w:r>
      <w:r>
        <w:rPr>
          <w:rFonts w:ascii="仿宋_GB2312" w:hAnsi="方正仿宋_GBK" w:eastAsia="仿宋_GB2312" w:cs="方正仿宋_GBK"/>
          <w:color w:val="000000"/>
          <w:sz w:val="32"/>
          <w:szCs w:val="32"/>
        </w:rPr>
        <w:t>。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（12）</w:t>
      </w:r>
      <w:r>
        <w:rPr>
          <w:rFonts w:ascii="仿宋_GB2312" w:hAnsi="方正仿宋_GBK" w:eastAsia="仿宋_GB2312" w:cs="方正仿宋_GBK"/>
          <w:color w:val="000000"/>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（13）</w:t>
      </w:r>
      <w:r>
        <w:rPr>
          <w:rFonts w:ascii="仿宋_GB2312" w:hAnsi="方正仿宋_GBK" w:eastAsia="仿宋_GB2312" w:cs="方正仿宋_GBK"/>
          <w:color w:val="000000"/>
          <w:sz w:val="32"/>
          <w:szCs w:val="32"/>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（14）</w:t>
      </w:r>
      <w:r>
        <w:rPr>
          <w:rFonts w:ascii="仿宋_GB2312" w:hAnsi="方正仿宋_GBK" w:eastAsia="仿宋_GB2312" w:cs="方正仿宋_GBK"/>
          <w:color w:val="000000"/>
          <w:sz w:val="32"/>
          <w:szCs w:val="32"/>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spacing w:line="594" w:lineRule="exact"/>
        <w:ind w:firstLine="640" w:firstLineChars="200"/>
        <w:rPr>
          <w:rFonts w:hint="default" w:ascii="仿宋_GB2312" w:hAnsi="仿宋" w:eastAsia="仿宋_GB2312"/>
          <w:sz w:val="32"/>
          <w:szCs w:val="32"/>
        </w:rPr>
      </w:pPr>
      <w:r>
        <w:rPr>
          <w:rFonts w:ascii="仿宋_GB2312" w:hAnsi="方正楷体_GBK" w:eastAsia="仿宋_GB2312" w:cs="方正楷体_GBK"/>
          <w:color w:val="000000"/>
          <w:sz w:val="32"/>
          <w:szCs w:val="32"/>
        </w:rPr>
        <w:t>（15）</w:t>
      </w:r>
      <w:r>
        <w:rPr>
          <w:rFonts w:ascii="仿宋_GB2312" w:hAnsi="方正仿宋_GBK" w:eastAsia="仿宋_GB2312" w:cs="方正仿宋_GBK"/>
          <w:color w:val="000000"/>
          <w:sz w:val="32"/>
          <w:szCs w:val="32"/>
        </w:rPr>
        <w:t>负责配合综合行政执法办公室做好有关</w:t>
      </w:r>
      <w:r>
        <w:rPr>
          <w:rStyle w:val="16"/>
          <w:rFonts w:ascii="仿宋_GB2312" w:hAnsi="方正仿宋_GBK" w:eastAsia="仿宋_GB2312" w:cs="方正仿宋_GBK"/>
          <w:color w:val="000000"/>
          <w:sz w:val="32"/>
          <w:szCs w:val="32"/>
        </w:rPr>
        <w:t>农林水利、规划建设、卫生健康、市容环卫、环境保护、文化旅游、民政管理、</w:t>
      </w:r>
      <w:r>
        <w:rPr>
          <w:rFonts w:ascii="仿宋_GB2312" w:hAnsi="方正仿宋_GBK" w:eastAsia="仿宋_GB2312" w:cs="方正仿宋_GBK"/>
          <w:color w:val="000000"/>
          <w:sz w:val="32"/>
          <w:szCs w:val="32"/>
        </w:rPr>
        <w:t>消防等方面的执法工作。</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spacing w:line="594" w:lineRule="exact"/>
        <w:ind w:firstLine="640" w:firstLineChars="200"/>
        <w:rPr>
          <w:rStyle w:val="16"/>
          <w:rFonts w:hint="default" w:ascii="仿宋_GB2312" w:hAnsi="方正仿宋_GBK" w:eastAsia="仿宋_GB2312" w:cs="方正仿宋_GBK"/>
          <w:color w:val="000000"/>
          <w:sz w:val="32"/>
          <w:szCs w:val="32"/>
        </w:rPr>
      </w:pPr>
      <w:r>
        <w:rPr>
          <w:rStyle w:val="16"/>
          <w:rFonts w:ascii="仿宋_GB2312" w:hAnsi="方正仿宋_GBK" w:eastAsia="仿宋_GB2312" w:cs="方正仿宋_GBK"/>
          <w:color w:val="000000"/>
          <w:sz w:val="32"/>
          <w:szCs w:val="32"/>
        </w:rPr>
        <w:t>机构情况：本部门内设10个行政站所室（党政办、党群办、人大办、经济发展办公室、财政办、社会事务办、平安建设办、规划建设管理环保办、应急管理办、综合执法办）和5个事业站所室（文化服务中心、社会就业保障事务中心、退役军人事务服务站、综合执法大队、农业服务中心）。</w:t>
      </w:r>
    </w:p>
    <w:p>
      <w:pPr>
        <w:spacing w:line="594" w:lineRule="exact"/>
        <w:ind w:firstLine="640" w:firstLineChars="200"/>
        <w:rPr>
          <w:rStyle w:val="16"/>
          <w:rFonts w:hint="default" w:ascii="仿宋_GB2312" w:hAnsi="方正仿宋_GBK" w:eastAsia="仿宋_GB2312" w:cs="方正仿宋_GBK"/>
          <w:color w:val="000000"/>
          <w:sz w:val="32"/>
          <w:szCs w:val="32"/>
        </w:rPr>
      </w:pPr>
      <w:r>
        <w:rPr>
          <w:rStyle w:val="16"/>
          <w:rFonts w:ascii="仿宋_GB2312" w:hAnsi="方正仿宋_GBK" w:eastAsia="仿宋_GB2312" w:cs="方正仿宋_GBK"/>
          <w:color w:val="000000"/>
          <w:sz w:val="32"/>
          <w:szCs w:val="32"/>
        </w:rPr>
        <w:t xml:space="preserve"> 人员情况：本部门现有在职职工80人。其中：行政人员40人，2022年43人，减少3人，主要为调离6人，退休</w:t>
      </w:r>
      <w:r>
        <w:rPr>
          <w:rFonts w:ascii="仿宋_GB2312" w:hAnsi="仿宋" w:eastAsia="仿宋_GB2312"/>
          <w:sz w:val="32"/>
          <w:szCs w:val="32"/>
        </w:rPr>
        <w:t>2人，</w:t>
      </w:r>
      <w:r>
        <w:rPr>
          <w:rStyle w:val="16"/>
          <w:rFonts w:ascii="仿宋_GB2312" w:hAnsi="方正仿宋_GBK" w:eastAsia="仿宋_GB2312" w:cs="方正仿宋_GBK"/>
          <w:color w:val="000000"/>
          <w:sz w:val="32"/>
          <w:szCs w:val="32"/>
        </w:rPr>
        <w:t>调入2人，新进3人。事业人员40人（其中：文化服务中心3人、社会就业保障事务中心9人、退役军人事务服务站3人、综合执法大队5人、农业服务中心19人），2022年37人，增加3人。主要为农业服务中心退休1人，新进3名事业人员，合计增加2人。文化服务中心新进1名事业人员。</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2023年度收入总计4519.14万元，支出总计</w:t>
      </w:r>
      <w:r>
        <w:rPr>
          <w:rFonts w:ascii="方正仿宋_GBK" w:hAnsi="方正仿宋_GBK" w:eastAsia="方正仿宋_GBK" w:cs="方正仿宋_GBK"/>
          <w:sz w:val="32"/>
          <w:szCs w:val="32"/>
        </w:rPr>
        <w:t>4519.14</w:t>
      </w:r>
      <w:r>
        <w:rPr>
          <w:rFonts w:ascii="方正仿宋_GBK" w:hAnsi="方正仿宋_GBK" w:eastAsia="方正仿宋_GBK" w:cs="方正仿宋_GBK"/>
          <w:sz w:val="32"/>
          <w:szCs w:val="32"/>
          <w:shd w:val="clear" w:color="auto" w:fill="FFFFFF"/>
        </w:rPr>
        <w:t>万元。收支较上年决算数减少2443.62万元，下降35.10%，主要原因一是受经济下行影响,本级税收收入减少，企业发展补助资金支出减少，二是落实过“紧日子”要求，严控各项支出，三是美丽宜居示范乡镇建设、车辆购置税用于公路等基础设施建设支出等项目资金安排减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3924.93万元，较上年决算数减少1404.17万元，下降26.35%，主要原因一是受经济下行影响,本级税收收入减少，二是美丽宜居示范乡镇建设、车辆购置税用于公路等基础设施建设支出等项目资金安排减少。其中：财政拨款收入</w:t>
      </w:r>
      <w:r>
        <w:rPr>
          <w:rFonts w:ascii="方正仿宋_GBK" w:hAnsi="方正仿宋_GBK" w:eastAsia="方正仿宋_GBK" w:cs="方正仿宋_GBK"/>
          <w:sz w:val="32"/>
          <w:szCs w:val="32"/>
        </w:rPr>
        <w:t>3924.93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594.21</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4011.93</w:t>
      </w:r>
      <w:r>
        <w:rPr>
          <w:rFonts w:ascii="方正仿宋_GBK" w:hAnsi="方正仿宋_GBK" w:eastAsia="方正仿宋_GBK" w:cs="方正仿宋_GBK"/>
          <w:sz w:val="32"/>
          <w:szCs w:val="32"/>
          <w:shd w:val="clear" w:color="auto" w:fill="FFFFFF"/>
        </w:rPr>
        <w:t>万元，较上年决算数减少2443.62万元，下降37.85%，主要原因一是受经济下行影响,本级税收收入减少，企业发展补助资金支出减少，二是落实过“紧日子”要求，严控各项支出，三是美丽宜居示范乡镇建设、车辆购置税用于公路等基础设施建设支出等项目资金安排减少。其中：基本支出</w:t>
      </w:r>
      <w:r>
        <w:rPr>
          <w:rFonts w:ascii="方正仿宋_GBK" w:hAnsi="方正仿宋_GBK" w:eastAsia="方正仿宋_GBK" w:cs="方正仿宋_GBK"/>
          <w:sz w:val="32"/>
          <w:szCs w:val="32"/>
        </w:rPr>
        <w:t>2833.75</w:t>
      </w:r>
      <w:r>
        <w:rPr>
          <w:rFonts w:ascii="方正仿宋_GBK" w:hAnsi="方正仿宋_GBK" w:eastAsia="方正仿宋_GBK" w:cs="方正仿宋_GBK"/>
          <w:sz w:val="32"/>
          <w:szCs w:val="32"/>
          <w:shd w:val="clear" w:color="auto" w:fill="FFFFFF"/>
        </w:rPr>
        <w:t>万元，占70.63%；项目支出</w:t>
      </w:r>
      <w:r>
        <w:rPr>
          <w:rFonts w:ascii="方正仿宋_GBK" w:hAnsi="方正仿宋_GBK" w:eastAsia="方正仿宋_GBK" w:cs="方正仿宋_GBK"/>
          <w:sz w:val="32"/>
          <w:szCs w:val="32"/>
        </w:rPr>
        <w:t>1178.18</w:t>
      </w:r>
      <w:r>
        <w:rPr>
          <w:rFonts w:ascii="方正仿宋_GBK" w:hAnsi="方正仿宋_GBK" w:eastAsia="方正仿宋_GBK" w:cs="方正仿宋_GBK"/>
          <w:sz w:val="32"/>
          <w:szCs w:val="32"/>
          <w:shd w:val="clear" w:color="auto" w:fill="FFFFFF"/>
        </w:rPr>
        <w:t>万元，占29.37%；经营支出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507.21</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sz w:val="32"/>
          <w:szCs w:val="32"/>
          <w:shd w:val="clear" w:color="auto" w:fill="FFFFFF"/>
        </w:rPr>
        <w:t>主要原因是本年度未使用</w:t>
      </w:r>
      <w:r>
        <w:rPr>
          <w:rFonts w:hint="default" w:ascii="Times New Roman" w:hAnsi="Times New Roman" w:eastAsia="方正仿宋_GBK"/>
          <w:sz w:val="32"/>
          <w:szCs w:val="32"/>
          <w:shd w:val="clear" w:color="auto" w:fill="FFFFFF"/>
        </w:rPr>
        <w:t>结转结余</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4011.93万元。与2022年相比，财政拨款收、支总计各减少2443.62万元，下降37.85%。主要原因一是受经济下行影响,本级税收收入减少，企业发展补助资金支出减少，二是落实过“紧日子”要求，严控各项支出，三是美丽宜居示范乡镇建设、车辆购置税用于公路等基础设施建设支出等项目资金安排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3781.50</w:t>
      </w:r>
      <w:r>
        <w:rPr>
          <w:rFonts w:ascii="方正仿宋_GBK" w:hAnsi="方正仿宋_GBK" w:eastAsia="方正仿宋_GBK" w:cs="方正仿宋_GBK"/>
          <w:sz w:val="32"/>
          <w:szCs w:val="32"/>
          <w:shd w:val="clear" w:color="auto" w:fill="FFFFFF"/>
        </w:rPr>
        <w:t>万元，较上年决算数减少1297.32万元，下降25.54%。主要原因一是受经济下行影响,本级税收收入减少，二是美丽宜居示范乡镇建设、车辆购置税用于公路等基础设施建设支出等项目资金安排减少。较年初预算数增加688.98万元，增长22.28%。主要原因是第五次全国经济普查、限上企业（个体）发展奖励、老党员生活补贴、食品药品安全协管员补助、农村综合改革转移支付、森林防火、衔接推进乡村振兴补助资金（农村环境卫生治理）、乡村振兴交通建设专项补助、农村公路日常养护补助、车辆购置税收入补助地方资金等转移支付资金增加。此外，年初财政拨款结转和结余</w:t>
      </w:r>
      <w:r>
        <w:rPr>
          <w:rFonts w:ascii="方正仿宋_GBK" w:hAnsi="方正仿宋_GBK" w:eastAsia="方正仿宋_GBK" w:cs="方正仿宋_GBK"/>
          <w:sz w:val="32"/>
          <w:szCs w:val="32"/>
        </w:rPr>
        <w:t>87.00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3868.51</w:t>
      </w:r>
      <w:r>
        <w:rPr>
          <w:rFonts w:ascii="方正仿宋_GBK" w:hAnsi="方正仿宋_GBK" w:eastAsia="方正仿宋_GBK" w:cs="方正仿宋_GBK"/>
          <w:sz w:val="32"/>
          <w:szCs w:val="32"/>
          <w:shd w:val="clear" w:color="auto" w:fill="FFFFFF"/>
        </w:rPr>
        <w:t>万元，较上年决算数减少2336.77万元，下降37.66%。主要原因一是受经济下行影响,本级税收收入减少，企业发展补助资金支出减少，二是落实过“紧日子”要求，严控各项支出，三是美丽宜居示范乡镇建设、车辆购置税用于公路等基础设施建设支出等项目资金安排减少。较年初预算数增加775.99万元，增长25.09%。主要原因一是第五次全国经济普查、限上企业（个体）发展奖励、老党员生活补贴、食品药品安全协管员补助、农村综合改革转移支付、森林防火、衔接推进乡村振兴补助资金（农村环境卫生治理）、乡村振兴交通建设专项补助、农村公路日常养护补助、车辆购置税收入补助地方资金等转移支付资金增加，二是财政存量资金安排森林植被恢复费（第一批）、市级林业改革发展和林业生态保护恢复国土绿化提升行动等支出增加。</w:t>
      </w: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xml:space="preserve">    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1283.38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33.18</w:t>
      </w:r>
      <w:r>
        <w:rPr>
          <w:rFonts w:ascii="方正仿宋_GBK" w:hAnsi="方正仿宋_GBK" w:eastAsia="方正仿宋_GBK" w:cs="方正仿宋_GBK"/>
          <w:sz w:val="32"/>
          <w:szCs w:val="32"/>
          <w:shd w:val="clear" w:color="auto" w:fill="FFFFFF"/>
        </w:rPr>
        <w:t>%，较年初预算数增加167.53万元，增长15.01%，主要原因是本年度财政追加第五次全国经济普查、限上企业（个体）发展奖励、老党员生活补贴、食品药品安全协管员补助资金等预算支出。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%，较年初预算数增加17.70万元，增长100.00%，主要原因是本年度财政追加劝导站人员补助、平安建设专项预算支出。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68.09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%，较年初预算数增加15.02万元，增长28.30%，主要原因是本年度财政追加公共图书馆、美术馆、文化馆（站）免费开发补助资金预算支出。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670.41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17.33</w:t>
      </w:r>
      <w:r>
        <w:rPr>
          <w:rFonts w:ascii="方正仿宋_GBK" w:hAnsi="方正仿宋_GBK" w:eastAsia="方正仿宋_GBK" w:cs="方正仿宋_GBK"/>
          <w:sz w:val="32"/>
          <w:szCs w:val="32"/>
          <w:shd w:val="clear" w:color="auto" w:fill="FFFFFF"/>
        </w:rPr>
        <w:t>%，较年初预算数增加77.12万元，增长13.00%，主要原因是本年度财政追加死亡抚恤金、退役军人补助、养老中心、站、点运行经费、民政专项补助等预算支出。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102.82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2.66</w:t>
      </w:r>
      <w:r>
        <w:rPr>
          <w:rFonts w:ascii="方正仿宋_GBK" w:hAnsi="方正仿宋_GBK" w:eastAsia="方正仿宋_GBK" w:cs="方正仿宋_GBK"/>
          <w:sz w:val="32"/>
          <w:szCs w:val="32"/>
          <w:shd w:val="clear" w:color="auto" w:fill="FFFFFF"/>
        </w:rPr>
        <w:t>%，较年初预算数增加32.57万元，增长46.36%，主要原因是本年度财政追加新冠疫情防控经费、医疗保险（行政）等预算支出。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43.36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w:t>
      </w:r>
      <w:r>
        <w:rPr>
          <w:rFonts w:ascii="方正仿宋_GBK" w:hAnsi="方正仿宋_GBK" w:eastAsia="方正仿宋_GBK" w:cs="方正仿宋_GBK"/>
          <w:sz w:val="32"/>
          <w:szCs w:val="32"/>
          <w:shd w:val="clear" w:color="auto" w:fill="FFFFFF"/>
        </w:rPr>
        <w:t>%，较年初预算数增加43.36万元，增长100.00%，主要原因是本年度财政追加生态保护和修复支撑体系专项、森林植被恢复费（第一批）预算支出。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214.83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5.55</w:t>
      </w:r>
      <w:r>
        <w:rPr>
          <w:rFonts w:ascii="方正仿宋_GBK" w:hAnsi="方正仿宋_GBK" w:eastAsia="方正仿宋_GBK" w:cs="方正仿宋_GBK"/>
          <w:sz w:val="32"/>
          <w:szCs w:val="32"/>
          <w:shd w:val="clear" w:color="auto" w:fill="FFFFFF"/>
        </w:rPr>
        <w:t>%，较年初预算数增加15.13万元，增长7.58%，主要原因是本年度财政增加清扫保洁、垃圾清运、河流清漂、市政设施运行维护等预算支出。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964.12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24.92</w:t>
      </w:r>
      <w:r>
        <w:rPr>
          <w:rFonts w:ascii="方正仿宋_GBK" w:hAnsi="方正仿宋_GBK" w:eastAsia="方正仿宋_GBK" w:cs="方正仿宋_GBK"/>
          <w:sz w:val="32"/>
          <w:szCs w:val="32"/>
          <w:shd w:val="clear" w:color="auto" w:fill="FFFFFF"/>
        </w:rPr>
        <w:t>%，较年初预算数增加67.73万元，增长7.56%，主要原因是本年度财政追加农村综合改革转移支付、森林防火、衔接推进乡村振兴补助资金（农村环境卫生治理）、市级林业改革发展和林业生态保护恢复国土绿化提升行动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146.14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3.78</w:t>
      </w:r>
      <w:r>
        <w:rPr>
          <w:rFonts w:ascii="方正仿宋_GBK" w:hAnsi="方正仿宋_GBK" w:eastAsia="方正仿宋_GBK" w:cs="方正仿宋_GBK"/>
          <w:sz w:val="32"/>
          <w:szCs w:val="32"/>
          <w:shd w:val="clear" w:color="auto" w:fill="FFFFFF"/>
        </w:rPr>
        <w:t>%，较年初预算数增加146.14万元，增长100.00%，主要原因是本年度财政追加乡村振兴交通建设专项补助、农村公路日常养护补助、车辆购置税收入补助地方资金等预算支出。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157.41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4.07</w:t>
      </w:r>
      <w:r>
        <w:rPr>
          <w:rFonts w:ascii="方正仿宋_GBK" w:hAnsi="方正仿宋_GBK" w:eastAsia="方正仿宋_GBK" w:cs="方正仿宋_GBK"/>
          <w:sz w:val="32"/>
          <w:szCs w:val="32"/>
          <w:shd w:val="clear" w:color="auto" w:fill="FFFFFF"/>
        </w:rPr>
        <w:t>%，较年初预算数增加107.41万元，增长214.82%，主要原因是本年度财政增加支持中小企业发展资金预算支出。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住房保障支出175.01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4.52</w:t>
      </w:r>
      <w:r>
        <w:rPr>
          <w:rFonts w:ascii="方正仿宋_GBK" w:hAnsi="方正仿宋_GBK" w:eastAsia="方正仿宋_GBK" w:cs="方正仿宋_GBK"/>
          <w:sz w:val="32"/>
          <w:szCs w:val="32"/>
          <w:shd w:val="clear" w:color="auto" w:fill="FFFFFF"/>
        </w:rPr>
        <w:t xml:space="preserve">%，较年初预算数增加61.03万元，增长53.54%，主要原因是本年度财政追加农村低收入群体等重点对象危房改造资金预算支出。 </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灾害防治及应急管理支出25.23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0.65</w:t>
      </w:r>
      <w:r>
        <w:rPr>
          <w:rFonts w:ascii="方正仿宋_GBK" w:hAnsi="方正仿宋_GBK" w:eastAsia="方正仿宋_GBK" w:cs="方正仿宋_GBK"/>
          <w:sz w:val="32"/>
          <w:szCs w:val="32"/>
          <w:shd w:val="clear" w:color="auto" w:fill="FFFFFF"/>
        </w:rPr>
        <w:t>%，较年初预算数增加25.23万元，增长100.00%，主要原因是本年度财政追加自然灾害救灾资金、地质灾害避险搬迁项目预算支出。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3"/>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2833.75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2499.01</w:t>
      </w:r>
      <w:r>
        <w:rPr>
          <w:rFonts w:ascii="方正仿宋_GBK" w:hAnsi="方正仿宋_GBK" w:eastAsia="方正仿宋_GBK" w:cs="方正仿宋_GBK"/>
          <w:sz w:val="32"/>
          <w:szCs w:val="32"/>
          <w:shd w:val="clear" w:color="auto" w:fill="FFFFFF"/>
        </w:rPr>
        <w:t>万元，较上年决算数增加525.17万元，增长26.61%，主要原因是</w:t>
      </w:r>
      <w:r>
        <w:rPr>
          <w:rFonts w:hint="eastAsia" w:ascii="方正仿宋_GBK" w:hAnsi="方正仿宋_GBK" w:eastAsia="方正仿宋_GBK" w:cs="方正仿宋_GBK"/>
          <w:sz w:val="32"/>
          <w:szCs w:val="32"/>
          <w:shd w:val="clear" w:color="auto" w:fill="FFFFFF"/>
        </w:rPr>
        <w:t>一是村社干部工资调标，人员经费支出增加，二是养老、医疗等社保缴费调标和补缴，人员经费支出增加，三是发放死亡抚恤，人员经费支出增加。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基本工资、津贴补贴、奖金、绩效工资、社会保障缴费、住房公积金、其他工资福利等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334.74</w:t>
      </w:r>
      <w:r>
        <w:rPr>
          <w:rFonts w:ascii="方正仿宋_GBK" w:hAnsi="方正仿宋_GBK" w:eastAsia="方正仿宋_GBK" w:cs="方正仿宋_GBK"/>
          <w:sz w:val="32"/>
          <w:szCs w:val="32"/>
          <w:shd w:val="clear" w:color="auto" w:fill="FFFFFF"/>
        </w:rPr>
        <w:t>万元，较上年决算数减少465.98万元，下降58.20%，主要原因是</w:t>
      </w:r>
      <w:r>
        <w:rPr>
          <w:rFonts w:hint="eastAsia" w:ascii="方正仿宋_GBK" w:hAnsi="方正仿宋_GBK" w:eastAsia="方正仿宋_GBK" w:cs="方正仿宋_GBK"/>
          <w:sz w:val="32"/>
          <w:szCs w:val="32"/>
          <w:shd w:val="clear" w:color="auto" w:fill="FFFFFF"/>
        </w:rPr>
        <w:t>落实过“紧日子”要求，严控各项支出。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eastAsia="方正仿宋_GBK" w:cs="宋体"/>
          <w:sz w:val="32"/>
          <w:szCs w:val="32"/>
        </w:rPr>
        <w:t>办公费、印刷费、水费、电费、邮电费、差旅费、租赁费、会议费、培训费、公务接待费、委托业务费、工会经费等。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143.25</w:t>
      </w:r>
      <w:r>
        <w:rPr>
          <w:rFonts w:ascii="方正仿宋_GBK" w:hAnsi="方正仿宋_GBK" w:eastAsia="方正仿宋_GBK" w:cs="方正仿宋_GBK"/>
          <w:sz w:val="32"/>
          <w:szCs w:val="32"/>
          <w:shd w:val="clear" w:color="auto" w:fill="FFFFFF"/>
        </w:rPr>
        <w:t>万元，较上年决算数减少107.03万元，下降42.76%，主要原因是本年度财政安排政府性基金预算，农村旧房整治提升市级专项补助资金增加，美丽宜居示范乡镇建设资金减少。本年支出</w:t>
      </w:r>
      <w:r>
        <w:rPr>
          <w:rFonts w:ascii="方正仿宋_GBK" w:hAnsi="方正仿宋_GBK" w:eastAsia="方正仿宋_GBK" w:cs="方正仿宋_GBK"/>
          <w:sz w:val="32"/>
          <w:szCs w:val="32"/>
        </w:rPr>
        <w:t>143.25</w:t>
      </w:r>
      <w:r>
        <w:rPr>
          <w:rFonts w:ascii="方正仿宋_GBK" w:hAnsi="方正仿宋_GBK" w:eastAsia="方正仿宋_GBK" w:cs="方正仿宋_GBK"/>
          <w:sz w:val="32"/>
          <w:szCs w:val="32"/>
          <w:shd w:val="clear" w:color="auto" w:fill="FFFFFF"/>
        </w:rPr>
        <w:t>万元，较上年决算数减少107.03万元，下降42.76%，主要原因是本年度财政安排政府性基金预算，农村旧房整治提升市级专项补助资金增加，美丽宜居示范乡镇建设资金减少。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万元，主要用途用于国有企业退休人员社会化管理补助费用支出。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13"/>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17.63</w:t>
      </w:r>
      <w:r>
        <w:rPr>
          <w:rFonts w:ascii="方正仿宋_GBK" w:hAnsi="方正仿宋_GBK" w:eastAsia="方正仿宋_GBK" w:cs="方正仿宋_GBK"/>
          <w:sz w:val="32"/>
          <w:szCs w:val="32"/>
          <w:shd w:val="clear" w:color="auto" w:fill="FFFFFF"/>
        </w:rPr>
        <w:t>万元，较年初预算数增加10.23万元，增长138.24%，主要原因</w:t>
      </w:r>
      <w:r>
        <w:rPr>
          <w:rFonts w:hint="eastAsia" w:ascii="方正仿宋_GBK" w:hAnsi="方正仿宋_GBK" w:eastAsia="方正仿宋_GBK" w:cs="方正仿宋_GBK"/>
          <w:sz w:val="32"/>
          <w:szCs w:val="32"/>
          <w:shd w:val="clear" w:color="auto" w:fill="FFFFFF"/>
        </w:rPr>
        <w:t>一是本部门有2辆公务用车，年初只预算了1辆公务用车费用，预算不足；二是公务接待费年初预算不足</w:t>
      </w:r>
      <w:r>
        <w:rPr>
          <w:rFonts w:ascii="方正仿宋_GBK" w:hAnsi="方正仿宋_GBK" w:eastAsia="方正仿宋_GBK" w:cs="方正仿宋_GBK"/>
          <w:sz w:val="32"/>
          <w:szCs w:val="32"/>
          <w:shd w:val="clear" w:color="auto" w:fill="FFFFFF"/>
        </w:rPr>
        <w:t>。较上年支出数减少0.37万元，下降2.06%，主要原因</w:t>
      </w:r>
      <w:r>
        <w:rPr>
          <w:rFonts w:hint="eastAsia" w:ascii="方正仿宋_GBK" w:eastAsia="方正仿宋_GBK" w:cs="宋体"/>
          <w:sz w:val="32"/>
          <w:szCs w:val="32"/>
          <w:shd w:val="clear" w:color="auto" w:fill="FFFFFF"/>
        </w:rPr>
        <w:t>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3"/>
        <w:spacing w:before="0" w:beforeAutospacing="0" w:after="0" w:afterAutospacing="0" w:line="594" w:lineRule="exact"/>
        <w:ind w:firstLine="640" w:firstLineChars="200"/>
        <w:jc w:val="both"/>
        <w:rPr>
          <w:rFonts w:cs="宋体"/>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万元，主要用于机要文件交换、市内因公出行、各项业务检查等工作所需车辆的燃料费、维修费、过桥过路费、保险费等。费用支出较年初预算数增加3.95万元，增长98.75%，主要</w:t>
      </w:r>
      <w:bookmarkStart w:id="0" w:name="_GoBack"/>
      <w:bookmarkEnd w:id="0"/>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本部门有2辆公务用车，年初只预算了1辆公务用车费用，预算不足。较上年支出数减少0.26万元，下降3.17%，主要原因是</w:t>
      </w:r>
      <w:r>
        <w:rPr>
          <w:rFonts w:ascii="方正仿宋_GBK" w:eastAsia="方正仿宋_GBK" w:cs="宋体"/>
          <w:sz w:val="32"/>
          <w:szCs w:val="32"/>
          <w:shd w:val="clear" w:color="auto" w:fill="FFFFFF"/>
        </w:rPr>
        <w:t>严格落实公车使用规定</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9.68</w:t>
      </w:r>
      <w:r>
        <w:rPr>
          <w:rFonts w:ascii="方正仿宋_GBK" w:hAnsi="方正仿宋_GBK" w:eastAsia="方正仿宋_GBK" w:cs="方正仿宋_GBK"/>
          <w:sz w:val="32"/>
          <w:szCs w:val="32"/>
          <w:shd w:val="clear" w:color="auto" w:fill="FFFFFF"/>
        </w:rPr>
        <w:t>万元，主要用于接待接待</w:t>
      </w:r>
      <w:r>
        <w:rPr>
          <w:rFonts w:ascii="方正仿宋_GBK" w:eastAsia="方正仿宋_GBK" w:cs="宋体"/>
          <w:sz w:val="32"/>
          <w:szCs w:val="32"/>
        </w:rPr>
        <w:t>招商引资企业洽谈项目支出</w:t>
      </w:r>
      <w:r>
        <w:rPr>
          <w:rFonts w:ascii="方正仿宋_GBK" w:hAnsi="方正仿宋_GBK" w:eastAsia="方正仿宋_GBK" w:cs="方正仿宋_GBK"/>
          <w:sz w:val="32"/>
          <w:szCs w:val="32"/>
          <w:shd w:val="clear" w:color="auto" w:fill="FFFFFF"/>
        </w:rPr>
        <w:t>。费用支出较年初预算数增加6.28万元，增长184.71%，主要原因是年初预算不足。较上年支出数减少0.11万元，下降1.12%，主要原因是认真贯彻落实中央八项规定精神，强化公务接待支出管理，严格遵守公务接待开支范围和开支标准，严格控制陪餐人数，对应由接待对象承担的费用一律由接待对象自行支付，公务接待费下降。</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1721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56.26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1.32</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6.81</w:t>
      </w:r>
      <w:r>
        <w:rPr>
          <w:rFonts w:ascii="方正仿宋_GBK" w:hAnsi="方正仿宋_GBK" w:eastAsia="方正仿宋_GBK" w:cs="方正仿宋_GBK"/>
          <w:sz w:val="32"/>
          <w:szCs w:val="32"/>
          <w:shd w:val="clear" w:color="auto" w:fill="FFFFFF"/>
        </w:rPr>
        <w:t>万元，较上年决算数减少4.40万元，下降39.25%，主要原因是2023年度政府本级会议活动减少。本年度培训费支出</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万元，较上年决算数减少3.70万元，下降43.53%，主要原因是2023年度参加县级培训、本级组织培训减少。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285.50</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办公费、印刷费、水费、电费、邮电费、差旅费、租赁费、会议费、培训费、公务接待费、委托业务费、工会经费等。</w:t>
      </w:r>
      <w:r>
        <w:rPr>
          <w:rFonts w:ascii="方正仿宋_GBK" w:hAnsi="方正仿宋_GBK" w:eastAsia="方正仿宋_GBK" w:cs="方正仿宋_GBK"/>
          <w:sz w:val="32"/>
          <w:szCs w:val="32"/>
          <w:shd w:val="clear" w:color="auto" w:fill="FFFFFF"/>
        </w:rPr>
        <w:t>主要原因是本年度开展食品安全、征兵、打击非法集资等宣传资料印刷费用增加，本年度增加政府及市政用水费用，本年度福利费、劳务费、委托业务费、其他交通费用等支出增加。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根据预算绩效管理要求，我部门对部门整体和67个二级项目开展了绩效自评，涉及项目支出资金1178.18万元。</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tbl>
      <w:tblPr>
        <w:tblStyle w:val="8"/>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48"/>
        <w:gridCol w:w="515"/>
        <w:gridCol w:w="515"/>
        <w:gridCol w:w="913"/>
        <w:gridCol w:w="499"/>
        <w:gridCol w:w="942"/>
        <w:gridCol w:w="454"/>
        <w:gridCol w:w="913"/>
        <w:gridCol w:w="347"/>
        <w:gridCol w:w="421"/>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36"/>
                <w:szCs w:val="36"/>
              </w:rPr>
              <w:t>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项目名称：</w:t>
            </w: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垫江县高安镇人民政府整体监控</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项目编码：</w:t>
            </w:r>
          </w:p>
        </w:tc>
        <w:tc>
          <w:tcPr>
            <w:tcW w:w="14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50023100023P000070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自评总分：</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100.00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18"/>
                <w:szCs w:val="18"/>
              </w:rPr>
            </w:pP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项目主管部门：</w:t>
            </w: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710-垫江县高安镇人民政府</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财政归口处室：</w:t>
            </w:r>
          </w:p>
        </w:tc>
        <w:tc>
          <w:tcPr>
            <w:tcW w:w="14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014-会计管理核算中心</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部门联系人：</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eastAsia" w:eastAsia="宋体" w:cs="宋体"/>
                <w:color w:val="000000"/>
                <w:sz w:val="18"/>
                <w:szCs w:val="18"/>
                <w:lang w:eastAsia="zh-CN"/>
              </w:rPr>
            </w:pPr>
            <w:r>
              <w:rPr>
                <w:rFonts w:hint="eastAsia" w:cs="宋体"/>
                <w:color w:val="000000"/>
                <w:sz w:val="18"/>
                <w:szCs w:val="18"/>
                <w:lang w:eastAsia="zh-CN"/>
              </w:rPr>
              <w:t>杨老师</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联系电话：</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18"/>
                <w:szCs w:val="18"/>
                <w:lang w:eastAsia="zh-CN"/>
              </w:rPr>
            </w:pPr>
            <w:r>
              <w:rPr>
                <w:rFonts w:hint="eastAsia" w:cs="宋体"/>
                <w:color w:val="000000"/>
                <w:sz w:val="18"/>
                <w:szCs w:val="18"/>
                <w:lang w:eastAsia="zh-CN"/>
              </w:rPr>
              <w:t>023-74552700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5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color w:val="000000"/>
                <w:sz w:val="18"/>
                <w:szCs w:val="18"/>
              </w:rPr>
            </w:pPr>
          </w:p>
        </w:tc>
        <w:tc>
          <w:tcPr>
            <w:tcW w:w="14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年初预算数</w:t>
            </w:r>
          </w:p>
        </w:tc>
        <w:tc>
          <w:tcPr>
            <w:tcW w:w="14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全年（调整）预算数</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全年执行数</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rPr>
              <w:t>执行率权重</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年度总金额</w:t>
            </w:r>
          </w:p>
        </w:tc>
        <w:tc>
          <w:tcPr>
            <w:tcW w:w="5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51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33,008,350.66 </w:t>
            </w:r>
          </w:p>
        </w:tc>
        <w:tc>
          <w:tcPr>
            <w:tcW w:w="49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4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39,846,470.96 </w:t>
            </w:r>
          </w:p>
        </w:tc>
        <w:tc>
          <w:tcPr>
            <w:tcW w:w="45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39,846,470.96 </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其中：财政拨款</w:t>
            </w:r>
          </w:p>
        </w:tc>
        <w:tc>
          <w:tcPr>
            <w:tcW w:w="5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51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33,008,350.66 </w:t>
            </w:r>
          </w:p>
        </w:tc>
        <w:tc>
          <w:tcPr>
            <w:tcW w:w="49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4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39,846,470.96 </w:t>
            </w:r>
          </w:p>
        </w:tc>
        <w:tc>
          <w:tcPr>
            <w:tcW w:w="45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39,846,470.96 </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10.00</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一般公共预算</w:t>
            </w:r>
          </w:p>
        </w:tc>
        <w:tc>
          <w:tcPr>
            <w:tcW w:w="5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51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31,162,702.36 </w:t>
            </w:r>
          </w:p>
        </w:tc>
        <w:tc>
          <w:tcPr>
            <w:tcW w:w="49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4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38,412,216.56 </w:t>
            </w:r>
          </w:p>
        </w:tc>
        <w:tc>
          <w:tcPr>
            <w:tcW w:w="45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38,412,216.56 </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99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年初绩效目标</w:t>
            </w:r>
          </w:p>
        </w:tc>
        <w:tc>
          <w:tcPr>
            <w:tcW w:w="280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全年（调整）绩效目标</w:t>
            </w:r>
          </w:p>
        </w:tc>
        <w:tc>
          <w:tcPr>
            <w:tcW w:w="15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399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高安镇党委、政府认真贯彻落实上级相关要求，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80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rPr>
                <w:rFonts w:hint="default" w:cs="宋体"/>
                <w:color w:val="000000"/>
                <w:sz w:val="18"/>
                <w:szCs w:val="18"/>
              </w:rPr>
            </w:pPr>
          </w:p>
        </w:tc>
        <w:tc>
          <w:tcPr>
            <w:tcW w:w="15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2023年我镇各项工作顺利推进，各个项目顺利开展，保障了人民生活，促进了经济发展，总体完成情况较好，群众满意度高。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指标名称</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计量单位</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指标性质</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指标值</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全年完成值</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偏离度（%）</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得分系数（%）</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指标权重</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指标得分</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是否核心指标</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宝鼎山文旅资源开发和森林康养基地建设</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个</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购置多功能洒水车，提升城镇综合管理水平</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辆</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开展桨板赛、龙舟赛等水上赛事活动）</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次</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森林防火处置率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社区网格员覆盖率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生活垃圾处理、人居环境整治、城区保洁等</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吨</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3200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3200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4</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4</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实施卫生厕所改造</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户</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通过“党建+社会救助”模式，开展民政优抚等困难群众救助</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人</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3200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3200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乡村振兴示范村（河兴、东桥），巩固村（协合），重点村（金桥）</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个</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新安装太阳能路灯（三五、河兴、跳石等村）</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盏</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新建改建农村公路</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公里</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4</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4</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疫情防控处置率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征兵完成率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辖区河道水质</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类</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三季度预算执行进度</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75</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75</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应公开的政务信息公开率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预决算按时公开率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全年预算支出执行率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95</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95</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辖区农民人均纯收入增长量</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一般公共预算收入完成率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辖区干部满意率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95</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95</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辖区群众满意度</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bl>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pPr>
        <w:pStyle w:val="12"/>
        <w:autoSpaceDE w:val="0"/>
        <w:ind w:firstLine="0" w:firstLineChars="0"/>
        <w:rPr>
          <w:rStyle w:val="11"/>
          <w:rFonts w:ascii="方正仿宋_GBK" w:hAnsi="方正仿宋_GBK" w:eastAsia="方正仿宋_GBK" w:cs="方正仿宋_GBK"/>
          <w:sz w:val="32"/>
          <w:szCs w:val="32"/>
          <w:shd w:val="clear" w:color="auto" w:fill="FFFFFF"/>
        </w:rPr>
      </w:pPr>
      <w:r>
        <w:rPr>
          <w:rStyle w:val="11"/>
          <w:rFonts w:hint="eastAsia"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本部门决算公开信息反馈和联系方式：023-74552700</w:t>
      </w:r>
    </w:p>
    <w:p>
      <w:pPr>
        <w:rPr>
          <w:rFonts w:hint="default" w:cs="宋体"/>
          <w:sz w:val="21"/>
          <w:szCs w:val="21"/>
        </w:rPr>
      </w:pPr>
    </w:p>
    <w:tbl>
      <w:tblPr>
        <w:tblStyle w:val="8"/>
        <w:tblW w:w="22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81"/>
        <w:gridCol w:w="4358"/>
        <w:gridCol w:w="7536"/>
        <w:gridCol w:w="3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pPr>
              <w:textAlignment w:val="bottom"/>
              <w:rPr>
                <w:rFonts w:hint="default" w:cs="宋体"/>
                <w:color w:val="000000"/>
              </w:rPr>
            </w:pPr>
            <w:r>
              <w:rPr>
                <w:rFonts w:cs="宋体"/>
              </w:rPr>
              <w:t>公开部门：垫江县高安镇人民政府</w:t>
            </w:r>
          </w:p>
        </w:tc>
        <w:tc>
          <w:tcPr>
            <w:tcW w:w="4358"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3,781.50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670.41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357.92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3,924.93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4,011.93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594.21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507.21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4,519.14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4,519.14 </w:t>
            </w:r>
          </w:p>
        </w:tc>
      </w:tr>
    </w:tbl>
    <w:p>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公开部门：垫江县高安镇人民政府</w:t>
            </w:r>
          </w:p>
        </w:tc>
        <w:tc>
          <w:tcPr>
            <w:tcW w:w="241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3,924.93 </w:t>
            </w:r>
          </w:p>
        </w:tc>
        <w:tc>
          <w:tcPr>
            <w:tcW w:w="239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3,924.93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3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1,280.23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1,280.23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1,101.33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1,101.33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1,012.86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1,012.86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61.76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61.76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670.41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670.41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165.67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165.67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164.98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164.98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366.85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366.85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145.81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145.81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62.51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62.51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35.37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35.37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61.56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61.56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52.05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52.05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102.82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102.82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30.07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30.07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357.92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357.92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83.87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83.87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农村基础设施建设支出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2121399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954.43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954.43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326.05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326.05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313.72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313.72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137.05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137.05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51.21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51.21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21.74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21.74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150.88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150.88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22960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彩票公益金安排的支出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2296006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bl>
    <w:p>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8"/>
        <w:tblW w:w="22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公开部门</w:t>
            </w:r>
            <w:r>
              <w:rPr>
                <w:rFonts w:cs="宋体"/>
                <w:color w:val="000000"/>
              </w:rPr>
              <w:t xml:space="preserve">： </w:t>
            </w:r>
            <w:r>
              <w:rPr>
                <w:color w:val="000000"/>
              </w:rPr>
              <w:t xml:space="preserve">垫江县高安镇人民政府 </w:t>
            </w: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4,011.93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2,833.75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1,178.18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77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1,283.38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267.37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1,104.48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88.47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61.76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61.76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61.76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61.76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670.41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613.32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57.09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165.67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164.98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164.98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164.98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366.85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366.85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62.51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62.51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35.37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5.93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61.56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52.05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52.05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52.05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102.82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11.90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30.07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30.07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天然林保护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森林管护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357.92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274.05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农村基础设施建设支出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2121399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964.12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833.51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326.05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313.72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313.72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313.72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其他林业和草原支出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519.79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88.59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519.79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48.59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146.14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146.14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175.01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22960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彩票公益金安排的支出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2296006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bl>
    <w:p>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68"/>
        <w:gridCol w:w="2674"/>
        <w:gridCol w:w="3752"/>
        <w:gridCol w:w="2952"/>
        <w:gridCol w:w="2952"/>
        <w:gridCol w:w="2952"/>
        <w:gridCol w:w="3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公开部门</w:t>
            </w:r>
            <w:r>
              <w:rPr>
                <w:rFonts w:cs="宋体"/>
                <w:color w:val="000000"/>
              </w:rPr>
              <w:t xml:space="preserve">： </w:t>
            </w:r>
            <w:r>
              <w:rPr>
                <w:color w:val="000000"/>
              </w:rPr>
              <w:t>垫江县高安镇人民政府</w:t>
            </w:r>
          </w:p>
        </w:tc>
        <w:tc>
          <w:tcPr>
            <w:tcW w:w="37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3,781.50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68.09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68.09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670.41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670.41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102.82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102.82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357.92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214.83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143.10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964.12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964.12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175.01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175.01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3,924.93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4,011.93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3,868.51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87.00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87.00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4,011.93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4,011.93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3,868.51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143.25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bl>
    <w:p>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94"/>
        <w:gridCol w:w="5151"/>
        <w:gridCol w:w="4817"/>
        <w:gridCol w:w="4817"/>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公开部门</w:t>
            </w:r>
            <w:r>
              <w:rPr>
                <w:rFonts w:cs="宋体"/>
                <w:color w:val="000000"/>
              </w:rPr>
              <w:t xml:space="preserve">： </w:t>
            </w:r>
            <w:r>
              <w:rPr>
                <w:color w:val="000000"/>
              </w:rPr>
              <w:t>垫江县高安镇人民政府</w:t>
            </w: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3,868.51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2,833.75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1,034.76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1,283.38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267.37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11.57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0.61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7.29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3.68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0.30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1,104.48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1,016.02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3.23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9.44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9.44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30.67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27.98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27.98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2.69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0.88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114.66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114.66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17.70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11.04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68.09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61.76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68.09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61.76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61.76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61.76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670.41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613.32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165.67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164.98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164.98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164.98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366.85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366.85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145.81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145.81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62.51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62.51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158.54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158.54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35.37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29.44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5.81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22.20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22.20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13.82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12.82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61.56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52.05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52.05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52.05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102.82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90.91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90.91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90.91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60.84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60.84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30.07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30.07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2.42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2.42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天然林保护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40.94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森林管护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40.94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214.83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83.87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83.87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83.87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83.87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83.87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130.96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964.12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833.51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326.05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313.72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313.72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313.72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12.45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其他林业和草原支出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7.45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17.24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608.38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519.79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568.38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519.79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146.14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60.29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85.85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85.85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175.01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134.36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40.65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134.36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134.36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134.36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134.36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25.23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19.50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18.00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 </w:t>
            </w:r>
          </w:p>
        </w:tc>
      </w:tr>
    </w:tbl>
    <w:p>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公开部门</w:t>
            </w:r>
            <w:r>
              <w:rPr>
                <w:rFonts w:cs="宋体"/>
                <w:color w:val="000000"/>
              </w:rPr>
              <w:t xml:space="preserve">： </w:t>
            </w:r>
            <w:r>
              <w:rPr>
                <w:color w:val="000000"/>
              </w:rPr>
              <w:t>垫江县高安镇人民政府</w:t>
            </w:r>
          </w:p>
        </w:tc>
        <w:tc>
          <w:tcPr>
            <w:tcW w:w="282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1,790.14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332.03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350.95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186.80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344.24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413.48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6.04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145.81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9.94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62.51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38.12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86.70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8.11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85.68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137.52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13.77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708.87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6.99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29.44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663.95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3.56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11.38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81.28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21.43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17.87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33.83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2,499.01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334.74 </w:t>
            </w:r>
          </w:p>
        </w:tc>
      </w:tr>
    </w:tbl>
    <w:p>
      <w:pPr>
        <w:rPr>
          <w:rFonts w:hint="default"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公开部门</w:t>
            </w:r>
            <w:r>
              <w:rPr>
                <w:rFonts w:cs="宋体"/>
                <w:color w:val="000000"/>
              </w:rPr>
              <w:t xml:space="preserve">： </w:t>
            </w:r>
            <w:r>
              <w:rPr>
                <w:color w:val="000000"/>
              </w:rPr>
              <w:t>垫江县高安镇人民政府</w:t>
            </w: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2120804</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农村基础设施建设支出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21213</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城市基础设施配套费安排的支出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2121399</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其他城市基础设施配套费安排的支出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229</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其他支出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22960</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彩票公益金安排的支出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2296006</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用于残疾人事业的彩票公益金支出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bl>
    <w:p>
      <w:pPr>
        <w:rPr>
          <w:rFonts w:hint="default" w:cs="宋体"/>
          <w:sz w:val="21"/>
          <w:szCs w:val="21"/>
        </w:rPr>
      </w:pPr>
      <w:r>
        <w:rPr>
          <w:rFonts w:cs="宋体"/>
          <w:sz w:val="21"/>
          <w:szCs w:val="21"/>
        </w:rPr>
        <w:t>备注：1.本表反映部门本年度政府性基金预算财政拨款收入支出及结转和结余情况。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29"/>
        <w:gridCol w:w="4420"/>
        <w:gridCol w:w="4736"/>
        <w:gridCol w:w="5423"/>
        <w:gridCol w:w="4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公开部门</w:t>
            </w:r>
            <w:r>
              <w:rPr>
                <w:rFonts w:cs="宋体"/>
                <w:color w:val="000000"/>
              </w:rPr>
              <w:t xml:space="preserve">： </w:t>
            </w:r>
            <w:r>
              <w:rPr>
                <w:color w:val="000000"/>
              </w:rPr>
              <w:t>垫江县高安镇人民政府</w:t>
            </w:r>
          </w:p>
        </w:tc>
        <w:tc>
          <w:tcPr>
            <w:tcW w:w="47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r>
    </w:tbl>
    <w:p>
      <w:pPr>
        <w:rPr>
          <w:rFonts w:hint="default" w:cs="宋体"/>
          <w:sz w:val="21"/>
          <w:szCs w:val="21"/>
        </w:rPr>
      </w:pPr>
      <w:r>
        <w:rPr>
          <w:rFonts w:cs="宋体"/>
          <w:sz w:val="21"/>
          <w:szCs w:val="21"/>
        </w:rPr>
        <w:t>备注：1.本表反映部门本年度国有资本经营预算财政拨款支出情况。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9"/>
        <w:gridCol w:w="3822"/>
        <w:gridCol w:w="3281"/>
        <w:gridCol w:w="6581"/>
        <w:gridCol w:w="3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515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159" w:type="dxa"/>
            <w:tcBorders>
              <w:top w:val="nil"/>
              <w:left w:val="nil"/>
              <w:bottom w:val="nil"/>
              <w:right w:val="nil"/>
            </w:tcBorders>
            <w:tcMar>
              <w:top w:w="15" w:type="dxa"/>
              <w:left w:w="15" w:type="dxa"/>
              <w:right w:w="15" w:type="dxa"/>
            </w:tcMar>
            <w:vAlign w:val="bottom"/>
          </w:tcPr>
          <w:p>
            <w:pPr>
              <w:textAlignment w:val="bottom"/>
              <w:rPr>
                <w:rFonts w:hint="default" w:ascii="Arial" w:hAnsi="Arial" w:cs="Arial"/>
                <w:color w:val="000000"/>
                <w:sz w:val="22"/>
                <w:szCs w:val="22"/>
              </w:rPr>
            </w:pPr>
            <w:r>
              <w:rPr>
                <w:rFonts w:cs="宋体"/>
              </w:rPr>
              <w:t>公开部门</w:t>
            </w:r>
            <w:r>
              <w:rPr>
                <w:rFonts w:cs="宋体"/>
                <w:color w:val="000000"/>
              </w:rPr>
              <w:t xml:space="preserve">： </w:t>
            </w:r>
            <w:r>
              <w:rPr>
                <w:color w:val="000000"/>
              </w:rPr>
              <w:t>垫江县高安镇人民政府</w:t>
            </w:r>
          </w:p>
        </w:tc>
        <w:tc>
          <w:tcPr>
            <w:tcW w:w="3822" w:type="dxa"/>
            <w:tcBorders>
              <w:top w:val="nil"/>
              <w:left w:val="nil"/>
              <w:bottom w:val="nil"/>
              <w:right w:val="nil"/>
            </w:tcBorders>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285.50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17.63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17.63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285.50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345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1,721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6.81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4.80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ascii="宋体" w:hAnsi="宋体" w:eastAsia="宋体" w:cs="Times New Roman"/>
        <w:sz w:val="18"/>
        <w:szCs w:val="18"/>
        <w:lang w:val="en-US" w:eastAsia="zh-CN" w:bidi="ar-SA"/>
      </w:rPr>
      <w:pict>
        <v:rect id="文本框 1" o:spid="_x0000_s4097"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39 -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4"/>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wOTdhODNkZWZiMWQzYjRhMWRiMDM2MTBlZTVlZDUifQ=="/>
  </w:docVars>
  <w:rsids>
    <w:rsidRoot w:val="00B03CCD"/>
    <w:rsid w:val="000B0F27"/>
    <w:rsid w:val="001159F1"/>
    <w:rsid w:val="002E5443"/>
    <w:rsid w:val="00495662"/>
    <w:rsid w:val="00550ABE"/>
    <w:rsid w:val="005C45BD"/>
    <w:rsid w:val="007A0402"/>
    <w:rsid w:val="007B419D"/>
    <w:rsid w:val="009B67B8"/>
    <w:rsid w:val="00B03CCD"/>
    <w:rsid w:val="00B21321"/>
    <w:rsid w:val="00B91DB2"/>
    <w:rsid w:val="00B920D3"/>
    <w:rsid w:val="00C92FFD"/>
    <w:rsid w:val="00E76362"/>
    <w:rsid w:val="00EC093F"/>
    <w:rsid w:val="00F73F90"/>
    <w:rsid w:val="01474EBF"/>
    <w:rsid w:val="01F3521E"/>
    <w:rsid w:val="03B87EA0"/>
    <w:rsid w:val="03E3214F"/>
    <w:rsid w:val="040873CC"/>
    <w:rsid w:val="044C50BA"/>
    <w:rsid w:val="056019C4"/>
    <w:rsid w:val="05BC6D49"/>
    <w:rsid w:val="06194FF1"/>
    <w:rsid w:val="06A2550B"/>
    <w:rsid w:val="06F80EE2"/>
    <w:rsid w:val="07001CCA"/>
    <w:rsid w:val="075678DB"/>
    <w:rsid w:val="079D7CC7"/>
    <w:rsid w:val="08051BCA"/>
    <w:rsid w:val="08544BF1"/>
    <w:rsid w:val="086C12F4"/>
    <w:rsid w:val="08BA052C"/>
    <w:rsid w:val="08DB07BA"/>
    <w:rsid w:val="0969353F"/>
    <w:rsid w:val="098305D0"/>
    <w:rsid w:val="0A5C4B69"/>
    <w:rsid w:val="0A86124A"/>
    <w:rsid w:val="0AB54CC0"/>
    <w:rsid w:val="0B9335CE"/>
    <w:rsid w:val="0C7927C4"/>
    <w:rsid w:val="0C9B098C"/>
    <w:rsid w:val="0D673E11"/>
    <w:rsid w:val="0DDA54E4"/>
    <w:rsid w:val="0E1870BA"/>
    <w:rsid w:val="0E3A5F83"/>
    <w:rsid w:val="0E833B53"/>
    <w:rsid w:val="0F836721"/>
    <w:rsid w:val="0FA25D96"/>
    <w:rsid w:val="101366C9"/>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D45111"/>
    <w:rsid w:val="1EF67CA4"/>
    <w:rsid w:val="1F020D3A"/>
    <w:rsid w:val="1F2C5189"/>
    <w:rsid w:val="1F4B0B02"/>
    <w:rsid w:val="1FBB35CD"/>
    <w:rsid w:val="1FCD26AF"/>
    <w:rsid w:val="20642787"/>
    <w:rsid w:val="21556F04"/>
    <w:rsid w:val="22403BD3"/>
    <w:rsid w:val="24B92327"/>
    <w:rsid w:val="24C14514"/>
    <w:rsid w:val="2533755C"/>
    <w:rsid w:val="25791755"/>
    <w:rsid w:val="26396DF4"/>
    <w:rsid w:val="27016962"/>
    <w:rsid w:val="27167136"/>
    <w:rsid w:val="27B23302"/>
    <w:rsid w:val="29310A5F"/>
    <w:rsid w:val="29C37A35"/>
    <w:rsid w:val="2A076083"/>
    <w:rsid w:val="2A704F1B"/>
    <w:rsid w:val="2A73162E"/>
    <w:rsid w:val="2AC30F65"/>
    <w:rsid w:val="2B167953"/>
    <w:rsid w:val="2B200583"/>
    <w:rsid w:val="2B8209DE"/>
    <w:rsid w:val="2C6762A3"/>
    <w:rsid w:val="2EBF7B3E"/>
    <w:rsid w:val="2FCA4B37"/>
    <w:rsid w:val="2FE029D7"/>
    <w:rsid w:val="2FF06E00"/>
    <w:rsid w:val="30562E26"/>
    <w:rsid w:val="30586FEC"/>
    <w:rsid w:val="30E71E1F"/>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B43796B"/>
    <w:rsid w:val="3C566AD6"/>
    <w:rsid w:val="3C6A5B02"/>
    <w:rsid w:val="3CCE107C"/>
    <w:rsid w:val="3D2757A1"/>
    <w:rsid w:val="3D3D4FC4"/>
    <w:rsid w:val="3DDF3AB1"/>
    <w:rsid w:val="3E1D0952"/>
    <w:rsid w:val="3E42660A"/>
    <w:rsid w:val="3E7555B1"/>
    <w:rsid w:val="3E787ED9"/>
    <w:rsid w:val="3EEC37F3"/>
    <w:rsid w:val="3F032E6D"/>
    <w:rsid w:val="3F032E93"/>
    <w:rsid w:val="3F0527E5"/>
    <w:rsid w:val="3F694D83"/>
    <w:rsid w:val="3F885DCC"/>
    <w:rsid w:val="3FCD675E"/>
    <w:rsid w:val="4004000C"/>
    <w:rsid w:val="411B6CE5"/>
    <w:rsid w:val="412070D7"/>
    <w:rsid w:val="41314E40"/>
    <w:rsid w:val="41E0734B"/>
    <w:rsid w:val="42456BB8"/>
    <w:rsid w:val="426554D0"/>
    <w:rsid w:val="426C1EA8"/>
    <w:rsid w:val="42736402"/>
    <w:rsid w:val="42E86A87"/>
    <w:rsid w:val="43307B09"/>
    <w:rsid w:val="43BB152F"/>
    <w:rsid w:val="44C37687"/>
    <w:rsid w:val="45B01677"/>
    <w:rsid w:val="45CB699A"/>
    <w:rsid w:val="465B470D"/>
    <w:rsid w:val="469D6AD4"/>
    <w:rsid w:val="471E6C84"/>
    <w:rsid w:val="4748792B"/>
    <w:rsid w:val="475D719D"/>
    <w:rsid w:val="47674801"/>
    <w:rsid w:val="48225EF7"/>
    <w:rsid w:val="488F422B"/>
    <w:rsid w:val="48E36915"/>
    <w:rsid w:val="495C4A24"/>
    <w:rsid w:val="497135DF"/>
    <w:rsid w:val="499D6020"/>
    <w:rsid w:val="49EC6792"/>
    <w:rsid w:val="4A263DF2"/>
    <w:rsid w:val="4A6F6675"/>
    <w:rsid w:val="4B135857"/>
    <w:rsid w:val="4B7951CB"/>
    <w:rsid w:val="4B7C315C"/>
    <w:rsid w:val="4DAC4ACA"/>
    <w:rsid w:val="4DBE01D2"/>
    <w:rsid w:val="4F0C6BA3"/>
    <w:rsid w:val="4F186D58"/>
    <w:rsid w:val="4F8A3019"/>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A14913"/>
    <w:rsid w:val="55BE2E85"/>
    <w:rsid w:val="56530F5D"/>
    <w:rsid w:val="567700D3"/>
    <w:rsid w:val="56920C45"/>
    <w:rsid w:val="56FF7E9E"/>
    <w:rsid w:val="578867FC"/>
    <w:rsid w:val="5842572D"/>
    <w:rsid w:val="58EB53F7"/>
    <w:rsid w:val="5A3B59D6"/>
    <w:rsid w:val="5AD134D8"/>
    <w:rsid w:val="5C263CE4"/>
    <w:rsid w:val="5C5D2777"/>
    <w:rsid w:val="5CF66BF3"/>
    <w:rsid w:val="5D290C69"/>
    <w:rsid w:val="5D63201B"/>
    <w:rsid w:val="5F2D4A41"/>
    <w:rsid w:val="60C74F6C"/>
    <w:rsid w:val="61025A59"/>
    <w:rsid w:val="613D5BBC"/>
    <w:rsid w:val="61536C39"/>
    <w:rsid w:val="62944DD7"/>
    <w:rsid w:val="62C33C0A"/>
    <w:rsid w:val="6319381F"/>
    <w:rsid w:val="633678F7"/>
    <w:rsid w:val="63C25DC5"/>
    <w:rsid w:val="63C62057"/>
    <w:rsid w:val="64571EF5"/>
    <w:rsid w:val="64FB113D"/>
    <w:rsid w:val="656152C6"/>
    <w:rsid w:val="6587477F"/>
    <w:rsid w:val="65893603"/>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0A52DD"/>
    <w:rsid w:val="6C560CAE"/>
    <w:rsid w:val="6C576495"/>
    <w:rsid w:val="6D903FF5"/>
    <w:rsid w:val="6DA955B8"/>
    <w:rsid w:val="6DCC1553"/>
    <w:rsid w:val="6DE346AB"/>
    <w:rsid w:val="6DE5391A"/>
    <w:rsid w:val="6EB645C0"/>
    <w:rsid w:val="6EFD1324"/>
    <w:rsid w:val="6F5A53AC"/>
    <w:rsid w:val="6F5C5E2F"/>
    <w:rsid w:val="6FAC003D"/>
    <w:rsid w:val="6FE55E12"/>
    <w:rsid w:val="6FFB2E76"/>
    <w:rsid w:val="708F6F7F"/>
    <w:rsid w:val="70D94BD3"/>
    <w:rsid w:val="71893FAE"/>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9BD011D"/>
    <w:rsid w:val="7A1525F7"/>
    <w:rsid w:val="7B420052"/>
    <w:rsid w:val="7B861484"/>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link w:val="16"/>
    <w:qFormat/>
    <w:uiPriority w:val="0"/>
    <w:pPr>
      <w:spacing w:before="100" w:beforeAutospacing="1" w:after="100" w:afterAutospacing="1"/>
    </w:pPr>
    <w:rPr>
      <w:rFonts w:cs="宋体"/>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character" w:customStyle="1" w:styleId="16">
    <w:name w:val="正文文本 字符"/>
    <w:basedOn w:val="10"/>
    <w:link w:val="3"/>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4820</Words>
  <Characters>27478</Characters>
  <Lines>228</Lines>
  <Paragraphs>64</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扬尘</cp:lastModifiedBy>
  <dcterms:modified xsi:type="dcterms:W3CDTF">2025-12-17T07:48:45Z</dcterms:modified>
  <dc:title>垫江县高安镇人民政府2023年度决算公开说明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BB46EABDBB2749749395447164B066B3_12</vt:lpwstr>
  </property>
</Properties>
</file>