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垫江县高安镇文化服务中心</w:t>
      </w:r>
    </w:p>
    <w:p w14:paraId="528354DB">
      <w:pPr>
        <w:pStyle w:val="8"/>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CB9AD24">
      <w:pPr>
        <w:pStyle w:val="8"/>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Fonts w:hint="eastAsia" w:ascii="方正黑体_GBK" w:hAnsi="方正黑体_GBK" w:eastAsia="方正黑体_GBK" w:cs="方正黑体_GBK"/>
          <w:b w:val="0"/>
          <w:bCs/>
          <w:sz w:val="32"/>
          <w:szCs w:val="32"/>
        </w:rPr>
      </w:pPr>
      <w:r>
        <w:rPr>
          <w:rStyle w:val="12"/>
          <w:rFonts w:hint="eastAsia" w:ascii="方正黑体_GBK" w:hAnsi="方正黑体_GBK" w:eastAsia="方正黑体_GBK" w:cs="方正黑体_GBK"/>
          <w:b w:val="0"/>
          <w:bCs/>
          <w:sz w:val="32"/>
          <w:szCs w:val="32"/>
          <w:shd w:val="clear" w:color="auto" w:fill="FFFFFF"/>
        </w:rPr>
        <w:t>一、</w:t>
      </w:r>
      <w:r>
        <w:rPr>
          <w:rStyle w:val="12"/>
          <w:rFonts w:hint="eastAsia" w:ascii="方正黑体_GBK" w:hAnsi="方正黑体_GBK" w:eastAsia="方正黑体_GBK" w:cs="方正黑体_GBK"/>
          <w:b w:val="0"/>
          <w:bCs/>
          <w:sz w:val="32"/>
          <w:szCs w:val="32"/>
          <w:shd w:val="clear" w:color="auto" w:fill="FFFFFF"/>
          <w:lang w:eastAsia="zh-CN"/>
        </w:rPr>
        <w:t>单位</w:t>
      </w:r>
      <w:r>
        <w:rPr>
          <w:rStyle w:val="12"/>
          <w:rFonts w:hint="eastAsia" w:ascii="方正黑体_GBK" w:hAnsi="方正黑体_GBK" w:eastAsia="方正黑体_GBK" w:cs="方正黑体_GBK"/>
          <w:b w:val="0"/>
          <w:bCs/>
          <w:sz w:val="32"/>
          <w:szCs w:val="32"/>
          <w:shd w:val="clear" w:color="auto" w:fill="FFFFFF"/>
        </w:rPr>
        <w:t>基本情况</w:t>
      </w:r>
    </w:p>
    <w:p w14:paraId="0EF47DD0">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Fonts w:hint="eastAsia" w:ascii="方正楷体_GBK" w:hAnsi="方正楷体_GBK" w:eastAsia="方正楷体_GBK" w:cs="方正楷体_GBK"/>
          <w:b w:val="0"/>
          <w:bCs/>
          <w:sz w:val="32"/>
          <w:szCs w:val="32"/>
        </w:rPr>
      </w:pPr>
      <w:r>
        <w:rPr>
          <w:rStyle w:val="12"/>
          <w:rFonts w:hint="eastAsia" w:ascii="方正楷体_GBK" w:hAnsi="方正楷体_GBK" w:eastAsia="方正楷体_GBK" w:cs="方正楷体_GBK"/>
          <w:b w:val="0"/>
          <w:bCs/>
          <w:sz w:val="32"/>
          <w:szCs w:val="32"/>
          <w:shd w:val="clear" w:color="auto" w:fill="FFFFFF"/>
        </w:rPr>
        <w:t>（一）职能职责</w:t>
      </w:r>
    </w:p>
    <w:p w14:paraId="447B98A8">
      <w:pPr>
        <w:spacing w:line="594" w:lineRule="exact"/>
        <w:ind w:firstLine="640" w:firstLineChars="200"/>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2F3C1B40">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default"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（二）机构设置</w:t>
      </w:r>
    </w:p>
    <w:p w14:paraId="4D57DC2F">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w:t>
      </w:r>
      <w:r>
        <w:rPr>
          <w:rFonts w:hint="eastAsia" w:ascii="仿宋_GB2312" w:hAnsi="仿宋" w:eastAsia="仿宋_GB2312"/>
          <w:sz w:val="32"/>
          <w:szCs w:val="32"/>
          <w:lang w:val="en-US" w:eastAsia="zh-CN"/>
        </w:rPr>
        <w:t>：2024年进行独立核算</w:t>
      </w:r>
      <w:r>
        <w:rPr>
          <w:rFonts w:hint="eastAsia" w:ascii="仿宋_GB2312" w:hAnsi="仿宋" w:eastAsia="仿宋_GB2312"/>
          <w:sz w:val="32"/>
          <w:szCs w:val="32"/>
        </w:rPr>
        <w:t>。</w:t>
      </w:r>
    </w:p>
    <w:p w14:paraId="4029E67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人员情况</w:t>
      </w:r>
      <w:r>
        <w:rPr>
          <w:rFonts w:hint="eastAsia" w:ascii="仿宋_GB2312" w:hAnsi="仿宋" w:eastAsia="仿宋_GB2312"/>
          <w:sz w:val="32"/>
          <w:szCs w:val="32"/>
          <w:lang w:eastAsia="zh-CN"/>
        </w:rPr>
        <w:t>：</w:t>
      </w:r>
      <w:r>
        <w:rPr>
          <w:rFonts w:hint="eastAsia" w:ascii="仿宋_GB2312" w:hAnsi="仿宋" w:eastAsia="仿宋_GB2312"/>
          <w:sz w:val="32"/>
          <w:szCs w:val="32"/>
        </w:rPr>
        <w:t>本单位现有在职职工</w:t>
      </w:r>
      <w:r>
        <w:rPr>
          <w:rFonts w:hint="eastAsia" w:ascii="仿宋_GB2312" w:hAnsi="仿宋" w:eastAsia="仿宋_GB2312"/>
          <w:sz w:val="32"/>
          <w:szCs w:val="32"/>
          <w:lang w:val="en-US" w:eastAsia="zh-CN"/>
        </w:rPr>
        <w:t>4</w:t>
      </w:r>
      <w:r>
        <w:rPr>
          <w:rFonts w:hint="eastAsia" w:ascii="仿宋_GB2312" w:hAnsi="仿宋" w:eastAsia="仿宋_GB2312"/>
          <w:sz w:val="32"/>
          <w:szCs w:val="32"/>
        </w:rPr>
        <w:t>人。</w:t>
      </w:r>
    </w:p>
    <w:p w14:paraId="7106FE28">
      <w:pPr>
        <w:pStyle w:val="8"/>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2"/>
          <w:rFonts w:hint="default" w:ascii="方正黑体_GBK" w:hAnsi="方正黑体_GBK" w:eastAsia="方正黑体_GBK" w:cs="方正黑体_GBK"/>
          <w:b w:val="0"/>
          <w:bCs/>
          <w:sz w:val="32"/>
          <w:szCs w:val="32"/>
          <w:shd w:val="clear" w:color="auto" w:fill="FFFFFF"/>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14:paraId="7322D8CD">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（一）收入支出决算总体情况说明</w:t>
      </w:r>
    </w:p>
    <w:p w14:paraId="45B50D1F">
      <w:pPr>
        <w:pStyle w:val="8"/>
        <w:widowControl/>
        <w:shd w:val="clear" w:color="auto" w:fill="FFFFFF"/>
        <w:wordWrap/>
        <w:adjustRightInd/>
        <w:spacing w:before="0" w:beforeAutospacing="0" w:after="0" w:afterAutospacing="0" w:line="594" w:lineRule="exact"/>
        <w:ind w:left="0" w:leftChars="0" w:right="0" w:firstLine="643" w:firstLineChars="200"/>
        <w:textAlignment w:val="auto"/>
        <w:outlineLvl w:val="9"/>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度收入总计88.92万元，支出总计</w:t>
      </w:r>
      <w:r>
        <w:rPr>
          <w:rFonts w:ascii="方正仿宋_GBK" w:hAnsi="方正仿宋_GBK" w:eastAsia="方正仿宋_GBK" w:cs="方正仿宋_GBK"/>
          <w:sz w:val="32"/>
          <w:szCs w:val="32"/>
        </w:rPr>
        <w:t>88.92</w:t>
      </w:r>
      <w:r>
        <w:rPr>
          <w:rFonts w:ascii="方正仿宋_GBK" w:hAnsi="方正仿宋_GBK" w:eastAsia="方正仿宋_GBK" w:cs="方正仿宋_GBK"/>
          <w:sz w:val="32"/>
          <w:szCs w:val="32"/>
          <w:shd w:val="clear" w:color="auto" w:fill="FFFFFF"/>
        </w:rPr>
        <w:t>万元。收、支与2023年度相比，增加13.04万元，增长17.19%，主要原因是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p>
    <w:p w14:paraId="7B0B8E99">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度收入合计88.92万元，与2023年度相比，增加13.04万元，增长17.19%，主要原因是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88.92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43D2187">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88.92</w:t>
      </w:r>
      <w:r>
        <w:rPr>
          <w:rFonts w:ascii="方正仿宋_GBK" w:hAnsi="方正仿宋_GBK" w:eastAsia="方正仿宋_GBK" w:cs="方正仿宋_GBK"/>
          <w:sz w:val="32"/>
          <w:szCs w:val="32"/>
          <w:shd w:val="clear" w:color="auto" w:fill="FFFFFF"/>
        </w:rPr>
        <w:t>万元，与2023年度相比，增加13.04万元，增长17.19%，主要原因是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88.92</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AA26A0E">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14:paraId="1D7653D7">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（二）财政拨款收入支出决算总体情况说明</w:t>
      </w:r>
    </w:p>
    <w:p w14:paraId="540CDACF">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度财政拨款收、支总计88.92万元。与20</w:t>
      </w:r>
      <w:r>
        <w:rPr>
          <w:rFonts w:hint="eastAsia" w:ascii="方正仿宋_GBK" w:hAnsi="方正仿宋_GBK" w:eastAsia="方正仿宋_GBK" w:cs="方正仿宋_GBK"/>
          <w:sz w:val="32"/>
          <w:szCs w:val="32"/>
          <w:shd w:val="clear" w:color="auto" w:fill="FFFFFF"/>
          <w:lang w:val="en-US" w:eastAsia="zh-CN"/>
        </w:rPr>
        <w:t>23</w:t>
      </w:r>
      <w:r>
        <w:rPr>
          <w:rFonts w:ascii="方正仿宋_GBK" w:hAnsi="方正仿宋_GBK" w:eastAsia="方正仿宋_GBK" w:cs="方正仿宋_GBK"/>
          <w:sz w:val="32"/>
          <w:szCs w:val="32"/>
          <w:shd w:val="clear" w:color="auto" w:fill="FFFFFF"/>
        </w:rPr>
        <w:t>年相比，财政拨款收、支总计各增加13.04万元，增长17.19%。主要原因是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p>
    <w:p w14:paraId="5BBFEC2F">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4E5D11AC">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88.92</w:t>
      </w:r>
      <w:r>
        <w:rPr>
          <w:rFonts w:ascii="方正仿宋_GBK" w:hAnsi="方正仿宋_GBK" w:eastAsia="方正仿宋_GBK" w:cs="方正仿宋_GBK"/>
          <w:sz w:val="32"/>
          <w:szCs w:val="32"/>
          <w:shd w:val="clear" w:color="auto" w:fill="FFFFFF"/>
        </w:rPr>
        <w:t>万元，与2023年度相比，增加13.04万元，增长17.19%。主要原因是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较年初预算数增加4.59万元，增长5.44%。主要原因是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4E72973">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eastAsia"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88.92</w:t>
      </w:r>
      <w:r>
        <w:rPr>
          <w:rFonts w:ascii="方正仿宋_GBK" w:hAnsi="方正仿宋_GBK" w:eastAsia="方正仿宋_GBK" w:cs="方正仿宋_GBK"/>
          <w:sz w:val="32"/>
          <w:szCs w:val="32"/>
          <w:shd w:val="clear" w:color="auto" w:fill="FFFFFF"/>
        </w:rPr>
        <w:t>万元，与2023年度相比，增加13.04万元，增长17.19%。主要原因是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较年初预算数增加4.59万元，增长5.44%。主要原因是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p>
    <w:p w14:paraId="340E5A3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14:paraId="286B1245">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本单位2024年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6D52CF64">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62.54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70.33</w:t>
      </w:r>
      <w:r>
        <w:rPr>
          <w:rFonts w:ascii="方正仿宋_GBK" w:hAnsi="方正仿宋_GBK" w:eastAsia="方正仿宋_GBK" w:cs="方正仿宋_GBK"/>
          <w:sz w:val="32"/>
          <w:szCs w:val="32"/>
          <w:shd w:val="clear" w:color="auto" w:fill="FFFFFF"/>
        </w:rPr>
        <w:t>%，较年初预算数减少4.21万元，下降6.31%，主要原因是</w:t>
      </w:r>
      <w:r>
        <w:rPr>
          <w:rFonts w:hint="eastAsia" w:ascii="方正仿宋_GBK" w:hAnsi="方正仿宋_GBK" w:eastAsia="方正仿宋_GBK" w:cs="方正仿宋_GBK"/>
          <w:sz w:val="32"/>
          <w:szCs w:val="32"/>
          <w:shd w:val="clear" w:color="auto" w:fill="FFFFFF"/>
          <w:lang w:eastAsia="zh-CN"/>
        </w:rPr>
        <w:t>公用经费办公费、劳务费、委托业务费、差旅费等支出减少。</w:t>
      </w:r>
    </w:p>
    <w:p w14:paraId="244B25CA">
      <w:pPr>
        <w:pStyle w:val="8"/>
        <w:widowControl/>
        <w:numPr>
          <w:ilvl w:val="0"/>
          <w:numId w:val="0"/>
        </w:numPr>
        <w:wordWrap/>
        <w:adjustRightInd/>
        <w:snapToGrid w:val="0"/>
        <w:spacing w:before="0" w:beforeAutospacing="0" w:after="0" w:afterAutospacing="0" w:line="594" w:lineRule="exact"/>
        <w:ind w:right="0"/>
        <w:jc w:val="both"/>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16.51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18.56</w:t>
      </w:r>
      <w:r>
        <w:rPr>
          <w:rFonts w:ascii="方正仿宋_GBK" w:hAnsi="方正仿宋_GBK" w:eastAsia="方正仿宋_GBK" w:cs="方正仿宋_GBK"/>
          <w:sz w:val="32"/>
          <w:szCs w:val="32"/>
          <w:shd w:val="clear" w:color="auto" w:fill="FFFFFF"/>
        </w:rPr>
        <w:t>%，较年初预算数增加5.97万元，增长56.64%，主要原因是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p>
    <w:p w14:paraId="29AC0E33">
      <w:pPr>
        <w:pStyle w:val="8"/>
        <w:widowControl/>
        <w:numPr>
          <w:ilvl w:val="0"/>
          <w:numId w:val="0"/>
        </w:numPr>
        <w:wordWrap/>
        <w:adjustRightInd/>
        <w:snapToGrid w:val="0"/>
        <w:spacing w:before="0" w:beforeAutospacing="0" w:after="0" w:afterAutospacing="0" w:line="594" w:lineRule="exact"/>
        <w:ind w:right="0"/>
        <w:jc w:val="both"/>
        <w:textAlignment w:val="auto"/>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3.48</w:t>
      </w:r>
      <w:r>
        <w:rPr>
          <w:rFonts w:ascii="方正仿宋_GBK" w:hAnsi="方正仿宋_GBK" w:eastAsia="方正仿宋_GBK" w:cs="方正仿宋_GBK"/>
          <w:sz w:val="32"/>
          <w:szCs w:val="32"/>
          <w:shd w:val="clear" w:color="auto" w:fill="FFFFFF"/>
        </w:rPr>
        <w:t>%，较年初预算数减少0.11万元，下降3.44%，主要原因是医疗保险支出</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w:t>
      </w:r>
    </w:p>
    <w:p w14:paraId="2EB9B97A">
      <w:pPr>
        <w:widowControl/>
        <w:wordWrap/>
        <w:adjustRightInd/>
        <w:spacing w:beforeAutospacing="0" w:afterAutospacing="0" w:line="594" w:lineRule="exact"/>
        <w:ind w:left="0" w:leftChars="0" w:right="0" w:firstLine="640" w:firstLineChars="200"/>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住房保障支出6.78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7.62</w:t>
      </w:r>
      <w:r>
        <w:rPr>
          <w:rFonts w:ascii="方正仿宋_GBK" w:hAnsi="方正仿宋_GBK" w:eastAsia="方正仿宋_GBK" w:cs="方正仿宋_GBK"/>
          <w:sz w:val="32"/>
          <w:szCs w:val="32"/>
          <w:shd w:val="clear" w:color="auto" w:fill="FFFFFF"/>
        </w:rPr>
        <w:t>%，较年初预算数增加2.94万元，增长76.56%，主要原因是</w:t>
      </w:r>
      <w:r>
        <w:rPr>
          <w:rFonts w:hint="eastAsia" w:ascii="方正仿宋_GBK" w:hAnsi="方正仿宋_GBK" w:eastAsia="方正仿宋_GBK" w:cs="方正仿宋_GBK"/>
          <w:sz w:val="32"/>
          <w:szCs w:val="32"/>
          <w:shd w:val="clear" w:color="auto" w:fill="FFFFFF"/>
          <w:lang w:eastAsia="zh-CN"/>
        </w:rPr>
        <w:t>住房公积金支出增加。</w:t>
      </w:r>
    </w:p>
    <w:p w14:paraId="132F9904">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7EBE2110">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88.92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86.95</w:t>
      </w:r>
      <w:r>
        <w:rPr>
          <w:rFonts w:ascii="方正仿宋_GBK" w:hAnsi="方正仿宋_GBK" w:eastAsia="方正仿宋_GBK" w:cs="方正仿宋_GBK"/>
          <w:sz w:val="32"/>
          <w:szCs w:val="32"/>
          <w:shd w:val="clear" w:color="auto" w:fill="FFFFFF"/>
        </w:rPr>
        <w:t>万元，与2023年度相比，增加16.35万元，增长23.16%，主要原因是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人员经费用途主要包括基本工资、津贴补贴、基础绩效、超额绩效、社会保障缴费等。公用经费</w:t>
      </w:r>
      <w:r>
        <w:rPr>
          <w:rFonts w:ascii="方正仿宋_GBK" w:hAnsi="方正仿宋_GBK" w:eastAsia="方正仿宋_GBK" w:cs="方正仿宋_GBK"/>
          <w:sz w:val="32"/>
          <w:szCs w:val="32"/>
        </w:rPr>
        <w:t>1.97</w:t>
      </w:r>
      <w:r>
        <w:rPr>
          <w:rFonts w:ascii="方正仿宋_GBK" w:hAnsi="方正仿宋_GBK" w:eastAsia="方正仿宋_GBK" w:cs="方正仿宋_GBK"/>
          <w:sz w:val="32"/>
          <w:szCs w:val="32"/>
          <w:shd w:val="clear" w:color="auto" w:fill="FFFFFF"/>
        </w:rPr>
        <w:t>万元，与2023年度相比，减少3.31万元，下降62.69%，主要原因是</w:t>
      </w:r>
      <w:r>
        <w:rPr>
          <w:rFonts w:hint="eastAsia" w:ascii="方正仿宋_GBK" w:hAnsi="方正仿宋_GBK" w:eastAsia="方正仿宋_GBK" w:cs="方正仿宋_GBK"/>
          <w:sz w:val="32"/>
          <w:szCs w:val="32"/>
          <w:shd w:val="clear" w:color="auto" w:fill="FFFFFF"/>
          <w:lang w:eastAsia="zh-CN"/>
        </w:rPr>
        <w:t>公用经费办公费、劳务费、委托业务费、差旅费等支出减少。</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cs="宋体"/>
          <w:sz w:val="32"/>
          <w:szCs w:val="32"/>
          <w:shd w:val="clear" w:color="auto" w:fill="FFFFFF"/>
        </w:rPr>
        <w:t>办公费、印刷费、委托业务费、差旅费等。</w:t>
      </w:r>
    </w:p>
    <w:p w14:paraId="352F6AEB">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（五）政府性基金预算收支决算情况说明</w:t>
      </w:r>
    </w:p>
    <w:p w14:paraId="6BC738AF">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14:paraId="19925649">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04DFD9C8">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4AADF2BA">
      <w:pPr>
        <w:pStyle w:val="8"/>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2"/>
          <w:rFonts w:hint="default" w:ascii="方正黑体_GBK" w:hAnsi="方正黑体_GBK" w:eastAsia="方正黑体_GBK" w:cs="方正黑体_GBK"/>
          <w:b w:val="0"/>
          <w:bCs/>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14:paraId="4361ABCB">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 xml:space="preserve"> （一）“三公”经费支出总体情况说明</w:t>
      </w:r>
    </w:p>
    <w:p w14:paraId="1D04A5F2">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万元，较年初预算数无增减，主要原因是我单位202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年未发生“三公”经费支出。较上年支出数无增减，主要原因是本单位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w:t>
      </w:r>
    </w:p>
    <w:p w14:paraId="65B3430A">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（二）“三公”经费分项支出情况</w:t>
      </w:r>
    </w:p>
    <w:p w14:paraId="553DD1EC">
      <w:pPr>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万元。费用支出较年初预算数无增减，主要原因是年初预算未安排因公出国（境）费用，也未发生因公出国（境）费用。与2023年度相比，无增减，主要原</w:t>
      </w:r>
      <w:r>
        <w:rPr>
          <w:rFonts w:hint="eastAsia" w:ascii="方正仿宋_GBK" w:hAnsi="方正仿宋_GBK" w:eastAsia="方正仿宋_GBK" w:cs="方正仿宋_GBK"/>
          <w:sz w:val="32"/>
          <w:szCs w:val="32"/>
          <w:shd w:val="clear" w:color="auto" w:fill="FFFFFF"/>
          <w:lang w:val="en-US" w:eastAsia="zh-CN" w:bidi="ar-SA"/>
        </w:rPr>
        <w:t>因是本单位本年度与上年度</w:t>
      </w:r>
      <w:r>
        <w:rPr>
          <w:rFonts w:hint="eastAsia" w:ascii="方正仿宋_GBK" w:hAnsi="方正仿宋_GBK" w:eastAsia="方正仿宋_GBK" w:cs="方正仿宋_GBK"/>
          <w:sz w:val="32"/>
          <w:szCs w:val="32"/>
          <w:shd w:val="clear" w:color="auto" w:fill="FFFFFF"/>
          <w:lang w:eastAsia="zh-CN"/>
        </w:rPr>
        <w:t>均无</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eastAsia="zh-CN"/>
        </w:rPr>
        <w:t>费支出</w:t>
      </w:r>
      <w:r>
        <w:rPr>
          <w:rFonts w:ascii="方正仿宋_GBK" w:hAnsi="方正仿宋_GBK" w:eastAsia="方正仿宋_GBK" w:cs="方正仿宋_GBK"/>
          <w:sz w:val="32"/>
          <w:szCs w:val="32"/>
          <w:shd w:val="clear" w:color="auto" w:fill="FFFFFF"/>
        </w:rPr>
        <w:t>。</w:t>
      </w:r>
    </w:p>
    <w:p w14:paraId="4905F253">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万元。费用支出较年初预算数无增减，主要原因是年初预算未安排且本年未发生公务车购置费用。与2023年度相比，无增减，主要原因是本单位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公务车购置</w:t>
      </w:r>
      <w:r>
        <w:rPr>
          <w:rFonts w:hint="eastAsia" w:ascii="方正仿宋_GBK" w:hAnsi="方正仿宋_GBK" w:eastAsia="方正仿宋_GBK" w:cs="方正仿宋_GBK"/>
          <w:sz w:val="32"/>
          <w:szCs w:val="32"/>
          <w:shd w:val="clear" w:color="auto" w:fill="FFFFFF"/>
          <w:lang w:eastAsia="zh-CN"/>
        </w:rPr>
        <w:t>费支出</w:t>
      </w:r>
      <w:r>
        <w:rPr>
          <w:rFonts w:ascii="方正仿宋_GBK" w:hAnsi="方正仿宋_GBK" w:eastAsia="方正仿宋_GBK" w:cs="方正仿宋_GBK"/>
          <w:sz w:val="32"/>
          <w:szCs w:val="32"/>
          <w:shd w:val="clear" w:color="auto" w:fill="FFFFFF"/>
        </w:rPr>
        <w:t>。</w:t>
      </w:r>
    </w:p>
    <w:p w14:paraId="5DF41F8F">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ascii="仿宋_GB2312" w:hAnsi="仿宋" w:eastAsia="仿宋_GB2312" w:cs="仿宋"/>
          <w:color w:val="000000"/>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费用支出较年初预算数无增减，主要原因是年初预算数未安排且本年未发生公务车运行维护费用。与2023年度相比，无增减，主要原因是本单位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公务车运行维护</w:t>
      </w:r>
      <w:r>
        <w:rPr>
          <w:rFonts w:hint="eastAsia" w:ascii="方正仿宋_GBK" w:hAnsi="方正仿宋_GBK" w:eastAsia="方正仿宋_GBK" w:cs="方正仿宋_GBK"/>
          <w:sz w:val="32"/>
          <w:szCs w:val="32"/>
          <w:shd w:val="clear" w:color="auto" w:fill="FFFFFF"/>
          <w:lang w:eastAsia="zh-CN"/>
        </w:rPr>
        <w:t>费支出</w:t>
      </w:r>
      <w:r>
        <w:rPr>
          <w:rFonts w:ascii="方正仿宋_GBK" w:hAnsi="方正仿宋_GBK" w:eastAsia="方正仿宋_GBK" w:cs="方正仿宋_GBK"/>
          <w:sz w:val="32"/>
          <w:szCs w:val="32"/>
          <w:shd w:val="clear" w:color="auto" w:fill="FFFFFF"/>
        </w:rPr>
        <w:t>。</w:t>
      </w:r>
    </w:p>
    <w:p w14:paraId="504EC82A">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ascii="仿宋_GB2312" w:hAnsi="仿宋" w:eastAsia="仿宋_GB2312" w:cs="仿宋"/>
          <w:color w:val="000000"/>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hAnsi="方正仿宋_GBK" w:eastAsia="方正仿宋_GBK" w:cs="方正仿宋_GBK"/>
          <w:sz w:val="32"/>
          <w:szCs w:val="32"/>
          <w:shd w:val="clear" w:color="auto" w:fill="FFFFFF"/>
        </w:rPr>
        <w:t>。较上年支出数无增减，主要原因是本单位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w:t>
      </w:r>
    </w:p>
    <w:p w14:paraId="361C4E49">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（三）“三公”经费实物量情况</w:t>
      </w:r>
    </w:p>
    <w:p w14:paraId="6182AF0B">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63E03A89">
      <w:pPr>
        <w:pStyle w:val="8"/>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Style w:val="12"/>
          <w:rFonts w:hint="default"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四、其他需要说明的事项</w:t>
      </w:r>
    </w:p>
    <w:p w14:paraId="212DB737">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  （一）财政拨款会议费和培训费情况说明</w:t>
      </w:r>
    </w:p>
    <w:p w14:paraId="1137E245">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本年度会议费支出0.00万元，与2023年度相比，无增减，主要原因是</w:t>
      </w:r>
      <w:r>
        <w:rPr>
          <w:rFonts w:hint="eastAsia" w:ascii="方正仿宋_GBK" w:hAnsi="方正仿宋_GBK" w:eastAsia="方正仿宋_GBK" w:cs="方正仿宋_GBK"/>
          <w:sz w:val="32"/>
          <w:szCs w:val="32"/>
          <w:shd w:val="clear" w:color="auto" w:fill="FFFFFF"/>
          <w:lang w:eastAsia="zh-CN"/>
        </w:rPr>
        <w:t>本单位本年度与上年度均无会议费支出</w:t>
      </w:r>
      <w:r>
        <w:rPr>
          <w:rFonts w:ascii="方正仿宋_GBK" w:hAnsi="方正仿宋_GBK" w:eastAsia="方正仿宋_GBK" w:cs="方正仿宋_GBK"/>
          <w:sz w:val="32"/>
          <w:szCs w:val="32"/>
          <w:shd w:val="clear" w:color="auto" w:fill="FFFFFF"/>
        </w:rPr>
        <w:t>。本年度培训费支出0.00万元，与2023年度相比，无变化，主要原因是</w:t>
      </w:r>
      <w:r>
        <w:rPr>
          <w:rFonts w:hint="eastAsia" w:ascii="方正仿宋_GBK" w:hAnsi="方正仿宋_GBK" w:eastAsia="方正仿宋_GBK" w:cs="方正仿宋_GBK"/>
          <w:sz w:val="32"/>
          <w:szCs w:val="32"/>
          <w:shd w:val="clear" w:color="auto" w:fill="FFFFFF"/>
          <w:lang w:eastAsia="zh-CN"/>
        </w:rPr>
        <w:t>本单位本年度与上年度均无培训费支出</w:t>
      </w:r>
      <w:r>
        <w:rPr>
          <w:rFonts w:ascii="方正仿宋_GBK" w:hAnsi="方正仿宋_GBK" w:eastAsia="方正仿宋_GBK" w:cs="方正仿宋_GBK"/>
          <w:sz w:val="32"/>
          <w:szCs w:val="32"/>
          <w:shd w:val="clear" w:color="auto" w:fill="FFFFFF"/>
        </w:rPr>
        <w:t>。</w:t>
      </w:r>
    </w:p>
    <w:p w14:paraId="205954B4">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（二）机关运行经费情况说明</w:t>
      </w:r>
    </w:p>
    <w:p w14:paraId="13148A0C">
      <w:pPr>
        <w:pStyle w:val="8"/>
        <w:widowControl/>
        <w:shd w:val="clear" w:color="auto" w:fill="FFFFFF"/>
        <w:wordWrap/>
        <w:adjustRightInd/>
        <w:spacing w:before="0" w:beforeAutospacing="0" w:after="0" w:afterAutospacing="0" w:line="594" w:lineRule="exact"/>
        <w:ind w:right="0"/>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rPr>
        <w:t>机关运行经费支出0.00万元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机关运行经费较上年支出数无增减，主要原因是按照部门决算列报口径，我单位不在机关运行经费统计范围之内。</w:t>
      </w:r>
    </w:p>
    <w:p w14:paraId="335FA0DC">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（三）国有资产占用情况说明</w:t>
      </w:r>
    </w:p>
    <w:p w14:paraId="03C88C7D">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1BC0D08">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（四）政府采购支出情况说明</w:t>
      </w:r>
    </w:p>
    <w:p w14:paraId="41B4D5ED">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2628D7B2">
      <w:pPr>
        <w:pStyle w:val="8"/>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2"/>
          <w:rFonts w:hint="default" w:ascii="方正黑体_GBK" w:hAnsi="方正黑体_GBK" w:eastAsia="方正黑体_GBK" w:cs="方正黑体_GBK"/>
          <w:b w:val="0"/>
          <w:bCs/>
          <w:sz w:val="32"/>
          <w:szCs w:val="32"/>
          <w:shd w:val="clear" w:color="auto" w:fill="FFFFFF"/>
        </w:rPr>
      </w:pPr>
      <w:r>
        <w:rPr>
          <w:rStyle w:val="12"/>
          <w:rFonts w:hint="eastAsia" w:ascii="黑体" w:hAnsi="黑体" w:eastAsia="黑体" w:cs="黑体"/>
          <w:sz w:val="32"/>
          <w:szCs w:val="32"/>
          <w:shd w:val="clear" w:color="auto" w:fill="FFFFFF"/>
          <w:lang w:val="en-US" w:eastAsia="zh-CN" w:bidi="ar-SA"/>
        </w:rPr>
        <w:t>五、2024年度预算绩效管理情况说明</w:t>
      </w:r>
      <w:bookmarkStart w:id="0" w:name="_GoBack"/>
      <w:bookmarkEnd w:id="0"/>
    </w:p>
    <w:p w14:paraId="2DFE4B11">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w:t>
      </w:r>
      <w:r>
        <w:rPr>
          <w:rStyle w:val="12"/>
          <w:rFonts w:hint="eastAsia" w:ascii="方正楷体_GBK" w:hAnsi="方正楷体_GBK" w:eastAsia="方正楷体_GBK" w:cs="方正楷体_GBK"/>
          <w:b w:val="0"/>
          <w:bCs/>
          <w:sz w:val="32"/>
          <w:szCs w:val="32"/>
          <w:shd w:val="clear" w:color="auto" w:fill="FFFFFF"/>
          <w:lang w:eastAsia="zh-CN"/>
        </w:rPr>
        <w:t>单位</w:t>
      </w:r>
      <w:r>
        <w:rPr>
          <w:rStyle w:val="12"/>
          <w:rFonts w:hint="eastAsia" w:ascii="方正楷体_GBK" w:hAnsi="方正楷体_GBK" w:eastAsia="方正楷体_GBK" w:cs="方正楷体_GBK"/>
          <w:b w:val="0"/>
          <w:bCs/>
          <w:sz w:val="32"/>
          <w:szCs w:val="32"/>
          <w:shd w:val="clear" w:color="auto" w:fill="FFFFFF"/>
        </w:rPr>
        <w:t>自评情况</w:t>
      </w:r>
    </w:p>
    <w:p w14:paraId="144EDA03">
      <w:pPr>
        <w:pStyle w:val="15"/>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我单位无项目绩效自评。</w:t>
      </w:r>
    </w:p>
    <w:p w14:paraId="23C2DA73">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w:t>
      </w:r>
      <w:r>
        <w:rPr>
          <w:rStyle w:val="12"/>
          <w:rFonts w:hint="eastAsia" w:ascii="方正楷体_GBK" w:hAnsi="方正楷体_GBK" w:eastAsia="方正楷体_GBK" w:cs="方正楷体_GBK"/>
          <w:b w:val="0"/>
          <w:bCs/>
          <w:sz w:val="32"/>
          <w:szCs w:val="32"/>
          <w:shd w:val="clear" w:color="auto" w:fill="FFFFFF"/>
          <w:lang w:eastAsia="zh-CN"/>
        </w:rPr>
        <w:t>单位</w:t>
      </w:r>
      <w:r>
        <w:rPr>
          <w:rStyle w:val="12"/>
          <w:rFonts w:hint="eastAsia" w:ascii="方正楷体_GBK" w:hAnsi="方正楷体_GBK" w:eastAsia="方正楷体_GBK" w:cs="方正楷体_GBK"/>
          <w:b w:val="0"/>
          <w:bCs/>
          <w:sz w:val="32"/>
          <w:szCs w:val="32"/>
          <w:shd w:val="clear" w:color="auto" w:fill="FFFFFF"/>
        </w:rPr>
        <w:t>绩效评价情况</w:t>
      </w:r>
    </w:p>
    <w:p w14:paraId="7A8B8C56">
      <w:pPr>
        <w:pStyle w:val="13"/>
        <w:widowControl/>
        <w:wordWrap/>
        <w:autoSpaceDE w:val="0"/>
        <w:adjustRightInd/>
        <w:spacing w:beforeAutospacing="0" w:afterAutospacing="0" w:line="594" w:lineRule="exact"/>
        <w:ind w:left="0" w:leftChars="0" w:right="0" w:firstLine="643"/>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1C243DE9">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（三）财政绩效评价情况</w:t>
      </w:r>
    </w:p>
    <w:p w14:paraId="0AEAE362">
      <w:pPr>
        <w:pStyle w:val="15"/>
        <w:autoSpaceDE w:val="0"/>
        <w:ind w:firstLine="640"/>
        <w:rPr>
          <w:rStyle w:val="12"/>
          <w:rFonts w:hint="eastAsia" w:ascii="方正黑体_GBK" w:hAnsi="方正黑体_GBK" w:eastAsia="方正黑体_GBK" w:cs="方正黑体_GBK"/>
          <w:b w:val="0"/>
          <w:bCs/>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457D604C">
      <w:pPr>
        <w:pStyle w:val="8"/>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hint="eastAsia" w:ascii="方正黑体_GBK" w:hAnsi="方正黑体_GBK" w:eastAsia="方正黑体_GBK" w:cs="方正黑体_GBK"/>
          <w:b w:val="0"/>
          <w:bCs/>
          <w:sz w:val="32"/>
          <w:szCs w:val="32"/>
          <w:shd w:val="clear" w:color="auto" w:fill="FFFFFF"/>
        </w:rPr>
        <w:t>六、专业名词解释</w:t>
      </w:r>
    </w:p>
    <w:p w14:paraId="28BFBD5D">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Style w:val="12"/>
          <w:rFonts w:hint="eastAsia" w:ascii="方正楷体_GBK" w:hAnsi="方正楷体_GBK" w:eastAsia="方正楷体_GBK" w:cs="方正楷体_GBK"/>
          <w:b w:val="0"/>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C47297F">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hint="eastAsia" w:ascii="方正楷体_GBK" w:hAnsi="方正楷体_GBK" w:eastAsia="方正楷体_GBK" w:cs="方正楷体_GBK"/>
          <w:b w:val="0"/>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ACDC93E">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089E2D4">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hint="eastAsia" w:ascii="方正楷体_GBK" w:hAnsi="方正楷体_GBK" w:eastAsia="方正楷体_GBK" w:cs="方正楷体_GBK"/>
          <w:b w:val="0"/>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6061C3B">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5417BF4">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7E241024">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27EC30A">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3A75729">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hint="eastAsia" w:ascii="方正楷体_GBK" w:hAnsi="方正楷体_GBK" w:eastAsia="方正楷体_GBK" w:cs="方正楷体_GBK"/>
          <w:b w:val="0"/>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4C345CC">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hint="eastAsia" w:ascii="方正楷体_GBK" w:hAnsi="方正楷体_GBK" w:eastAsia="方正楷体_GBK" w:cs="方正楷体_GBK"/>
          <w:b w:val="0"/>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3A48FCA">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28930A8">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hint="eastAsia" w:ascii="方正楷体_GBK" w:hAnsi="方正楷体_GBK" w:eastAsia="方正楷体_GBK" w:cs="方正楷体_GBK"/>
          <w:b w:val="0"/>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C30BA9E">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975974D">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2AD6FAF">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hint="eastAsia" w:ascii="方正楷体_GBK" w:hAnsi="方正楷体_GBK" w:eastAsia="方正楷体_GBK" w:cs="方正楷体_GBK"/>
          <w:b w:val="0"/>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CB42B9E">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14:paraId="5E8F6D5C">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hint="eastAsia" w:ascii="方正楷体_GBK" w:hAnsi="方正楷体_GBK" w:eastAsia="方正楷体_GBK" w:cs="方正楷体_GBK"/>
          <w:b w:val="0"/>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0C09803">
      <w:pPr>
        <w:pStyle w:val="8"/>
        <w:widowControl/>
        <w:shd w:val="clear" w:color="auto" w:fill="FFFFFF"/>
        <w:wordWrap/>
        <w:adjustRightInd/>
        <w:spacing w:before="0" w:beforeAutospacing="0" w:after="0" w:afterAutospacing="0" w:line="594" w:lineRule="exact"/>
        <w:ind w:left="0" w:leftChars="0" w:right="0"/>
        <w:textAlignment w:val="auto"/>
        <w:outlineLvl w:val="9"/>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hint="eastAsia" w:ascii="方正黑体_GBK" w:hAnsi="方正黑体_GBK" w:eastAsia="方正黑体_GBK" w:cs="方正黑体_GBK"/>
          <w:b w:val="0"/>
          <w:bCs/>
          <w:sz w:val="32"/>
          <w:szCs w:val="32"/>
          <w:shd w:val="clear" w:color="auto" w:fill="FFFFFF"/>
        </w:rPr>
        <w:t>七、决算公开联系方式及信息反馈渠道</w:t>
      </w:r>
    </w:p>
    <w:p w14:paraId="42975075">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本单位决算公开信息反馈和联系方式：023-74552700。</w:t>
      </w:r>
    </w:p>
    <w:p w14:paraId="1F0146CA">
      <w:pPr>
        <w:pStyle w:val="13"/>
        <w:widowControl/>
        <w:wordWrap/>
        <w:autoSpaceDE w:val="0"/>
        <w:adjustRightInd/>
        <w:spacing w:beforeAutospacing="0" w:afterAutospacing="0" w:line="594" w:lineRule="exact"/>
        <w:ind w:left="0" w:leftChars="0" w:right="0" w:firstLine="0" w:firstLineChars="0"/>
        <w:textAlignment w:val="auto"/>
        <w:outlineLvl w:val="9"/>
        <w:rPr>
          <w:rStyle w:val="12"/>
          <w:rFonts w:ascii="方正仿宋_GBK" w:hAnsi="方正仿宋_GBK" w:eastAsia="方正仿宋_GBK" w:cs="方正仿宋_GBK"/>
          <w:sz w:val="32"/>
          <w:szCs w:val="32"/>
          <w:shd w:val="clear" w:color="auto" w:fill="FFFF00"/>
        </w:rPr>
      </w:pPr>
    </w:p>
    <w:p w14:paraId="0452F0D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垫江县高安镇文化服务中心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88.92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62.54</w:t>
            </w:r>
            <w:r>
              <w:rPr>
                <w:rFonts w:ascii="Times New Roman" w:hAnsi="Times New Roman"/>
                <w:color w:val="000000"/>
                <w:sz w:val="20"/>
                <w:u w:color="auto"/>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16.51</w:t>
            </w:r>
            <w:r>
              <w:rPr>
                <w:rFonts w:ascii="Times New Roman" w:hAnsi="Times New Roman"/>
                <w:color w:val="000000"/>
                <w:sz w:val="20"/>
                <w:u w:color="auto"/>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w:t>
            </w:r>
            <w:r>
              <w:rPr>
                <w:rFonts w:ascii="Times New Roman" w:hAnsi="Times New Roman"/>
                <w:color w:val="000000"/>
                <w:sz w:val="20"/>
                <w:u w:color="auto"/>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88.92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88.92</w:t>
            </w:r>
            <w:r>
              <w:rPr>
                <w:rFonts w:ascii="Times New Roman" w:hAnsi="Times New Roman"/>
                <w:color w:val="000000"/>
                <w:sz w:val="20"/>
                <w:u w:color="auto"/>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88.92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88.92</w:t>
            </w:r>
            <w:r>
              <w:rPr>
                <w:rFonts w:ascii="Times New Roman" w:hAnsi="Times New Roman"/>
                <w:color w:val="000000"/>
                <w:sz w:val="20"/>
                <w:u w:color="auto"/>
              </w:rPr>
              <w:t xml:space="preserve"> </w:t>
            </w:r>
          </w:p>
        </w:tc>
      </w:tr>
    </w:tbl>
    <w:p w14:paraId="5EF6E31A">
      <w:pPr>
        <w:rPr>
          <w:rFonts w:hint="default" w:cs="宋体"/>
          <w:sz w:val="21"/>
          <w:szCs w:val="21"/>
        </w:rPr>
      </w:pPr>
    </w:p>
    <w:p w14:paraId="648A4B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rPr>
            </w:pPr>
            <w:r>
              <w:rPr>
                <w:rFonts w:cs="宋体"/>
                <w:b/>
                <w:color w:val="000000"/>
                <w:sz w:val="32"/>
                <w:szCs w:val="32"/>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垫江县高安镇文化服务中心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rPr>
            </w:pPr>
          </w:p>
        </w:tc>
      </w:tr>
      <w:tr w14:paraId="74A0852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rPr>
            </w:pPr>
          </w:p>
        </w:tc>
      </w:tr>
      <w:tr w14:paraId="0C2A69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88.92</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88.92</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5827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C233">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B4203">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9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88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B5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F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70D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E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8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1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CF8B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F150">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A4EFF">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5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9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5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00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3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0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D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B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699B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56C0">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69B06">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79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A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7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B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E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5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2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0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8F4A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7343">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97F0D">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B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6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3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0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A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CA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0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7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425B4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059A">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E5FC6">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6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A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9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3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F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E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5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02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68CE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FFF3">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C0407">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D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ED0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5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A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7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5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B4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9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E34B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8C01">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4A54E">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F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F7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B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7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E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6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E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3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519B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6FBC">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E79E2">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9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C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7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2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7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7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9C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4C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1780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A818D">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BE215">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B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6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8D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1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F5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E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0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4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3759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316B">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1F2A0">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18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E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A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B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A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5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0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5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98924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8F5A">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60268">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9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B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79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9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69D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1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7D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9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DD1C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5B4C">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217FF">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7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9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0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6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2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B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09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B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8837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3E15">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49102">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B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9C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D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A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6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4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C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2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E046D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垫江县高安镇文化服务中心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88.92</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88.92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4E5D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8C7C">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DB3B6">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1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9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3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C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39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C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315CD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BD4B8">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851E7">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D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F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E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7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3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36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E9F2D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A8EB">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D032B">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3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F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1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F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3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98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19A0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6814">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881BA">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7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B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E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7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6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1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8800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EB87">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C2E7A">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70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4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D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2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A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8D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3192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D24B">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AD5D2">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4C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5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2D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4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E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9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A38C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0517">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C8146">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D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5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47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6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15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E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5662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6794">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5197C">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29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6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9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D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4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3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C32E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354E">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E9B2E">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E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C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5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77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2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8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24DE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9EEAB">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290D6">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08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1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C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8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4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B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53DD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A188">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CF917">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7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D4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5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F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E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AA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9603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4C7C">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703EE">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2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9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4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56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7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E8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0411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9E01">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D112E">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2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2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F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8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5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7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DDB41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rPr>
          <w:rFonts w:hint="default" w:cs="宋体"/>
          <w:sz w:val="21"/>
          <w:szCs w:val="21"/>
        </w:rPr>
      </w:pPr>
      <w:r>
        <w:rPr>
          <w:rFonts w:cs="宋体"/>
          <w:sz w:val="21"/>
          <w:szCs w:val="21"/>
        </w:rPr>
        <w:br w:type="page"/>
      </w:r>
    </w:p>
    <w:p w14:paraId="4EB0B5F9">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F01A2">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9C957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BD0D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07E3">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4B601">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B4E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C16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093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8A02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D226">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B3D9F">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FCA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02E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1A8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C099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622D">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2AFF5">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01F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27B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7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EA38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97DF">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9256B">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2F2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47F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8A8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783F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D4A7">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48D26">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B2B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585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2F7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743A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7AD49">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FB5B7">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6E0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C58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BB5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339F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1F46">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0D11E">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5C2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F2E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E39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3F93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BFE4">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F0379">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2B1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844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C62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795F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31E0">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793CB">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C02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D56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8C7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DA9D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86D9">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8DC99">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E2D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9D6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EC5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96A9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FF07">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6FD84">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16D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72B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FF6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8523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9C3C">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86525">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DA6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6D8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5CE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215F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78C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53888">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68F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7E9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F36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34849F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垫江县高安镇文化服务中心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86.95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r>
    </w:tbl>
    <w:p w14:paraId="3A5D94D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FE48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01B1AC8">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垫江县高安镇文化服务中心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0483252">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E84A9A-E8D6-48AA-91F0-1A35F3E3C8EE}"/>
  </w:font>
  <w:font w:name="黑体">
    <w:panose1 w:val="02010609060101010101"/>
    <w:charset w:val="86"/>
    <w:family w:val="auto"/>
    <w:pitch w:val="default"/>
    <w:sig w:usb0="800002BF" w:usb1="38CF7CFA" w:usb2="00000016" w:usb3="00000000" w:csb0="00040001" w:csb1="00000000"/>
    <w:embedRegular r:id="rId2" w:fontKey="{45F6A9A4-A907-4C65-8795-182A68BBDD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395A328E-295B-41C8-BE1F-15E4D46DCA79}"/>
  </w:font>
  <w:font w:name="方正黑体_GBK">
    <w:panose1 w:val="02010600010101010101"/>
    <w:charset w:val="86"/>
    <w:family w:val="auto"/>
    <w:pitch w:val="default"/>
    <w:sig w:usb0="00000001" w:usb1="080E0000" w:usb2="00000000" w:usb3="00000000" w:csb0="00040000" w:csb1="00000000"/>
    <w:embedRegular r:id="rId4" w:fontKey="{732DC133-E547-463B-A1ED-19F37AB30101}"/>
  </w:font>
  <w:font w:name="方正楷体_GBK">
    <w:panose1 w:val="02000000000000000000"/>
    <w:charset w:val="86"/>
    <w:family w:val="auto"/>
    <w:pitch w:val="default"/>
    <w:sig w:usb0="800002BF" w:usb1="38CF7CFA" w:usb2="00000016" w:usb3="00000000" w:csb0="00040000" w:csb1="00000000"/>
    <w:embedRegular r:id="rId5" w:fontKey="{8568D056-7F7E-40E7-B12C-A0FC4585F4E4}"/>
  </w:font>
  <w:font w:name="仿宋_GB2312">
    <w:altName w:val="仿宋"/>
    <w:panose1 w:val="02010609030101010101"/>
    <w:charset w:val="86"/>
    <w:family w:val="auto"/>
    <w:pitch w:val="default"/>
    <w:sig w:usb0="00000000" w:usb1="00000000" w:usb2="00000000" w:usb3="00000000" w:csb0="00040000" w:csb1="00000000"/>
    <w:embedRegular r:id="rId6" w:fontKey="{2F637013-AF4F-4062-B5FD-4D0BB608B634}"/>
  </w:font>
  <w:font w:name="仿宋">
    <w:panose1 w:val="02010609060101010101"/>
    <w:charset w:val="86"/>
    <w:family w:val="auto"/>
    <w:pitch w:val="default"/>
    <w:sig w:usb0="800002BF" w:usb1="38CF7CFA" w:usb2="00000016" w:usb3="00000000" w:csb0="00040001" w:csb1="00000000"/>
    <w:embedRegular r:id="rId7" w:fontKey="{78E3EF6B-1629-44CA-AB00-D2B076B56F2A}"/>
  </w:font>
  <w:font w:name="方正仿宋_GBK">
    <w:panose1 w:val="02000000000000000000"/>
    <w:charset w:val="86"/>
    <w:family w:val="auto"/>
    <w:pitch w:val="default"/>
    <w:sig w:usb0="A00002BF" w:usb1="38CF7CFA" w:usb2="00082016" w:usb3="00000000" w:csb0="00040001" w:csb1="00000000"/>
    <w:embedRegular r:id="rId8" w:fontKey="{6317C7CE-B1E8-4356-A52B-FC95A5656A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9E42F">
    <w:pPr>
      <w:pStyle w:val="5"/>
      <w:rPr>
        <w:rFonts w:hint="default"/>
      </w:rPr>
    </w:pPr>
    <w:r>
      <w:rPr>
        <w:rFonts w:hint="default"/>
      </w:rPr>
      <w:pict>
        <v:shape id="文本框 2"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2AE63C22">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559A3">
    <w:pPr>
      <w:pStyle w:val="5"/>
      <w:jc w:val="both"/>
      <w:rPr>
        <w:rFonts w:hint="default"/>
      </w:rPr>
    </w:pPr>
    <w:r>
      <w:rPr>
        <w:rFonts w:hint="default" w:ascii="宋体" w:hAnsi="宋体" w:eastAsia="宋体" w:cs="Times New Roman"/>
        <w:sz w:val="18"/>
        <w:szCs w:val="18"/>
        <w:lang w:val="en-US" w:eastAsia="zh-CN" w:bidi="ar-SA"/>
      </w:rPr>
      <w:pict>
        <v:rect id="文本框 127" o:spid="_x0000_s4098"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14:paraId="78D50117">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rect>
      </w:pict>
    </w:r>
    <w:r>
      <w:rPr>
        <w:rFonts w:hint="default" w:ascii="宋体" w:hAnsi="宋体" w:eastAsia="宋体" w:cs="Times New Roman"/>
        <w:sz w:val="18"/>
        <w:szCs w:val="18"/>
        <w:lang w:val="en-US" w:eastAsia="zh-CN" w:bidi="ar-SA"/>
      </w:rPr>
      <w:pict>
        <v:rect id="文本框 126" o:spid="_x0000_s4099"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14:paraId="056D9671">
                <w:pPr>
                  <w:pStyle w:val="5"/>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DE469">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5"/>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7E6D34"/>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2792565"/>
    <w:rsid w:val="03B87EA0"/>
    <w:rsid w:val="03E3214F"/>
    <w:rsid w:val="044C50BA"/>
    <w:rsid w:val="05BC6D49"/>
    <w:rsid w:val="06194FF1"/>
    <w:rsid w:val="06A2550B"/>
    <w:rsid w:val="06F80EE2"/>
    <w:rsid w:val="07001CCA"/>
    <w:rsid w:val="075678DB"/>
    <w:rsid w:val="079D7CC7"/>
    <w:rsid w:val="08051BCA"/>
    <w:rsid w:val="086C12F4"/>
    <w:rsid w:val="08BA052C"/>
    <w:rsid w:val="08DB07BA"/>
    <w:rsid w:val="09366649"/>
    <w:rsid w:val="0969353F"/>
    <w:rsid w:val="098305D0"/>
    <w:rsid w:val="098A0877"/>
    <w:rsid w:val="0A5C4B69"/>
    <w:rsid w:val="0A86124A"/>
    <w:rsid w:val="0AB54CC0"/>
    <w:rsid w:val="0B9335CE"/>
    <w:rsid w:val="0C5D1E9A"/>
    <w:rsid w:val="0C7927C4"/>
    <w:rsid w:val="0C9B098C"/>
    <w:rsid w:val="0D673E11"/>
    <w:rsid w:val="0DDA54E4"/>
    <w:rsid w:val="0DE43446"/>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D55D58"/>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1FD777E2"/>
    <w:rsid w:val="20642787"/>
    <w:rsid w:val="21556F04"/>
    <w:rsid w:val="22403BD3"/>
    <w:rsid w:val="23DA37D9"/>
    <w:rsid w:val="24B92327"/>
    <w:rsid w:val="24C14514"/>
    <w:rsid w:val="2533755C"/>
    <w:rsid w:val="25791755"/>
    <w:rsid w:val="26396DF4"/>
    <w:rsid w:val="27167136"/>
    <w:rsid w:val="27B23302"/>
    <w:rsid w:val="28221A51"/>
    <w:rsid w:val="29310A5F"/>
    <w:rsid w:val="29C37A35"/>
    <w:rsid w:val="2A076083"/>
    <w:rsid w:val="2A73162E"/>
    <w:rsid w:val="2B167953"/>
    <w:rsid w:val="2B200583"/>
    <w:rsid w:val="2B8209DE"/>
    <w:rsid w:val="2C6762A3"/>
    <w:rsid w:val="2EBF7B3E"/>
    <w:rsid w:val="2EDE1934"/>
    <w:rsid w:val="2FBF256C"/>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8712C8"/>
    <w:rsid w:val="3C566AD6"/>
    <w:rsid w:val="3C6A5B02"/>
    <w:rsid w:val="3D2757A1"/>
    <w:rsid w:val="3D3D4FC4"/>
    <w:rsid w:val="3DDF3AB1"/>
    <w:rsid w:val="3E1D0952"/>
    <w:rsid w:val="3E42660A"/>
    <w:rsid w:val="3E7555B1"/>
    <w:rsid w:val="3E787ED9"/>
    <w:rsid w:val="3EEC37F3"/>
    <w:rsid w:val="3F032E93"/>
    <w:rsid w:val="3F0527E5"/>
    <w:rsid w:val="3F694D83"/>
    <w:rsid w:val="3F885DCC"/>
    <w:rsid w:val="3FA47C46"/>
    <w:rsid w:val="3FCD675E"/>
    <w:rsid w:val="4004000C"/>
    <w:rsid w:val="411B6CE5"/>
    <w:rsid w:val="412070D7"/>
    <w:rsid w:val="41314E40"/>
    <w:rsid w:val="41E0734B"/>
    <w:rsid w:val="426554D0"/>
    <w:rsid w:val="426C1EA8"/>
    <w:rsid w:val="42736402"/>
    <w:rsid w:val="42E86A87"/>
    <w:rsid w:val="43307B09"/>
    <w:rsid w:val="438D0E97"/>
    <w:rsid w:val="43BB152F"/>
    <w:rsid w:val="44C37687"/>
    <w:rsid w:val="44D07886"/>
    <w:rsid w:val="45CB699A"/>
    <w:rsid w:val="465B470D"/>
    <w:rsid w:val="469D6AD4"/>
    <w:rsid w:val="471E6C84"/>
    <w:rsid w:val="4748792B"/>
    <w:rsid w:val="475D719D"/>
    <w:rsid w:val="47674801"/>
    <w:rsid w:val="48225EF7"/>
    <w:rsid w:val="488F422B"/>
    <w:rsid w:val="48E36915"/>
    <w:rsid w:val="495C4A24"/>
    <w:rsid w:val="497135DF"/>
    <w:rsid w:val="49EB0B54"/>
    <w:rsid w:val="4A263DF2"/>
    <w:rsid w:val="4A6F6675"/>
    <w:rsid w:val="4B0502DF"/>
    <w:rsid w:val="4B135857"/>
    <w:rsid w:val="4B7951CB"/>
    <w:rsid w:val="4B7C315C"/>
    <w:rsid w:val="4DAC4ACA"/>
    <w:rsid w:val="4DBE01D2"/>
    <w:rsid w:val="4EFC6D10"/>
    <w:rsid w:val="4F0C6BA3"/>
    <w:rsid w:val="4F10477D"/>
    <w:rsid w:val="4F186D58"/>
    <w:rsid w:val="4F3132F9"/>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8C52074"/>
    <w:rsid w:val="5A3B59D6"/>
    <w:rsid w:val="5AA02D19"/>
    <w:rsid w:val="5AD134D8"/>
    <w:rsid w:val="5B6503B1"/>
    <w:rsid w:val="5C263CE4"/>
    <w:rsid w:val="5C5D2777"/>
    <w:rsid w:val="5CF66BF3"/>
    <w:rsid w:val="5D290C69"/>
    <w:rsid w:val="5F2D4A41"/>
    <w:rsid w:val="60C74F6C"/>
    <w:rsid w:val="61025A59"/>
    <w:rsid w:val="613D5BBC"/>
    <w:rsid w:val="61536C39"/>
    <w:rsid w:val="61AF77F0"/>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9D2F83"/>
    <w:rsid w:val="72DB435C"/>
    <w:rsid w:val="72E2613A"/>
    <w:rsid w:val="72F771F4"/>
    <w:rsid w:val="736650B0"/>
    <w:rsid w:val="73934AD2"/>
    <w:rsid w:val="750837F0"/>
    <w:rsid w:val="754758CF"/>
    <w:rsid w:val="764F62AB"/>
    <w:rsid w:val="765C45EC"/>
    <w:rsid w:val="768A7619"/>
    <w:rsid w:val="772E1EBA"/>
    <w:rsid w:val="776F0522"/>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2"/>
    <w:next w:val="1"/>
    <w:unhideWhenUsed/>
    <w:qFormat/>
    <w:uiPriority w:val="0"/>
    <w:pPr>
      <w:keepNext/>
      <w:keepLines/>
      <w:spacing w:line="372" w:lineRule="auto"/>
      <w:outlineLvl w:val="3"/>
    </w:pPr>
    <w:rPr>
      <w:rFonts w:ascii="Arial" w:hAnsi="Arial" w:eastAsia="黑体"/>
      <w:sz w:val="2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6">
    <w:name w:val="索引 51"/>
    <w:next w:val="1"/>
    <w:qFormat/>
    <w:uiPriority w:val="99"/>
    <w:pPr>
      <w:widowControl w:val="0"/>
      <w:ind w:left="1680"/>
      <w:jc w:val="both"/>
    </w:pPr>
    <w:rPr>
      <w:rFonts w:ascii="Times New Roman" w:hAnsi="Times New Roman" w:eastAsia="宋体" w:cs="Times New Roman"/>
      <w:kern w:val="2"/>
      <w:sz w:val="21"/>
      <w:szCs w:val="24"/>
      <w:lang w:val="en-US" w:eastAsia="zh-CN" w:bidi="ar-SA"/>
    </w:rPr>
  </w:style>
  <w:style w:type="character" w:customStyle="1" w:styleId="17">
    <w:name w:val="21"/>
    <w:qFormat/>
    <w:uiPriority w:val="0"/>
    <w:rPr>
      <w:rFonts w:hint="default" w:ascii="Wingdings" w:hAnsi="Wingdings" w:cs="Wingdings"/>
      <w:b/>
      <w:bCs/>
    </w:rPr>
  </w:style>
  <w:style w:type="character" w:customStyle="1" w:styleId="18">
    <w:name w:val="批注框文本 Char"/>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5806</Words>
  <Characters>7180</Characters>
  <Lines>194</Lines>
  <Paragraphs>54</Paragraphs>
  <TotalTime>0</TotalTime>
  <ScaleCrop>false</ScaleCrop>
  <LinksUpToDate>false</LinksUpToDate>
  <CharactersWithSpaces>7493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2025-09-14T12:47:38Z</dcterms:modified>
  <dc:title>垫江县高安镇文化服务中心2024年度决算公开说明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