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9CC97">
      <w:pPr>
        <w:pStyle w:val="9"/>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垫江县高安镇劳动就业和社会保障服务所</w:t>
      </w:r>
      <w:r>
        <w:rPr>
          <w:rFonts w:hint="eastAsia" w:ascii="方正小标宋_GBK" w:hAnsi="方正小标宋_GBK" w:eastAsia="方正小标宋_GBK" w:cs="方正小标宋_GBK"/>
          <w:sz w:val="44"/>
          <w:szCs w:val="44"/>
          <w:shd w:val="clear" w:color="auto" w:fill="FFFFFF"/>
          <w:lang w:eastAsia="zh-CN"/>
        </w:rPr>
        <w:t>2024年</w:t>
      </w:r>
      <w:r>
        <w:rPr>
          <w:rFonts w:ascii="方正小标宋_GBK" w:hAnsi="方正小标宋_GBK" w:eastAsia="方正小标宋_GBK" w:cs="方正小标宋_GBK"/>
          <w:sz w:val="44"/>
          <w:szCs w:val="44"/>
          <w:shd w:val="clear" w:color="auto" w:fill="FFFFFF"/>
        </w:rPr>
        <w:t>度决算公开说明</w:t>
      </w:r>
    </w:p>
    <w:p w14:paraId="6DD9B332">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Fonts w:hint="eastAsia" w:ascii="方正黑体_GBK" w:hAnsi="方正黑体_GBK" w:eastAsia="方正黑体_GBK" w:cs="方正黑体_GBK"/>
          <w:b w:val="0"/>
          <w:bCs/>
          <w:sz w:val="32"/>
          <w:szCs w:val="32"/>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3824F63C">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14:paraId="21BA8E90">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仿宋_GBK" w:eastAsia="仿宋_GB2312" w:cs="方正仿宋_GBK"/>
          <w:color w:val="000000"/>
          <w:sz w:val="32"/>
          <w:szCs w:val="32"/>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3A0A2FA8">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14:paraId="47A4DCFF">
      <w:pPr>
        <w:pStyle w:val="9"/>
        <w:widowControl/>
        <w:shd w:val="clear" w:color="auto" w:fill="FFFFFF"/>
        <w:wordWrap/>
        <w:adjustRightInd/>
        <w:spacing w:before="0" w:beforeAutospacing="0" w:after="0" w:afterAutospacing="0" w:line="594" w:lineRule="exact"/>
        <w:ind w:left="0" w:leftChars="0" w:right="0" w:firstLine="640" w:firstLineChars="200"/>
        <w:jc w:val="left"/>
        <w:textAlignment w:val="auto"/>
        <w:outlineLvl w:val="9"/>
        <w:rPr>
          <w:rFonts w:hint="default" w:ascii="仿宋_GB2312" w:hAnsi="仿宋" w:eastAsia="仿宋_GB2312"/>
          <w:sz w:val="32"/>
          <w:szCs w:val="32"/>
        </w:rPr>
      </w:pPr>
      <w:r>
        <w:rPr>
          <w:rFonts w:ascii="仿宋_GB2312" w:hAnsi="仿宋" w:eastAsia="仿宋_GB2312"/>
          <w:sz w:val="32"/>
          <w:szCs w:val="32"/>
        </w:rPr>
        <w:t>机构情况：202</w:t>
      </w:r>
      <w:r>
        <w:rPr>
          <w:rFonts w:hint="eastAsia" w:ascii="仿宋_GB2312" w:hAnsi="仿宋" w:eastAsia="仿宋_GB2312"/>
          <w:sz w:val="32"/>
          <w:szCs w:val="32"/>
          <w:lang w:val="en-US" w:eastAsia="zh-CN"/>
        </w:rPr>
        <w:t>4</w:t>
      </w:r>
      <w:r>
        <w:rPr>
          <w:rFonts w:ascii="仿宋_GB2312" w:hAnsi="仿宋" w:eastAsia="仿宋_GB2312"/>
          <w:sz w:val="32"/>
          <w:szCs w:val="32"/>
        </w:rPr>
        <w:t>年</w:t>
      </w:r>
      <w:r>
        <w:rPr>
          <w:rFonts w:hint="eastAsia" w:ascii="仿宋_GB2312" w:hAnsi="仿宋" w:eastAsia="仿宋_GB2312"/>
          <w:sz w:val="32"/>
          <w:szCs w:val="32"/>
          <w:lang w:eastAsia="zh-CN"/>
        </w:rPr>
        <w:t>未</w:t>
      </w:r>
      <w:r>
        <w:rPr>
          <w:rFonts w:ascii="仿宋_GB2312" w:hAnsi="仿宋" w:eastAsia="仿宋_GB2312"/>
          <w:sz w:val="32"/>
          <w:szCs w:val="32"/>
        </w:rPr>
        <w:t>进行独立核算。</w:t>
      </w:r>
    </w:p>
    <w:p w14:paraId="2705F5B4">
      <w:pPr>
        <w:widowControl/>
        <w:wordWrap/>
        <w:adjustRightInd/>
        <w:snapToGrid w:val="0"/>
        <w:spacing w:beforeAutospacing="0" w:afterAutospacing="0" w:line="594" w:lineRule="exact"/>
        <w:ind w:left="0" w:leftChars="0" w:right="0" w:firstLine="640" w:firstLineChars="200"/>
        <w:jc w:val="left"/>
        <w:textAlignment w:val="auto"/>
        <w:outlineLvl w:val="9"/>
        <w:rPr>
          <w:rFonts w:hint="default" w:ascii="仿宋_GB2312" w:hAnsi="仿宋" w:eastAsia="仿宋_GB2312"/>
          <w:sz w:val="32"/>
          <w:szCs w:val="32"/>
        </w:rPr>
      </w:pPr>
      <w:r>
        <w:rPr>
          <w:rFonts w:ascii="仿宋_GB2312" w:hAnsi="仿宋" w:eastAsia="仿宋_GB2312"/>
          <w:sz w:val="32"/>
          <w:szCs w:val="32"/>
        </w:rPr>
        <w:t>人员情况：本单位现有在职职工9人。</w:t>
      </w:r>
    </w:p>
    <w:p w14:paraId="62C5AAA0">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7B706558">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14:paraId="25F1702C">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度收入总计227.61万元，支出总计</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万元。收、支与2023年度相比，增加23.76万元，增长11.66%，主要原因是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14:paraId="17AD5698">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度收入合计227.61万元，与2023年度相比，增加23.76万元，增长11.66%，主要原因是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3A134E5">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万元，与2023年度相比，增加23.76万元，增长11.66%，主要原因是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924CC42">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14:paraId="7C21A5D0">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14:paraId="3192F74C">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度财政拨款收、支总计227.61万元。与202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年相比，财政拨款收、支总计各增加23.76万元，增长11.66%。主要原因是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14:paraId="26424724">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01447B5F">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万元，与2023年度相比，增加23.76万元，增长11.66%。主要原因是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较年初预算数增加59.89万元，增长35.71%。主要原因是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CCB28C0">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万元，与2023年度相比，增加23.76万元，增长11.66%。主要原因是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较年初预算数增加59.89万元，增长35.71%。主要原因是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14:paraId="17BAC4DB">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14:paraId="4A9B08EB">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1A1215CC">
      <w:pPr>
        <w:pStyle w:val="9"/>
        <w:widowControl/>
        <w:numPr>
          <w:ilvl w:val="0"/>
          <w:numId w:val="1"/>
        </w:numPr>
        <w:wordWrap/>
        <w:adjustRightInd/>
        <w:snapToGrid w:val="0"/>
        <w:spacing w:before="0" w:beforeAutospacing="0" w:after="0" w:afterAutospacing="0" w:line="594"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203.17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89.26</w:t>
      </w:r>
      <w:r>
        <w:rPr>
          <w:rFonts w:ascii="方正仿宋_GBK" w:hAnsi="方正仿宋_GBK" w:eastAsia="方正仿宋_GBK" w:cs="方正仿宋_GBK"/>
          <w:sz w:val="32"/>
          <w:szCs w:val="32"/>
          <w:shd w:val="clear" w:color="auto" w:fill="FFFFFF"/>
        </w:rPr>
        <w:t>%，较年初预算数增加50.55万元，增长33.12%，主要原因是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14:paraId="13033A1D">
      <w:pPr>
        <w:pStyle w:val="9"/>
        <w:widowControl/>
        <w:numPr>
          <w:ilvl w:val="0"/>
          <w:numId w:val="0"/>
        </w:numPr>
        <w:wordWrap/>
        <w:adjustRightInd/>
        <w:snapToGrid w:val="0"/>
        <w:spacing w:before="0" w:beforeAutospacing="0" w:after="0" w:afterAutospacing="0" w:line="594" w:lineRule="exact"/>
        <w:ind w:right="0"/>
        <w:jc w:val="both"/>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3.49</w:t>
      </w:r>
      <w:r>
        <w:rPr>
          <w:rFonts w:ascii="方正仿宋_GBK" w:hAnsi="方正仿宋_GBK" w:eastAsia="方正仿宋_GBK" w:cs="方正仿宋_GBK"/>
          <w:sz w:val="32"/>
          <w:szCs w:val="32"/>
          <w:shd w:val="clear" w:color="auto" w:fill="FFFFFF"/>
        </w:rPr>
        <w:t>%，较年初预算数增加1.09万元，增长15.89%，主要原因是是医疗保险支出</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w:t>
      </w:r>
    </w:p>
    <w:p w14:paraId="37464311">
      <w:pPr>
        <w:widowControl/>
        <w:wordWrap/>
        <w:adjustRightInd/>
        <w:spacing w:beforeAutospacing="0" w:afterAutospacing="0" w:line="594" w:lineRule="exact"/>
        <w:ind w:left="0" w:leftChars="0" w:right="0" w:firstLine="640" w:firstLineChars="200"/>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住房保障支出16.49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7.25</w:t>
      </w:r>
      <w:r>
        <w:rPr>
          <w:rFonts w:ascii="方正仿宋_GBK" w:hAnsi="方正仿宋_GBK" w:eastAsia="方正仿宋_GBK" w:cs="方正仿宋_GBK"/>
          <w:sz w:val="32"/>
          <w:szCs w:val="32"/>
          <w:shd w:val="clear" w:color="auto" w:fill="FFFFFF"/>
        </w:rPr>
        <w:t>%，较年初预算数增加8.26万元，增长100.36%，主要原因是是</w:t>
      </w:r>
      <w:r>
        <w:rPr>
          <w:rFonts w:hint="eastAsia" w:ascii="方正仿宋_GBK" w:hAnsi="方正仿宋_GBK" w:eastAsia="方正仿宋_GBK" w:cs="方正仿宋_GBK"/>
          <w:sz w:val="32"/>
          <w:szCs w:val="32"/>
          <w:shd w:val="clear" w:color="auto" w:fill="FFFFFF"/>
          <w:lang w:eastAsia="zh-CN"/>
        </w:rPr>
        <w:t>住房公积金支出增加。</w:t>
      </w:r>
    </w:p>
    <w:p w14:paraId="43DAAEE1">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0C62B1A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220.02</w:t>
      </w:r>
      <w:r>
        <w:rPr>
          <w:rFonts w:ascii="方正仿宋_GBK" w:hAnsi="方正仿宋_GBK" w:eastAsia="方正仿宋_GBK" w:cs="方正仿宋_GBK"/>
          <w:sz w:val="32"/>
          <w:szCs w:val="32"/>
          <w:shd w:val="clear" w:color="auto" w:fill="FFFFFF"/>
        </w:rPr>
        <w:t>万元，与2023年度相比，增加27.29万元，增长14.16%，主要原因是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人员经费用途主要包括基本工资、津贴补贴、基础绩效、超额绩效、社会保障缴费等。公用经费</w:t>
      </w:r>
      <w:r>
        <w:rPr>
          <w:rFonts w:ascii="方正仿宋_GBK" w:hAnsi="方正仿宋_GBK" w:eastAsia="方正仿宋_GBK" w:cs="方正仿宋_GBK"/>
          <w:sz w:val="32"/>
          <w:szCs w:val="32"/>
        </w:rPr>
        <w:t>7.59</w:t>
      </w:r>
      <w:r>
        <w:rPr>
          <w:rFonts w:ascii="方正仿宋_GBK" w:hAnsi="方正仿宋_GBK" w:eastAsia="方正仿宋_GBK" w:cs="方正仿宋_GBK"/>
          <w:sz w:val="32"/>
          <w:szCs w:val="32"/>
          <w:shd w:val="clear" w:color="auto" w:fill="FFFFFF"/>
        </w:rPr>
        <w:t>万元，与2023年度相比，减少3.53万元，下降31.74%，主要原因是</w:t>
      </w:r>
      <w:r>
        <w:rPr>
          <w:rFonts w:hint="eastAsia" w:ascii="方正仿宋_GBK" w:hAnsi="方正仿宋_GBK" w:eastAsia="方正仿宋_GBK" w:cs="方正仿宋_GBK"/>
          <w:sz w:val="32"/>
          <w:szCs w:val="32"/>
          <w:shd w:val="clear" w:color="auto" w:fill="FFFFFF"/>
          <w:lang w:eastAsia="zh-CN"/>
        </w:rPr>
        <w:t>公用经费差旅费等减少</w:t>
      </w:r>
      <w:r>
        <w:rPr>
          <w:rFonts w:ascii="仿宋_GB2312" w:hAnsi="仿宋" w:eastAsia="仿宋_GB2312" w:cs="仿宋"/>
          <w:color w:val="000000"/>
          <w:sz w:val="32"/>
          <w:szCs w:val="32"/>
        </w:rPr>
        <w:t>。</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cs="宋体"/>
          <w:sz w:val="32"/>
          <w:szCs w:val="32"/>
          <w:shd w:val="clear" w:color="auto" w:fill="FFFFFF"/>
        </w:rPr>
        <w:t>办公费、印刷费、委托业务费、差旅费等。</w:t>
      </w:r>
    </w:p>
    <w:p w14:paraId="5CB84287">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14:paraId="06D0FBA5">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01CFA9D6">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14:paraId="08A4FF3A">
      <w:pPr>
        <w:pStyle w:val="9"/>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18DCC8AE">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1B67E3D2">
      <w:pPr>
        <w:pStyle w:val="14"/>
        <w:widowControl/>
        <w:wordWrap/>
        <w:autoSpaceDE w:val="0"/>
        <w:adjustRightInd/>
        <w:spacing w:beforeAutospacing="0" w:afterAutospacing="0" w:line="594" w:lineRule="exact"/>
        <w:ind w:left="0" w:leftChars="0" w:right="0" w:firstLine="643"/>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Style w:val="13"/>
          <w:rFonts w:hint="eastAsia" w:ascii="方正楷体_GBK" w:hAnsi="方正楷体_GBK" w:eastAsia="方正楷体_GBK" w:cs="方正楷体_GBK"/>
          <w:bCs/>
          <w:sz w:val="32"/>
          <w:szCs w:val="32"/>
          <w:shd w:val="clear" w:color="auto" w:fill="FFFFFF"/>
          <w:lang w:val="en-US" w:eastAsia="zh-CN" w:bidi="ar-SA"/>
        </w:rPr>
        <w:t>（一）“三公”经费支出总体情况说明</w:t>
      </w:r>
    </w:p>
    <w:p w14:paraId="4459F579">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万元，较年初预算数无增减，主要原因是我单位202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年未发生“三公”经费支出。较上年支出数无增减，主要原因是本单位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14:paraId="2EA8B48E">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（二）“三公”经费分项支出情况</w:t>
      </w:r>
    </w:p>
    <w:p w14:paraId="2A2BFD27">
      <w:pPr>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万元。费用支出较年初预算数无增减，主要原因是年初预算未安排因公出国（境）费用，也未发生因公出国（境）费用。与2023年度相比，无增减，主要原因是</w:t>
      </w:r>
      <w:r>
        <w:rPr>
          <w:rFonts w:hint="eastAsia" w:ascii="方正仿宋_GBK" w:hAnsi="方正仿宋_GBK" w:eastAsia="方正仿宋_GBK" w:cs="方正仿宋_GBK"/>
          <w:sz w:val="32"/>
          <w:szCs w:val="32"/>
          <w:shd w:val="clear" w:color="auto" w:fill="FFFFFF"/>
          <w:lang w:val="en-US" w:eastAsia="zh-CN" w:bidi="ar-SA"/>
        </w:rPr>
        <w:t>本单位本年度与</w:t>
      </w:r>
      <w:r>
        <w:rPr>
          <w:rFonts w:hint="eastAsia" w:ascii="方正仿宋_GBK" w:hAnsi="方正仿宋_GBK" w:eastAsia="方正仿宋_GBK" w:cs="方正仿宋_GBK"/>
          <w:sz w:val="32"/>
          <w:szCs w:val="32"/>
          <w:shd w:val="clear" w:color="auto" w:fill="FFFFFF"/>
          <w:lang w:eastAsia="zh-CN"/>
        </w:rPr>
        <w:t>上年度均无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费支出</w:t>
      </w:r>
      <w:r>
        <w:rPr>
          <w:rFonts w:ascii="方正仿宋_GBK" w:hAnsi="方正仿宋_GBK" w:eastAsia="方正仿宋_GBK" w:cs="方正仿宋_GBK"/>
          <w:sz w:val="32"/>
          <w:szCs w:val="32"/>
          <w:shd w:val="clear" w:color="auto" w:fill="FFFFFF"/>
        </w:rPr>
        <w:t>。</w:t>
      </w:r>
    </w:p>
    <w:p w14:paraId="7B6725B2">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万元。费用支出较年初预算数无增减，主要原因是年初预算未安排且本年未发生公务车购置费用。与2023年度相比，无增减，主要原因是本单位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公务车购置</w:t>
      </w:r>
      <w:r>
        <w:rPr>
          <w:rFonts w:hint="eastAsia" w:ascii="方正仿宋_GBK" w:hAnsi="方正仿宋_GBK" w:eastAsia="方正仿宋_GBK" w:cs="方正仿宋_GBK"/>
          <w:sz w:val="32"/>
          <w:szCs w:val="32"/>
          <w:shd w:val="clear" w:color="auto" w:fill="FFFFFF"/>
          <w:lang w:eastAsia="zh-CN"/>
        </w:rPr>
        <w:t>费支出</w:t>
      </w:r>
      <w:r>
        <w:rPr>
          <w:rFonts w:ascii="方正仿宋_GBK" w:hAnsi="方正仿宋_GBK" w:eastAsia="方正仿宋_GBK" w:cs="方正仿宋_GBK"/>
          <w:sz w:val="32"/>
          <w:szCs w:val="32"/>
          <w:shd w:val="clear" w:color="auto" w:fill="FFFFFF"/>
        </w:rPr>
        <w:t>。</w:t>
      </w:r>
    </w:p>
    <w:p w14:paraId="25582853">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费用支出较年初预算数无增减，主要原因是年初预算数未安排且本年未发生公务车运行维护费用。与2023年度相比，无增减，主要原因是本单位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公务车运行维护</w:t>
      </w:r>
      <w:r>
        <w:rPr>
          <w:rFonts w:hint="eastAsia" w:ascii="方正仿宋_GBK" w:hAnsi="方正仿宋_GBK" w:eastAsia="方正仿宋_GBK" w:cs="方正仿宋_GBK"/>
          <w:sz w:val="32"/>
          <w:szCs w:val="32"/>
          <w:shd w:val="clear" w:color="auto" w:fill="FFFFFF"/>
          <w:lang w:eastAsia="zh-CN"/>
        </w:rPr>
        <w:t>费支出</w:t>
      </w:r>
      <w:r>
        <w:rPr>
          <w:rFonts w:ascii="方正仿宋_GBK" w:hAnsi="方正仿宋_GBK" w:eastAsia="方正仿宋_GBK" w:cs="方正仿宋_GBK"/>
          <w:sz w:val="32"/>
          <w:szCs w:val="32"/>
          <w:shd w:val="clear" w:color="auto" w:fill="FFFFFF"/>
        </w:rPr>
        <w:t>。</w:t>
      </w:r>
    </w:p>
    <w:p w14:paraId="79555BDC">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仿宋_GB2312" w:hAnsi="仿宋" w:eastAsia="仿宋_GB2312" w:cs="仿宋"/>
          <w:color w:val="000000"/>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14:paraId="3D88CF05">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14:paraId="2688C14A">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54C0D412">
      <w:pPr>
        <w:pStyle w:val="9"/>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3B2C5A7F">
      <w:pPr>
        <w:pStyle w:val="14"/>
        <w:widowControl/>
        <w:wordWrap/>
        <w:autoSpaceDE w:val="0"/>
        <w:adjustRightInd/>
        <w:spacing w:beforeAutospacing="0" w:afterAutospacing="0" w:line="594" w:lineRule="exact"/>
        <w:ind w:left="0" w:leftChars="0" w:right="0" w:firstLine="643"/>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Style w:val="13"/>
          <w:rFonts w:hint="eastAsia" w:ascii="方正楷体_GBK" w:hAnsi="方正楷体_GBK" w:eastAsia="方正楷体_GBK" w:cs="方正楷体_GBK"/>
          <w:bCs/>
          <w:sz w:val="32"/>
          <w:szCs w:val="32"/>
          <w:shd w:val="clear" w:color="auto" w:fill="FFFFFF"/>
          <w:lang w:val="en-US" w:eastAsia="zh-CN" w:bidi="ar-SA"/>
        </w:rPr>
        <w:t>（一）财政拨款会议费和培训费情况说明</w:t>
      </w:r>
    </w:p>
    <w:p w14:paraId="4857F15C">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本单位本年度与上年度均无会议费支出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本单位本年度与上年度均无培训费支出</w:t>
      </w:r>
      <w:r>
        <w:rPr>
          <w:rFonts w:ascii="方正仿宋_GBK" w:hAnsi="方正仿宋_GBK" w:eastAsia="方正仿宋_GBK" w:cs="方正仿宋_GBK"/>
          <w:sz w:val="32"/>
          <w:szCs w:val="32"/>
          <w:shd w:val="clear" w:color="auto" w:fill="FFFFFF"/>
        </w:rPr>
        <w:t>。</w:t>
      </w:r>
    </w:p>
    <w:p w14:paraId="7414DE29">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14:paraId="70472F5A">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机关运行经费较上年支出数无增减，</w:t>
      </w:r>
      <w:r>
        <w:rPr>
          <w:rFonts w:ascii="方正仿宋_GBK" w:eastAsia="方正仿宋_GBK"/>
          <w:bCs/>
          <w:sz w:val="32"/>
          <w:szCs w:val="32"/>
        </w:rPr>
        <w:t>主要原因是按照部门决算列报口径，我单位不在机关运行经费统计范围之内。</w:t>
      </w:r>
    </w:p>
    <w:p w14:paraId="311FE87B">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14:paraId="0C1B30A9">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4ED1BCA">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（四）政府采购支出情况说明</w:t>
      </w:r>
    </w:p>
    <w:p w14:paraId="7F9F80E6">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05240018">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1B791394">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w:t>
      </w:r>
      <w:r>
        <w:rPr>
          <w:rStyle w:val="13"/>
          <w:rFonts w:hint="eastAsia" w:ascii="方正楷体_GBK" w:hAnsi="方正楷体_GBK" w:eastAsia="方正楷体_GBK" w:cs="方正楷体_GBK"/>
          <w:b w:val="0"/>
          <w:bCs/>
          <w:sz w:val="32"/>
          <w:szCs w:val="32"/>
          <w:shd w:val="clear" w:color="auto" w:fill="FFFFFF"/>
          <w:lang w:eastAsia="zh-CN"/>
        </w:rPr>
        <w:t>单位</w:t>
      </w:r>
      <w:r>
        <w:rPr>
          <w:rStyle w:val="13"/>
          <w:rFonts w:hint="eastAsia" w:ascii="方正楷体_GBK" w:hAnsi="方正楷体_GBK" w:eastAsia="方正楷体_GBK" w:cs="方正楷体_GBK"/>
          <w:b w:val="0"/>
          <w:bCs/>
          <w:sz w:val="32"/>
          <w:szCs w:val="32"/>
          <w:shd w:val="clear" w:color="auto" w:fill="FFFFFF"/>
        </w:rPr>
        <w:t>自评情况</w:t>
      </w:r>
    </w:p>
    <w:p w14:paraId="45A8AFF5">
      <w:pPr>
        <w:pStyle w:val="16"/>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我单位无项目绩效自评。</w:t>
      </w:r>
    </w:p>
    <w:p w14:paraId="2075CF75">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w:t>
      </w:r>
      <w:r>
        <w:rPr>
          <w:rStyle w:val="13"/>
          <w:rFonts w:hint="eastAsia" w:ascii="方正楷体_GBK" w:hAnsi="方正楷体_GBK" w:eastAsia="方正楷体_GBK" w:cs="方正楷体_GBK"/>
          <w:b w:val="0"/>
          <w:bCs/>
          <w:sz w:val="32"/>
          <w:szCs w:val="32"/>
          <w:shd w:val="clear" w:color="auto" w:fill="FFFFFF"/>
          <w:lang w:eastAsia="zh-CN"/>
        </w:rPr>
        <w:t>单位</w:t>
      </w:r>
      <w:r>
        <w:rPr>
          <w:rStyle w:val="13"/>
          <w:rFonts w:hint="eastAsia" w:ascii="方正楷体_GBK" w:hAnsi="方正楷体_GBK" w:eastAsia="方正楷体_GBK" w:cs="方正楷体_GBK"/>
          <w:b w:val="0"/>
          <w:bCs/>
          <w:sz w:val="32"/>
          <w:szCs w:val="32"/>
          <w:shd w:val="clear" w:color="auto" w:fill="FFFFFF"/>
        </w:rPr>
        <w:t>绩效评价情况</w:t>
      </w:r>
    </w:p>
    <w:p w14:paraId="6125C16B">
      <w:pPr>
        <w:pStyle w:val="14"/>
        <w:widowControl/>
        <w:wordWrap/>
        <w:autoSpaceDE w:val="0"/>
        <w:adjustRightInd/>
        <w:spacing w:beforeAutospacing="0" w:afterAutospacing="0" w:line="594" w:lineRule="exact"/>
        <w:ind w:left="0" w:leftChars="0" w:right="0" w:firstLine="643"/>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12904B0D">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（三）财政绩效评价情况</w:t>
      </w:r>
    </w:p>
    <w:p w14:paraId="58F4BA70">
      <w:pPr>
        <w:pStyle w:val="16"/>
        <w:autoSpaceDE w:val="0"/>
        <w:ind w:firstLine="640"/>
        <w:rPr>
          <w:rStyle w:val="13"/>
          <w:rFonts w:hint="eastAsia" w:ascii="方正黑体_GBK" w:hAnsi="方正黑体_GBK" w:eastAsia="方正黑体_GBK" w:cs="方正黑体_GBK"/>
          <w:b w:val="0"/>
          <w:bCs/>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04E83D61">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hint="eastAsia" w:ascii="方正黑体_GBK" w:hAnsi="方正黑体_GBK" w:eastAsia="方正黑体_GBK" w:cs="方正黑体_GBK"/>
          <w:b w:val="0"/>
          <w:bCs/>
          <w:sz w:val="32"/>
          <w:szCs w:val="32"/>
          <w:shd w:val="clear" w:color="auto" w:fill="FFFFFF"/>
        </w:rPr>
        <w:t>六、专业名词解释</w:t>
      </w:r>
    </w:p>
    <w:p w14:paraId="2A8D452D">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3AA61B3">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 （二）事业收入：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AB02F95">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E90233A">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E52FF65">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27340E7">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F60CC08">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1476662">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7EA1398">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F891D81">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680E3D1">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CF06F4B">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78D061">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42981C1">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29033B5">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036AC7D">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270AB980">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 （十七）其他资本性支出（支出经济分类科目类级）：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4C1DDDC">
      <w:pPr>
        <w:pStyle w:val="9"/>
        <w:widowControl/>
        <w:shd w:val="clear" w:color="auto" w:fill="FFFFFF"/>
        <w:wordWrap/>
        <w:adjustRightInd/>
        <w:spacing w:before="0" w:beforeAutospacing="0" w:after="0" w:afterAutospacing="0" w:line="594" w:lineRule="exact"/>
        <w:ind w:left="0" w:leftChars="0" w:right="0"/>
        <w:textAlignment w:val="auto"/>
        <w:outlineLvl w:val="9"/>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14:paraId="12706C65">
      <w:pPr>
        <w:pStyle w:val="14"/>
        <w:widowControl/>
        <w:wordWrap/>
        <w:autoSpaceDE w:val="0"/>
        <w:adjustRightInd/>
        <w:spacing w:beforeAutospacing="0" w:afterAutospacing="0" w:line="594" w:lineRule="exact"/>
        <w:ind w:left="0" w:leftChars="0" w:right="0" w:firstLine="640" w:firstLineChars="0"/>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本单位决算公开信息反馈和联系方式：023-74552700。</w:t>
      </w:r>
    </w:p>
    <w:p w14:paraId="1B2023C1">
      <w:pPr>
        <w:pStyle w:val="14"/>
        <w:widowControl/>
        <w:wordWrap/>
        <w:autoSpaceDE w:val="0"/>
        <w:adjustRightInd/>
        <w:spacing w:beforeAutospacing="0" w:afterAutospacing="0" w:line="594" w:lineRule="exact"/>
        <w:ind w:left="0" w:leftChars="0" w:right="0" w:firstLine="640" w:firstLineChars="0"/>
        <w:textAlignment w:val="auto"/>
        <w:outlineLvl w:val="9"/>
        <w:rPr>
          <w:rFonts w:hint="eastAsia" w:ascii="方正仿宋_GBK" w:hAnsi="方正仿宋_GBK" w:eastAsia="方正仿宋_GBK" w:cs="方正仿宋_GBK"/>
          <w:sz w:val="32"/>
          <w:szCs w:val="32"/>
          <w:shd w:val="clear" w:color="auto" w:fill="FFFFFF"/>
        </w:rPr>
      </w:pPr>
    </w:p>
    <w:p w14:paraId="12B106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垫江县高安镇劳动就业和社会保障服务所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203.17</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227.61</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227.61</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垫江县高安镇劳动就业和社会保障服务所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227.61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227.61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DE57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A940">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75B21">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6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2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E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1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1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2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B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2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83BE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8EEF">
            <w:pPr>
              <w:textAlignment w:val="center"/>
              <w:rPr>
                <w:rFonts w:hint="default" w:cs="宋体"/>
                <w:color w:val="000000"/>
                <w:sz w:val="20"/>
                <w:szCs w:val="20"/>
              </w:rPr>
            </w:pPr>
            <w:r>
              <w:rPr>
                <w:rFonts w:cs="宋体"/>
                <w:color w:val="000000"/>
                <w:sz w:val="20"/>
                <w:szCs w:val="20"/>
              </w:rPr>
              <w:t>2080150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D279F">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1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0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3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B7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36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E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C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2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00E0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432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9F4C2">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3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7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A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8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4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9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9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E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644B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67E9">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20D01">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8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81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5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4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F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B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1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A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5C9E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6C6D">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3B2A5">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1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4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E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5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B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4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F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5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7E27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95B3">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D8B30">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A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F2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41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9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D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3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B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3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69EC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93B3">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50C8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7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F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C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4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4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9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9B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B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3E68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F7FB">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D1839">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9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6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B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7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3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0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A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C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34F1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AAFB">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76B6F">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B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0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1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C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3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6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4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5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930B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87E9">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0AD67">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3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3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1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5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F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3E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AD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D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E685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5C50">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1876D">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3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F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C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D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D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8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5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2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5F84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604F">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43657">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C9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F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3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E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0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D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D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4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垫江县高安镇劳动就业和社会保障服务所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227.61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227.61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5109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8E47">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E01F4">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8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C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8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C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9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2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7809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C687">
            <w:pPr>
              <w:textAlignment w:val="center"/>
              <w:rPr>
                <w:rFonts w:hint="default" w:cs="宋体"/>
                <w:color w:val="000000"/>
                <w:sz w:val="20"/>
                <w:szCs w:val="20"/>
              </w:rPr>
            </w:pPr>
            <w:r>
              <w:rPr>
                <w:rFonts w:cs="宋体"/>
                <w:color w:val="000000"/>
                <w:sz w:val="20"/>
                <w:szCs w:val="20"/>
              </w:rPr>
              <w:t>2080150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B2F81">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2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C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F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9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F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4E67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C753">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AC329">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B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7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3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6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7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8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F8DD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82C9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A380">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D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A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2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5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9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B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0393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FB10">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6C35">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E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4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8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8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E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4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B8C0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A4ED">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C082B">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65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F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3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0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4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6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8EEA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065A">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767B7">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CB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3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7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4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7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2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B30F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ED83">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46EBA">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C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D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B9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5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9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A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7DEE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550A">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8046">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1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9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C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F3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0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5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5A98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4529">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19CB5">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7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8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6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8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5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4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0410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A1C1">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F7B9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F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9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D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4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8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0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AA2D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C24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FD76C">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E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1E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0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0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8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E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5109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DDB5">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1D812">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BAE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6DC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0AC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1EFF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340A">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E9FA8">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80B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310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0D0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46B3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EC5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D8E8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933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D08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987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37F1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3AC6">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1F869">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FBA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8D3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CAE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14B9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665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EE46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BFF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E94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3FE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7235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3F3B">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0589B">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F7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3B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5F6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2B0D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7E03">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1CA3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1D2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1E1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737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4345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5B72">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8B1A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47D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FC3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79C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B3EB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A3D5">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AFFBD">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D28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DF2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A4D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7999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527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1C083">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B78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6D6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1A1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A9C5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CBD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7D31E">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305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D50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17D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2820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AE12">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B270F">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416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092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D20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220.02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垫江县高安镇劳动就业和社会保障服务所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16BCD4B">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59E392-32D3-479C-A63C-DD0FE6A0C56F}"/>
  </w:font>
  <w:font w:name="黑体">
    <w:panose1 w:val="02010609060101010101"/>
    <w:charset w:val="86"/>
    <w:family w:val="auto"/>
    <w:pitch w:val="default"/>
    <w:sig w:usb0="800002BF" w:usb1="38CF7CFA" w:usb2="00000016" w:usb3="00000000" w:csb0="00040001" w:csb1="00000000"/>
    <w:embedRegular r:id="rId2" w:fontKey="{7D81BFC3-D230-45D3-AE12-2DA502F2F7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7D6CC8A1-8A9C-46EE-9503-A910BFE38C31}"/>
  </w:font>
  <w:font w:name="方正黑体_GBK">
    <w:panose1 w:val="02010600010101010101"/>
    <w:charset w:val="86"/>
    <w:family w:val="auto"/>
    <w:pitch w:val="default"/>
    <w:sig w:usb0="00000001" w:usb1="080E0000" w:usb2="00000000" w:usb3="00000000" w:csb0="00040000" w:csb1="00000000"/>
    <w:embedRegular r:id="rId4" w:fontKey="{FE59F963-A341-42C1-A644-3533D670BE98}"/>
  </w:font>
  <w:font w:name="方正楷体_GBK">
    <w:panose1 w:val="02000000000000000000"/>
    <w:charset w:val="86"/>
    <w:family w:val="auto"/>
    <w:pitch w:val="default"/>
    <w:sig w:usb0="800002BF" w:usb1="38CF7CFA" w:usb2="00000016" w:usb3="00000000" w:csb0="00040000" w:csb1="00000000"/>
    <w:embedRegular r:id="rId5" w:fontKey="{4ADF98E0-EEDE-4FB9-9509-C28CF91F81B5}"/>
  </w:font>
  <w:font w:name="仿宋_GB2312">
    <w:altName w:val="仿宋"/>
    <w:panose1 w:val="02010609030101010101"/>
    <w:charset w:val="86"/>
    <w:family w:val="auto"/>
    <w:pitch w:val="default"/>
    <w:sig w:usb0="00000000" w:usb1="00000000" w:usb2="00000010" w:usb3="00000000" w:csb0="00040000" w:csb1="00000000"/>
    <w:embedRegular r:id="rId6" w:fontKey="{79EF24A9-5F09-4BE1-8B4C-0C8A83202F23}"/>
  </w:font>
  <w:font w:name="仿宋">
    <w:panose1 w:val="02010609060101010101"/>
    <w:charset w:val="86"/>
    <w:family w:val="auto"/>
    <w:pitch w:val="default"/>
    <w:sig w:usb0="800002BF" w:usb1="38CF7CFA" w:usb2="00000016" w:usb3="00000000" w:csb0="00040001" w:csb1="00000000"/>
    <w:embedRegular r:id="rId7" w:fontKey="{D7F64353-F529-46F7-ADE6-CD5533D78B10}"/>
  </w:font>
  <w:font w:name="方正仿宋_GBK">
    <w:panose1 w:val="02000000000000000000"/>
    <w:charset w:val="86"/>
    <w:family w:val="auto"/>
    <w:pitch w:val="default"/>
    <w:sig w:usb0="A00002BF" w:usb1="38CF7CFA" w:usb2="00082016" w:usb3="00000000" w:csb0="00040001" w:csb1="00000000"/>
    <w:embedRegular r:id="rId8" w:fontKey="{97D181C8-D108-4491-B5C3-0479F089508A}"/>
  </w:font>
  <w:font w:name="楷体">
    <w:panose1 w:val="02010609060101010101"/>
    <w:charset w:val="86"/>
    <w:family w:val="auto"/>
    <w:pitch w:val="default"/>
    <w:sig w:usb0="800002BF" w:usb1="38CF7CFA" w:usb2="00000016" w:usb3="00000000" w:csb0="00040001" w:csb1="00000000"/>
    <w:embedRegular r:id="rId9" w:fontKey="{DF5CA0DE-8654-4257-8F76-78EA4216DD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9BA7F">
    <w:pPr>
      <w:pStyle w:val="6"/>
      <w:rPr>
        <w:rFonts w:hint="default"/>
      </w:rPr>
    </w:pPr>
    <w:r>
      <w:rPr>
        <w:rFonts w:hint="default"/>
      </w:rPr>
      <w:pict>
        <v:shape id="文本框 2"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69517E7E">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E4070">
    <w:pPr>
      <w:pStyle w:val="6"/>
      <w:jc w:val="both"/>
      <w:rPr>
        <w:rFonts w:hint="default"/>
      </w:rPr>
    </w:pPr>
    <w:r>
      <w:rPr>
        <w:rFonts w:hint="default" w:ascii="宋体" w:hAnsi="宋体" w:eastAsia="宋体" w:cs="Times New Roman"/>
        <w:sz w:val="18"/>
        <w:szCs w:val="18"/>
        <w:lang w:val="en-US" w:eastAsia="zh-CN" w:bidi="ar-SA"/>
      </w:rPr>
      <w:pict>
        <v:rect id="文本框 127"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567F287E">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4099"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37C6EA10">
                <w:pPr>
                  <w:pStyle w:val="6"/>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87AB4">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C4D9A"/>
    <w:multiLevelType w:val="singleLevel"/>
    <w:tmpl w:val="689C4D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5"/>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182E9C"/>
    <w:rsid w:val="05BC6D49"/>
    <w:rsid w:val="05E2049C"/>
    <w:rsid w:val="06194FF1"/>
    <w:rsid w:val="06A2550B"/>
    <w:rsid w:val="06BC056E"/>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8D42EE1"/>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3E0940"/>
    <w:rsid w:val="1F4B0B02"/>
    <w:rsid w:val="1FBB35CD"/>
    <w:rsid w:val="1FCD26AF"/>
    <w:rsid w:val="1FE8511A"/>
    <w:rsid w:val="20642787"/>
    <w:rsid w:val="21556F04"/>
    <w:rsid w:val="21EF5E73"/>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BDC4161"/>
    <w:rsid w:val="2C6762A3"/>
    <w:rsid w:val="2CD85C2B"/>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0F1350"/>
    <w:rsid w:val="36BD3FF4"/>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6B4AC6"/>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31ADD"/>
    <w:rsid w:val="558E4E05"/>
    <w:rsid w:val="55BE2E85"/>
    <w:rsid w:val="56530F5D"/>
    <w:rsid w:val="567700D3"/>
    <w:rsid w:val="56FF7E9E"/>
    <w:rsid w:val="578867FC"/>
    <w:rsid w:val="5842572D"/>
    <w:rsid w:val="5A3B59D6"/>
    <w:rsid w:val="5AD134D8"/>
    <w:rsid w:val="5B6503B1"/>
    <w:rsid w:val="5C263CE4"/>
    <w:rsid w:val="5C5D2777"/>
    <w:rsid w:val="5CF66BF3"/>
    <w:rsid w:val="5D290C69"/>
    <w:rsid w:val="5E0B6366"/>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B23BBC"/>
    <w:rsid w:val="66EE5541"/>
    <w:rsid w:val="67924660"/>
    <w:rsid w:val="68407834"/>
    <w:rsid w:val="6883293E"/>
    <w:rsid w:val="688412AD"/>
    <w:rsid w:val="68EB1B71"/>
    <w:rsid w:val="69475C96"/>
    <w:rsid w:val="6AAD2300"/>
    <w:rsid w:val="6B474EF5"/>
    <w:rsid w:val="6BBF53FD"/>
    <w:rsid w:val="6C560CAE"/>
    <w:rsid w:val="6C576495"/>
    <w:rsid w:val="6D903FF5"/>
    <w:rsid w:val="6DA955B8"/>
    <w:rsid w:val="6DD15DDF"/>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8D75C2F"/>
    <w:rsid w:val="796D60A4"/>
    <w:rsid w:val="79A031D5"/>
    <w:rsid w:val="7A1525F7"/>
    <w:rsid w:val="7B3075B0"/>
    <w:rsid w:val="7B420052"/>
    <w:rsid w:val="7B861484"/>
    <w:rsid w:val="7BD06A28"/>
    <w:rsid w:val="7C3A7C0B"/>
    <w:rsid w:val="7C5248E4"/>
    <w:rsid w:val="7C566698"/>
    <w:rsid w:val="7C5866A3"/>
    <w:rsid w:val="7CCB49E5"/>
    <w:rsid w:val="7D7406BB"/>
    <w:rsid w:val="7DAA39C1"/>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2"/>
    <w:next w:val="1"/>
    <w:unhideWhenUsed/>
    <w:qFormat/>
    <w:uiPriority w:val="0"/>
    <w:pPr>
      <w:keepNext/>
      <w:keepLines/>
      <w:spacing w:line="372" w:lineRule="auto"/>
      <w:outlineLvl w:val="3"/>
    </w:pPr>
    <w:rPr>
      <w:rFonts w:ascii="Arial" w:hAnsi="Arial" w:eastAsia="黑体"/>
      <w:sz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567"/>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character" w:customStyle="1" w:styleId="18">
    <w:name w:val="批注框文本 Char"/>
    <w:basedOn w:val="12"/>
    <w:link w:val="5"/>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8275</Words>
  <Characters>10369</Characters>
  <Lines>194</Lines>
  <Paragraphs>54</Paragraphs>
  <TotalTime>0</TotalTime>
  <ScaleCrop>false</ScaleCrop>
  <LinksUpToDate>false</LinksUpToDate>
  <CharactersWithSpaces>11380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2025-09-14T12:47:02Z</dcterms:modified>
  <dc:title>垫江县高安镇劳动就业和社会保障服务所2024年度决算公开说明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