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垫江县高安镇城镇管理服务中心</w:t>
      </w:r>
    </w:p>
    <w:p w14:paraId="4B854C2C">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101C4D6">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14:paraId="6C2B704B">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4EC72A6F">
      <w:pPr>
        <w:pStyle w:val="4"/>
        <w:widowControl w:val="0"/>
        <w:numPr>
          <w:ilvl w:val="0"/>
          <w:numId w:val="0"/>
        </w:numPr>
        <w:wordWrap/>
        <w:adjustRightInd/>
        <w:snapToGrid/>
        <w:spacing w:line="594" w:lineRule="exact"/>
        <w:ind w:firstLine="640" w:firstLineChars="200"/>
        <w:textAlignment w:val="auto"/>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24"/>
          <w:lang w:val="en-US" w:eastAsia="zh-CN" w:bidi="ar-SA"/>
        </w:rPr>
        <w:t>负责镇规划区内市政环卫、园林绿化、市政设施维护改造及安全隐患排查、整改工作，</w:t>
      </w:r>
      <w:r>
        <w:rPr>
          <w:rFonts w:hint="eastAsia" w:ascii="Times New Roman" w:hAnsi="Times New Roman" w:eastAsia="方正仿宋_GBK" w:cs="Times New Roman"/>
          <w:color w:val="auto"/>
          <w:kern w:val="2"/>
          <w:sz w:val="32"/>
          <w:szCs w:val="24"/>
          <w:lang w:val="en-US" w:eastAsia="zh-CN" w:bidi="ar-SA"/>
        </w:rPr>
        <w:t>协助开展规范</w:t>
      </w:r>
      <w:r>
        <w:rPr>
          <w:rFonts w:ascii="Times New Roman" w:hAnsi="Times New Roman" w:eastAsia="方正仿宋_GBK" w:cs="Times New Roman"/>
          <w:color w:val="auto"/>
          <w:kern w:val="2"/>
          <w:sz w:val="32"/>
          <w:szCs w:val="24"/>
          <w:lang w:val="en-US" w:eastAsia="zh-CN" w:bidi="ar-SA"/>
        </w:rPr>
        <w:t>物业管理</w:t>
      </w:r>
      <w:r>
        <w:rPr>
          <w:rFonts w:hint="eastAsia" w:ascii="Times New Roman" w:hAnsi="Times New Roman" w:eastAsia="方正仿宋_GBK" w:cs="Times New Roman"/>
          <w:color w:val="auto"/>
          <w:kern w:val="2"/>
          <w:sz w:val="32"/>
          <w:szCs w:val="24"/>
          <w:lang w:val="en-US" w:eastAsia="zh-CN" w:bidi="ar-SA"/>
        </w:rPr>
        <w:t>活动相关</w:t>
      </w:r>
      <w:r>
        <w:rPr>
          <w:rFonts w:ascii="Times New Roman" w:hAnsi="Times New Roman" w:eastAsia="方正仿宋_GBK" w:cs="Times New Roman"/>
          <w:color w:val="auto"/>
          <w:kern w:val="2"/>
          <w:sz w:val="32"/>
          <w:szCs w:val="24"/>
          <w:lang w:val="en-US" w:eastAsia="zh-CN" w:bidi="ar-SA"/>
        </w:rPr>
        <w:t>事务性工作，</w:t>
      </w:r>
      <w:r>
        <w:rPr>
          <w:rFonts w:ascii="Times New Roman" w:hAnsi="Times New Roman" w:eastAsia="方正仿宋_GBK" w:cs="Times New Roman"/>
          <w:kern w:val="2"/>
          <w:sz w:val="32"/>
          <w:szCs w:val="24"/>
          <w:lang w:val="en-US" w:eastAsia="zh-CN" w:bidi="ar-SA"/>
        </w:rPr>
        <w:t>承担镇规划区内停车场（含路内停车）相关事务性工作。</w:t>
      </w:r>
    </w:p>
    <w:p w14:paraId="374D7164">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667B2AA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14:paraId="78EA8667">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p>
    <w:p w14:paraId="7950F572">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3E622A91">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67BC5771">
      <w:pPr>
        <w:pStyle w:val="9"/>
        <w:widowControl/>
        <w:shd w:val="clear" w:color="auto" w:fill="FFFFFF"/>
        <w:wordWrap/>
        <w:adjustRightInd/>
        <w:spacing w:before="0" w:beforeAutospacing="0" w:after="0" w:afterAutospacing="0" w:line="594" w:lineRule="exact"/>
        <w:ind w:left="0" w:leftChars="0" w:right="0" w:firstLine="643" w:firstLineChars="200"/>
        <w:textAlignment w:val="auto"/>
        <w:outlineLvl w:val="9"/>
        <w:rPr>
          <w:rFonts w:hint="default" w:ascii="方正仿宋_GBK" w:hAnsi="方正仿宋_GBK" w:eastAsia="方正仿宋_GBK" w:cs="方正仿宋_GBK"/>
          <w:sz w:val="32"/>
          <w:szCs w:val="32"/>
          <w:shd w:val="clear" w:color="auto" w:fill="FFFFFF"/>
          <w:lang w:eastAsia="zh-CN"/>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度收入总计31.41万元，支出总计</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万元。收、支与2023年度相比，增加31.41万元，增长100.00%，主要原因</w:t>
      </w:r>
      <w:r>
        <w:rPr>
          <w:rFonts w:hint="eastAsia" w:ascii="方正仿宋_GBK" w:hAnsi="方正仿宋_GBK" w:eastAsia="方正仿宋_GBK" w:cs="方正仿宋_GBK"/>
          <w:sz w:val="32"/>
          <w:szCs w:val="32"/>
          <w:shd w:val="clear" w:color="auto" w:fill="FFFFFF"/>
          <w:lang w:eastAsia="zh-CN"/>
        </w:rPr>
        <w:t>是本单位为新增单位,上年度无数据。</w:t>
      </w:r>
    </w:p>
    <w:p w14:paraId="5CE04750">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度收入合计31.41万元，与2023年度相比，增加31.41万元，增长100.00%，主要原因是</w:t>
      </w:r>
      <w:r>
        <w:rPr>
          <w:rFonts w:hint="eastAsia" w:ascii="方正仿宋_GBK" w:hAnsi="方正仿宋_GBK" w:eastAsia="方正仿宋_GBK" w:cs="方正仿宋_GBK"/>
          <w:sz w:val="32"/>
          <w:szCs w:val="32"/>
          <w:shd w:val="clear" w:color="auto" w:fill="FFFFFF"/>
          <w:lang w:eastAsia="zh-CN"/>
        </w:rPr>
        <w:t>本单位为新增单位,上年度无数据。其</w:t>
      </w:r>
      <w:r>
        <w:rPr>
          <w:rFonts w:ascii="方正仿宋_GBK" w:hAnsi="方正仿宋_GBK" w:eastAsia="方正仿宋_GBK" w:cs="方正仿宋_GBK"/>
          <w:sz w:val="32"/>
          <w:szCs w:val="32"/>
          <w:shd w:val="clear" w:color="auto" w:fill="FFFFFF"/>
        </w:rPr>
        <w:t>中：财政拨款收入</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E1C7917">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万元，与2023年度相比，增加31.41万元，增长100.00%，主要原因是</w:t>
      </w:r>
      <w:r>
        <w:rPr>
          <w:rFonts w:hint="eastAsia" w:ascii="方正仿宋_GBK" w:hAnsi="方正仿宋_GBK" w:eastAsia="方正仿宋_GBK" w:cs="方正仿宋_GBK"/>
          <w:sz w:val="32"/>
          <w:szCs w:val="32"/>
          <w:shd w:val="clear" w:color="auto" w:fill="FFFFFF"/>
          <w:lang w:eastAsia="zh-CN"/>
        </w:rPr>
        <w:t>本单位为新增单位,上年度无数据。</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D6B82B1">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07C16E22">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14:paraId="4D604546">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度财政拨款收、支总计31.41万元。与202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年相比，财政拨款收、支总计各增加31.41万元，增长100.00%。主要原因</w:t>
      </w:r>
      <w:r>
        <w:rPr>
          <w:rFonts w:hint="eastAsia" w:ascii="方正仿宋_GBK" w:hAnsi="方正仿宋_GBK" w:eastAsia="方正仿宋_GBK" w:cs="方正仿宋_GBK"/>
          <w:sz w:val="32"/>
          <w:szCs w:val="32"/>
          <w:shd w:val="clear" w:color="auto" w:fill="FFFFFF"/>
          <w:lang w:eastAsia="zh-CN"/>
        </w:rPr>
        <w:t>是本单位为新增单位,上年度无数据。</w:t>
      </w:r>
    </w:p>
    <w:p w14:paraId="190F0A01">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66A0FD2A">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万元，与2023年度相比，增加31.41万元，增长100.00%。主要原因是本单位为新增单位,上年度无数据。较年初预算数减少8.81万元，下降21.90%。主要原因是</w:t>
      </w:r>
      <w:r>
        <w:rPr>
          <w:rFonts w:hint="eastAsia" w:ascii="方正仿宋_GBK" w:hAnsi="方正仿宋_GBK" w:eastAsia="方正仿宋_GBK" w:cs="方正仿宋_GBK"/>
          <w:sz w:val="32"/>
          <w:szCs w:val="32"/>
          <w:shd w:val="clear" w:color="auto" w:fill="FFFFFF"/>
          <w:lang w:eastAsia="zh-CN"/>
        </w:rPr>
        <w:t>人员经费、公用经费减少。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48A63CD">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万元，与2023年度相比，增加31.41万元，增长100.00%。主要原因是本单位为新增单位,上年度无数据。较年初预算数减少8.81万元，下降21.90%。主要原因是</w:t>
      </w:r>
      <w:r>
        <w:rPr>
          <w:rFonts w:hint="eastAsia" w:ascii="方正仿宋_GBK" w:hAnsi="方正仿宋_GBK" w:eastAsia="方正仿宋_GBK" w:cs="方正仿宋_GBK"/>
          <w:sz w:val="32"/>
          <w:szCs w:val="32"/>
          <w:shd w:val="clear" w:color="auto" w:fill="FFFFFF"/>
          <w:lang w:eastAsia="zh-CN"/>
        </w:rPr>
        <w:t>人员经费、公用经费减少。</w:t>
      </w:r>
    </w:p>
    <w:p w14:paraId="73951469">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3920EFAE">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0E9BC2E">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74.44</w:t>
      </w:r>
      <w:r>
        <w:rPr>
          <w:rFonts w:ascii="方正仿宋_GBK" w:hAnsi="方正仿宋_GBK" w:eastAsia="方正仿宋_GBK" w:cs="方正仿宋_GBK"/>
          <w:sz w:val="32"/>
          <w:szCs w:val="32"/>
          <w:shd w:val="clear" w:color="auto" w:fill="FFFFFF"/>
        </w:rPr>
        <w:t>%，较年初预算数减少9.62万元，下降29.15%，主要原因是</w:t>
      </w:r>
      <w:r>
        <w:rPr>
          <w:rFonts w:hint="eastAsia" w:ascii="方正仿宋_GBK" w:hAnsi="方正仿宋_GBK" w:eastAsia="方正仿宋_GBK" w:cs="方正仿宋_GBK"/>
          <w:sz w:val="32"/>
          <w:szCs w:val="32"/>
          <w:shd w:val="clear" w:color="auto" w:fill="FFFFFF"/>
          <w:lang w:eastAsia="zh-CN"/>
        </w:rPr>
        <w:t>人员经费、公用经费减少</w:t>
      </w:r>
      <w:r>
        <w:rPr>
          <w:rFonts w:ascii="方正仿宋_GBK" w:hAnsi="方正仿宋_GBK" w:eastAsia="方正仿宋_GBK" w:cs="方正仿宋_GBK"/>
          <w:sz w:val="32"/>
          <w:szCs w:val="32"/>
          <w:shd w:val="clear" w:color="auto" w:fill="FFFFFF"/>
        </w:rPr>
        <w:t>。</w:t>
      </w:r>
    </w:p>
    <w:p w14:paraId="5CEF3A7D">
      <w:pPr>
        <w:pStyle w:val="9"/>
        <w:numPr>
          <w:ilvl w:val="0"/>
          <w:numId w:val="0"/>
        </w:numPr>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12.18</w:t>
      </w:r>
      <w:r>
        <w:rPr>
          <w:rFonts w:ascii="方正仿宋_GBK" w:hAnsi="方正仿宋_GBK" w:eastAsia="方正仿宋_GBK" w:cs="方正仿宋_GBK"/>
          <w:sz w:val="32"/>
          <w:szCs w:val="32"/>
          <w:shd w:val="clear" w:color="auto" w:fill="FFFFFF"/>
        </w:rPr>
        <w:t>%，较年初预算数增加0.06万元，增长1.59%，主要原因是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养老保险、职业年金等支出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14:paraId="350B97F4">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%，较年初预算数减少0.47万元，下降29.94%，主要原因是医疗保险支出减少。</w:t>
      </w:r>
    </w:p>
    <w:p w14:paraId="696B85C6">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9.88</w:t>
      </w:r>
      <w:r>
        <w:rPr>
          <w:rFonts w:ascii="方正仿宋_GBK" w:hAnsi="方正仿宋_GBK" w:eastAsia="方正仿宋_GBK" w:cs="方正仿宋_GBK"/>
          <w:sz w:val="32"/>
          <w:szCs w:val="32"/>
          <w:shd w:val="clear" w:color="auto" w:fill="FFFFFF"/>
        </w:rPr>
        <w:t>%，较年初预算数增加1.22万元，增长64.89%，主要原因是</w:t>
      </w:r>
      <w:r>
        <w:rPr>
          <w:rFonts w:hint="eastAsia" w:ascii="方正仿宋_GBK" w:hAnsi="方正仿宋_GBK" w:eastAsia="方正仿宋_GBK" w:cs="方正仿宋_GBK"/>
          <w:sz w:val="32"/>
          <w:szCs w:val="32"/>
          <w:shd w:val="clear" w:color="auto" w:fill="FFFFFF"/>
          <w:lang w:eastAsia="zh-CN"/>
        </w:rPr>
        <w:t>住房公积金支出增加</w:t>
      </w:r>
      <w:r>
        <w:rPr>
          <w:rFonts w:ascii="方正仿宋_GBK" w:hAnsi="方正仿宋_GBK" w:eastAsia="方正仿宋_GBK" w:cs="方正仿宋_GBK"/>
          <w:sz w:val="32"/>
          <w:szCs w:val="32"/>
          <w:shd w:val="clear" w:color="auto" w:fill="FFFFFF"/>
        </w:rPr>
        <w:t>。</w:t>
      </w:r>
    </w:p>
    <w:p w14:paraId="6FE95DA7">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4F499B7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31.09</w:t>
      </w:r>
      <w:r>
        <w:rPr>
          <w:rFonts w:ascii="方正仿宋_GBK" w:hAnsi="方正仿宋_GBK" w:eastAsia="方正仿宋_GBK" w:cs="方正仿宋_GBK"/>
          <w:sz w:val="32"/>
          <w:szCs w:val="32"/>
          <w:shd w:val="clear" w:color="auto" w:fill="FFFFFF"/>
        </w:rPr>
        <w:t>万元，与2023年度相比，增加31.09万元，增长100.00%，主要原因是本单位为新增单位,上年度无数据。人员经费用途主要包括基本工资、津贴补贴、基础绩效、超额绩效、社会保障缴费等。公用经费</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万元，与2023年度相比，增加0.32万元，增长100.00%，主要原因是本单位为新增单位,上年度无数据。公用经费用途主要包括办公费、印刷费、委托业务费</w:t>
      </w:r>
      <w:r>
        <w:rPr>
          <w:rFonts w:ascii="方正仿宋_GBK" w:eastAsia="方正仿宋_GBK" w:cs="宋体"/>
          <w:sz w:val="32"/>
          <w:szCs w:val="32"/>
          <w:shd w:val="clear" w:color="auto" w:fill="FFFFFF"/>
        </w:rPr>
        <w:t>、差旅费等。</w:t>
      </w:r>
    </w:p>
    <w:p w14:paraId="58C2002C">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14:paraId="6639B7E0">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6B9C82A8">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E8F5EDA">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9202E1E">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297503C4">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 xml:space="preserve"> （一）“三公”经费支出总体情况说明</w:t>
      </w:r>
    </w:p>
    <w:p w14:paraId="595D602A">
      <w:pPr>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年未发生“三公”经费支出。较上年支出数无增减，主要原因是</w:t>
      </w:r>
      <w:r>
        <w:rPr>
          <w:rFonts w:hint="eastAsia" w:ascii="方正仿宋_GBK" w:hAnsi="方正仿宋_GBK" w:eastAsia="方正仿宋_GBK" w:cs="方正仿宋_GBK"/>
          <w:sz w:val="32"/>
          <w:szCs w:val="32"/>
          <w:shd w:val="clear" w:color="auto" w:fill="FFFFFF"/>
          <w:lang w:val="en-US" w:eastAsia="zh-CN" w:bidi="ar-SA"/>
        </w:rPr>
        <w:t>本单位为新增单位,上年度无数据。</w:t>
      </w:r>
    </w:p>
    <w:p w14:paraId="222F8455">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14:paraId="71523F5F">
      <w:pPr>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万元。费用支出较年初预算数无增减，主要原因是年初预算未安排因公出国（境）费用，也未发生因公出国（境）费用。与2023年度相比，无增减，主要原因</w:t>
      </w:r>
      <w:r>
        <w:rPr>
          <w:rFonts w:hint="eastAsia" w:ascii="方正仿宋_GBK" w:hAnsi="方正仿宋_GBK" w:eastAsia="方正仿宋_GBK" w:cs="方正仿宋_GBK"/>
          <w:sz w:val="32"/>
          <w:szCs w:val="32"/>
          <w:shd w:val="clear" w:color="auto" w:fill="FFFFFF"/>
          <w:lang w:val="en-US" w:eastAsia="zh-CN" w:bidi="ar-SA"/>
        </w:rPr>
        <w:t>是本单位为新增单位，上年度无数据。</w:t>
      </w:r>
    </w:p>
    <w:p w14:paraId="424D4964">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万元。费用支出较年初预算数无增减，主要原因是年初预算未安排且本年未发生公务车购置费用。与2023年度相比，无增减，主要原因是本单位为新增单位,上年度无数据。</w:t>
      </w:r>
    </w:p>
    <w:p w14:paraId="163CF4F5">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公务车运行维护费0.00万元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费用支出较年初预算数无增减，主要原因是年初预算数未安排且本年未发生公务车运行维护费用。与2023年度相比，无增减，主要原因是本单位为新增单位,上年度无数据。</w:t>
      </w:r>
    </w:p>
    <w:p w14:paraId="20235545">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。较上年支出数无增减，主要原因是本单位为新增单位,上年度无数据。</w:t>
      </w:r>
    </w:p>
    <w:p w14:paraId="56BA970C">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14:paraId="77BEAB9E">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41BA2A4">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1F7F233F">
      <w:pPr>
        <w:pStyle w:val="14"/>
        <w:widowControl/>
        <w:wordWrap/>
        <w:autoSpaceDE w:val="0"/>
        <w:adjustRightInd/>
        <w:spacing w:beforeAutospacing="0" w:afterAutospacing="0" w:line="594" w:lineRule="exact"/>
        <w:ind w:left="0" w:leftChars="0" w:right="0" w:firstLine="643"/>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w:t>
      </w:r>
      <w:r>
        <w:rPr>
          <w:rStyle w:val="13"/>
          <w:rFonts w:hint="eastAsia" w:ascii="方正楷体_GBK" w:hAnsi="方正楷体_GBK" w:eastAsia="方正楷体_GBK" w:cs="方正楷体_GBK"/>
          <w:b w:val="0"/>
          <w:bCs w:val="0"/>
          <w:sz w:val="32"/>
          <w:szCs w:val="32"/>
          <w:shd w:val="clear" w:color="auto" w:fill="FFFFFF"/>
          <w:lang w:val="en-US" w:eastAsia="zh-CN" w:bidi="ar-SA"/>
        </w:rPr>
        <w:t xml:space="preserve"> （一）财政拨款会议费和培训费情况说明</w:t>
      </w:r>
    </w:p>
    <w:p w14:paraId="5643E178">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万元，与2023年度相比，无增减，主要原因是本单位为新增单位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上年度无数据。本年度培训费支出</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万元，与2023年度相比，增加0.02万元，增长100.00%，主要原因是本单位为新增单位,上年度无数据。</w:t>
      </w:r>
    </w:p>
    <w:p w14:paraId="5BCE7C68">
      <w:pPr>
        <w:pStyle w:val="14"/>
        <w:widowControl/>
        <w:wordWrap/>
        <w:autoSpaceDE w:val="0"/>
        <w:adjustRightInd/>
        <w:spacing w:beforeAutospacing="0" w:afterAutospacing="0" w:line="594" w:lineRule="exact"/>
        <w:ind w:left="0" w:leftChars="0" w:right="0" w:firstLine="643"/>
        <w:textAlignment w:val="auto"/>
        <w:outlineLvl w:val="9"/>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14:paraId="11DA3EF4">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14:paraId="3B13BC05">
      <w:pPr>
        <w:pStyle w:val="14"/>
        <w:widowControl/>
        <w:wordWrap/>
        <w:autoSpaceDE w:val="0"/>
        <w:adjustRightInd/>
        <w:spacing w:beforeAutospacing="0" w:afterAutospacing="0" w:line="594" w:lineRule="exact"/>
        <w:ind w:left="0" w:leftChars="0" w:right="0" w:firstLine="643"/>
        <w:textAlignment w:val="auto"/>
        <w:outlineLvl w:val="9"/>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14:paraId="0C60F396">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66807CF">
      <w:pPr>
        <w:pStyle w:val="14"/>
        <w:widowControl/>
        <w:wordWrap/>
        <w:autoSpaceDE w:val="0"/>
        <w:adjustRightInd/>
        <w:spacing w:beforeAutospacing="0" w:afterAutospacing="0" w:line="594" w:lineRule="exact"/>
        <w:ind w:left="0" w:leftChars="0" w:right="0" w:firstLine="643"/>
        <w:textAlignment w:val="auto"/>
        <w:outlineLvl w:val="9"/>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14:paraId="2246C3F6">
      <w:pPr>
        <w:pStyle w:val="15"/>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7CE1CE45">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78AE414B">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自评情况</w:t>
      </w:r>
    </w:p>
    <w:p w14:paraId="7552298A">
      <w:pPr>
        <w:pStyle w:val="16"/>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14:paraId="7AF003AF">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绩效评价情况</w:t>
      </w:r>
    </w:p>
    <w:p w14:paraId="7E197FDA">
      <w:pPr>
        <w:pStyle w:val="14"/>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4C3543C7">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14:paraId="6C501185">
      <w:pPr>
        <w:pStyle w:val="16"/>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4636E479">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六、专业名词解释</w:t>
      </w:r>
    </w:p>
    <w:p w14:paraId="7BF5F190">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880005F">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1C9062D">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FE905AE">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466D6D">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486B2A">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2D0DC29">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A0DF260">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0E0C090">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B9FE99">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49407B3">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FE2BD69">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FB8D2E">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FFA5EC">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A34C86D">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08D74F4">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6AD3CF54">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1E05D57">
      <w:pPr>
        <w:pStyle w:val="9"/>
        <w:widowControl/>
        <w:shd w:val="clear" w:color="auto" w:fill="FFFFFF"/>
        <w:wordWrap/>
        <w:adjustRightInd/>
        <w:spacing w:before="0" w:beforeAutospacing="0" w:after="0" w:afterAutospacing="0" w:line="594" w:lineRule="exact"/>
        <w:ind w:left="0" w:leftChars="0" w:right="0"/>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3F94815D">
      <w:pPr>
        <w:pStyle w:val="14"/>
        <w:autoSpaceDE w:val="0"/>
        <w:ind w:firstLine="0" w:firstLineChars="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本单位决算公开信息反馈和联系方式：023-74552700。</w:t>
      </w:r>
    </w:p>
    <w:p w14:paraId="7ECFC7D6">
      <w:pPr>
        <w:pStyle w:val="14"/>
        <w:widowControl/>
        <w:wordWrap/>
        <w:autoSpaceDE w:val="0"/>
        <w:adjustRightInd/>
        <w:spacing w:beforeAutospacing="0" w:afterAutospacing="0" w:line="594" w:lineRule="exact"/>
        <w:ind w:left="0" w:leftChars="0" w:right="0" w:firstLine="0" w:firstLineChars="0"/>
        <w:textAlignment w:val="auto"/>
        <w:outlineLvl w:val="9"/>
        <w:rPr>
          <w:rStyle w:val="13"/>
          <w:rFonts w:ascii="方正仿宋_GBK" w:hAnsi="方正仿宋_GBK" w:eastAsia="方正仿宋_GBK" w:cs="方正仿宋_GBK"/>
          <w:sz w:val="32"/>
          <w:szCs w:val="32"/>
          <w:shd w:val="clear" w:color="auto" w:fill="FFFF00"/>
        </w:rPr>
      </w:pPr>
    </w:p>
    <w:p w14:paraId="74F9AF26">
      <w:pPr>
        <w:pStyle w:val="14"/>
        <w:widowControl/>
        <w:wordWrap/>
        <w:autoSpaceDE w:val="0"/>
        <w:adjustRightInd/>
        <w:spacing w:beforeAutospacing="0" w:afterAutospacing="0" w:line="594" w:lineRule="exact"/>
        <w:ind w:left="0" w:leftChars="0" w:right="0" w:firstLine="0" w:firstLineChars="0"/>
        <w:textAlignment w:val="auto"/>
        <w:outlineLvl w:val="9"/>
        <w:rPr>
          <w:rStyle w:val="13"/>
          <w:rFonts w:ascii="方正仿宋_GBK" w:hAnsi="方正仿宋_GBK" w:eastAsia="方正仿宋_GBK" w:cs="方正仿宋_GBK"/>
          <w:sz w:val="32"/>
          <w:szCs w:val="32"/>
          <w:shd w:val="clear" w:color="auto" w:fill="FFFF00"/>
        </w:rPr>
      </w:pPr>
    </w:p>
    <w:p w14:paraId="052D61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垫江县高安镇城镇管理服务中心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垫江县高安镇城镇管理服务中心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6721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B473">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4600">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C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9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0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B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9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E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5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8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699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57BD">
            <w:pPr>
              <w:textAlignment w:val="center"/>
              <w:rPr>
                <w:rFonts w:hint="default" w:cs="宋体"/>
                <w:color w:val="000000"/>
                <w:sz w:val="20"/>
                <w:szCs w:val="20"/>
              </w:rPr>
            </w:pPr>
            <w:r>
              <w:rPr>
                <w:rFonts w:cs="宋体"/>
                <w:color w:val="000000"/>
                <w:sz w:val="20"/>
                <w:szCs w:val="20"/>
              </w:rPr>
              <w:t>2013850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30692">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9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7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1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F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B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0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1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5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2234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797F">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B152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E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4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F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6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F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7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F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B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B7E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122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741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F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A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B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B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A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6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5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F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00F9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B46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2C6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B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F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7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D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1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6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0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0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8059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F8B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CB17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A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2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F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7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0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3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D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F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BB2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6E0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6FD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D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7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8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E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A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7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9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2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156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55B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78F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2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3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9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0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9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A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4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8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8D09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26D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3444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A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6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7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0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9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0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3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8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BFC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A053">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CF63">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F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C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A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8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1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5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9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8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C1BE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EE5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F731F">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9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2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B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3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E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7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7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B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8BD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684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C9CC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0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7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4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9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8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5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7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6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垫江县高安镇城镇管理服务中心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045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5775">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F6BDB">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7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C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6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0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A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3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71AA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8645">
            <w:pPr>
              <w:textAlignment w:val="center"/>
              <w:rPr>
                <w:rFonts w:hint="default" w:cs="宋体"/>
                <w:color w:val="000000"/>
                <w:sz w:val="20"/>
                <w:szCs w:val="20"/>
              </w:rPr>
            </w:pPr>
            <w:r>
              <w:rPr>
                <w:rFonts w:cs="宋体"/>
                <w:color w:val="000000"/>
                <w:sz w:val="20"/>
                <w:szCs w:val="20"/>
              </w:rPr>
              <w:t>2013850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F6FCD">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D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9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7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8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2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9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F73D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7E3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BE570">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C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D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3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5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D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C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B3C1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22C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A66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0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9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E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5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B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C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40FB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ED6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E3AA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7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B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A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F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3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5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F063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235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A03B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F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A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1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C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D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8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DA2C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055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2025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3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6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2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D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3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F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7DE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014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D2D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5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1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C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C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3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7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851D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54A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841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8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9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F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2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8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1559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194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7116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C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0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1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8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1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B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26F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1DA0">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596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F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D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C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A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E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0BE2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76F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55F34">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A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3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F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6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3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F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6E14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C02D">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9445">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B8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03B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BE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C75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2E37">
            <w:pPr>
              <w:textAlignment w:val="center"/>
              <w:rPr>
                <w:rFonts w:hint="default" w:cs="宋体"/>
                <w:color w:val="000000"/>
                <w:sz w:val="20"/>
                <w:szCs w:val="20"/>
              </w:rPr>
            </w:pPr>
            <w:r>
              <w:rPr>
                <w:rFonts w:cs="宋体"/>
                <w:color w:val="000000"/>
                <w:sz w:val="20"/>
                <w:szCs w:val="20"/>
              </w:rPr>
              <w:t>2013850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30D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C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F3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31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EC2D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177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AC0C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23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D95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9A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5053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FA1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7457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D7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A8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D5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AA4C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A10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7F58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DB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A4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5E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FE5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1B6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0995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FE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1F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E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3B0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FFD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C164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8E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397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F0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804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8B1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580E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B4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6D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5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1509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10D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D18E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4F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11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CC4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D0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D5E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06D8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3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B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3BF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FCE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482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E3C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C7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4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22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D05B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958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E7E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96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05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36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31.09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垫江县高安镇城镇管理服务中心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6E9DE17">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5EC243-6556-4A6A-A258-24B24BE55832}"/>
  </w:font>
  <w:font w:name="黑体">
    <w:panose1 w:val="02010609060101010101"/>
    <w:charset w:val="86"/>
    <w:family w:val="auto"/>
    <w:pitch w:val="default"/>
    <w:sig w:usb0="800002BF" w:usb1="38CF7CFA" w:usb2="00000016" w:usb3="00000000" w:csb0="00040001" w:csb1="00000000"/>
    <w:embedRegular r:id="rId2" w:fontKey="{7F3DE6E1-8347-4288-9F43-2EB4E61F1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CCA7998B-832B-4373-86BE-C41998B51F98}"/>
  </w:font>
  <w:font w:name="方正黑体_GBK">
    <w:panose1 w:val="02010600010101010101"/>
    <w:charset w:val="86"/>
    <w:family w:val="auto"/>
    <w:pitch w:val="default"/>
    <w:sig w:usb0="00000001" w:usb1="080E0000" w:usb2="00000000" w:usb3="00000000" w:csb0="00040000" w:csb1="00000000"/>
    <w:embedRegular r:id="rId4" w:fontKey="{E6D5BC66-3295-4E9D-8C7F-ACE03013C896}"/>
  </w:font>
  <w:font w:name="方正楷体_GBK">
    <w:panose1 w:val="02000000000000000000"/>
    <w:charset w:val="86"/>
    <w:family w:val="auto"/>
    <w:pitch w:val="default"/>
    <w:sig w:usb0="800002BF" w:usb1="38CF7CFA" w:usb2="00000016" w:usb3="00000000" w:csb0="00040000" w:csb1="00000000"/>
    <w:embedRegular r:id="rId5" w:fontKey="{E530F469-B0F0-4CCE-836D-C34CCC8CE110}"/>
  </w:font>
  <w:font w:name="方正仿宋_GBK">
    <w:panose1 w:val="02000000000000000000"/>
    <w:charset w:val="86"/>
    <w:family w:val="auto"/>
    <w:pitch w:val="default"/>
    <w:sig w:usb0="A00002BF" w:usb1="38CF7CFA" w:usb2="00082016" w:usb3="00000000" w:csb0="00040001" w:csb1="00000000"/>
    <w:embedRegular r:id="rId6" w:fontKey="{3A4A921A-D836-4B7F-B9CB-C5995F294FA0}"/>
  </w:font>
  <w:font w:name="仿宋_GB2312">
    <w:altName w:val="仿宋"/>
    <w:panose1 w:val="02010609030101010101"/>
    <w:charset w:val="86"/>
    <w:family w:val="auto"/>
    <w:pitch w:val="default"/>
    <w:sig w:usb0="00000000" w:usb1="00000000" w:usb2="00000000" w:usb3="00000000" w:csb0="00040000" w:csb1="00000000"/>
    <w:embedRegular r:id="rId7" w:fontKey="{6937725F-032A-4274-B825-3CE8D58ABCC3}"/>
  </w:font>
  <w:font w:name="仿宋">
    <w:panose1 w:val="02010609060101010101"/>
    <w:charset w:val="86"/>
    <w:family w:val="auto"/>
    <w:pitch w:val="default"/>
    <w:sig w:usb0="800002BF" w:usb1="38CF7CFA" w:usb2="00000016" w:usb3="00000000" w:csb0="00040001" w:csb1="00000000"/>
    <w:embedRegular r:id="rId8" w:fontKey="{BD8E5364-1D0C-45F4-9B2A-61E1E936F89B}"/>
  </w:font>
  <w:font w:name="楷体">
    <w:panose1 w:val="02010609060101010101"/>
    <w:charset w:val="86"/>
    <w:family w:val="auto"/>
    <w:pitch w:val="default"/>
    <w:sig w:usb0="800002BF" w:usb1="38CF7CFA" w:usb2="00000016" w:usb3="00000000" w:csb0="00040001" w:csb1="00000000"/>
    <w:embedRegular r:id="rId9" w:fontKey="{43106202-6A33-4405-8D59-40F7DF75D3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B714">
    <w:pPr>
      <w:pStyle w:val="6"/>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1785ACC">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7AF9">
    <w:pPr>
      <w:pStyle w:val="6"/>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46A7EA7F">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4BDDC64D">
                <w:pPr>
                  <w:pStyle w:val="6"/>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953C">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5D709C"/>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D53DBE"/>
    <w:rsid w:val="0A5C4B69"/>
    <w:rsid w:val="0A86124A"/>
    <w:rsid w:val="0AB54CC0"/>
    <w:rsid w:val="0B9335CE"/>
    <w:rsid w:val="0C7927C4"/>
    <w:rsid w:val="0C9B098C"/>
    <w:rsid w:val="0D673E11"/>
    <w:rsid w:val="0D9651C4"/>
    <w:rsid w:val="0DDA54E4"/>
    <w:rsid w:val="0E3A5F83"/>
    <w:rsid w:val="0E74421A"/>
    <w:rsid w:val="0F836721"/>
    <w:rsid w:val="0FA25D96"/>
    <w:rsid w:val="0FC75402"/>
    <w:rsid w:val="107B59E5"/>
    <w:rsid w:val="10EC0126"/>
    <w:rsid w:val="10F70B9A"/>
    <w:rsid w:val="111445C7"/>
    <w:rsid w:val="114278C6"/>
    <w:rsid w:val="1158083A"/>
    <w:rsid w:val="11643A4B"/>
    <w:rsid w:val="11ED0F98"/>
    <w:rsid w:val="11F03528"/>
    <w:rsid w:val="12452777"/>
    <w:rsid w:val="12C921C4"/>
    <w:rsid w:val="13871C70"/>
    <w:rsid w:val="13A71CB4"/>
    <w:rsid w:val="13AF1D43"/>
    <w:rsid w:val="13CE1647"/>
    <w:rsid w:val="13FD55AB"/>
    <w:rsid w:val="14063EC3"/>
    <w:rsid w:val="14200702"/>
    <w:rsid w:val="163A6CEE"/>
    <w:rsid w:val="173708E3"/>
    <w:rsid w:val="17C374FC"/>
    <w:rsid w:val="17CD1772"/>
    <w:rsid w:val="18710BCD"/>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6E2C14"/>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011E5"/>
    <w:rsid w:val="3C566AD6"/>
    <w:rsid w:val="3C6A5B02"/>
    <w:rsid w:val="3D2757A1"/>
    <w:rsid w:val="3D3D4FC4"/>
    <w:rsid w:val="3DDF3AB1"/>
    <w:rsid w:val="3E1D0952"/>
    <w:rsid w:val="3E42660A"/>
    <w:rsid w:val="3E7555B1"/>
    <w:rsid w:val="3E787ED9"/>
    <w:rsid w:val="3EEC37F3"/>
    <w:rsid w:val="3F032E93"/>
    <w:rsid w:val="3F0527E5"/>
    <w:rsid w:val="3F694D83"/>
    <w:rsid w:val="3F885DCC"/>
    <w:rsid w:val="3FA622AF"/>
    <w:rsid w:val="3FCD675E"/>
    <w:rsid w:val="4004000C"/>
    <w:rsid w:val="411B6CE5"/>
    <w:rsid w:val="412070D7"/>
    <w:rsid w:val="41314E40"/>
    <w:rsid w:val="41E0734B"/>
    <w:rsid w:val="426554D0"/>
    <w:rsid w:val="426C1EA8"/>
    <w:rsid w:val="42736402"/>
    <w:rsid w:val="42D77229"/>
    <w:rsid w:val="42E86A87"/>
    <w:rsid w:val="43307B09"/>
    <w:rsid w:val="438D0E97"/>
    <w:rsid w:val="43BB152F"/>
    <w:rsid w:val="44C37687"/>
    <w:rsid w:val="45CB699A"/>
    <w:rsid w:val="465B470D"/>
    <w:rsid w:val="469D6AD4"/>
    <w:rsid w:val="471A65D2"/>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D91C4B"/>
    <w:rsid w:val="4EFC6D10"/>
    <w:rsid w:val="4F0C6BA3"/>
    <w:rsid w:val="4F10477D"/>
    <w:rsid w:val="4F186D58"/>
    <w:rsid w:val="4FEA65B7"/>
    <w:rsid w:val="4FF4660A"/>
    <w:rsid w:val="50F06B6E"/>
    <w:rsid w:val="511C4FE5"/>
    <w:rsid w:val="52234D33"/>
    <w:rsid w:val="522F6E0C"/>
    <w:rsid w:val="52463BA1"/>
    <w:rsid w:val="52EE5785"/>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F6D8C"/>
    <w:rsid w:val="56530F5D"/>
    <w:rsid w:val="567700D3"/>
    <w:rsid w:val="56FF7E9E"/>
    <w:rsid w:val="578867FC"/>
    <w:rsid w:val="5842572D"/>
    <w:rsid w:val="5A3B59D6"/>
    <w:rsid w:val="5AD134D8"/>
    <w:rsid w:val="5B6503B1"/>
    <w:rsid w:val="5C263CE4"/>
    <w:rsid w:val="5C271E39"/>
    <w:rsid w:val="5C5D2777"/>
    <w:rsid w:val="5CF66BF3"/>
    <w:rsid w:val="5D290C69"/>
    <w:rsid w:val="5DBE29F3"/>
    <w:rsid w:val="5F2D4A41"/>
    <w:rsid w:val="60C74F6C"/>
    <w:rsid w:val="61025A59"/>
    <w:rsid w:val="613D5BBC"/>
    <w:rsid w:val="61536C39"/>
    <w:rsid w:val="62944DD7"/>
    <w:rsid w:val="6319381F"/>
    <w:rsid w:val="63236436"/>
    <w:rsid w:val="6366447C"/>
    <w:rsid w:val="63971723"/>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9A43809"/>
    <w:rsid w:val="6AAD2300"/>
    <w:rsid w:val="6B474EF5"/>
    <w:rsid w:val="6BBF53FD"/>
    <w:rsid w:val="6C560CAE"/>
    <w:rsid w:val="6C576495"/>
    <w:rsid w:val="6C635A0A"/>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094A46"/>
    <w:rsid w:val="7F446A19"/>
    <w:rsid w:val="7F7452B9"/>
    <w:rsid w:val="7FA67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批注框文本 Char"/>
    <w:basedOn w:val="12"/>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8086</Words>
  <Characters>10027</Characters>
  <Lines>194</Lines>
  <Paragraphs>54</Paragraphs>
  <TotalTime>0</TotalTime>
  <ScaleCrop>false</ScaleCrop>
  <LinksUpToDate>false</LinksUpToDate>
  <CharactersWithSpaces>11040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2025-09-14T12:58:58Z</dcterms:modified>
  <dc:title>垫江县高安镇城镇管理服务中心2024年度决算公开说明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