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垫江县高安镇综合行政执法大队</w:t>
      </w:r>
    </w:p>
    <w:p>
      <w:pPr>
        <w:pStyle w:val="11"/>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1"/>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方正黑体_GBK" w:hAnsi="方正黑体_GBK" w:eastAsia="方正黑体_GBK" w:cs="方正黑体_GBK"/>
          <w:b w:val="0"/>
          <w:bCs/>
          <w:sz w:val="32"/>
          <w:szCs w:val="32"/>
        </w:rPr>
      </w:pPr>
      <w:r>
        <w:rPr>
          <w:rStyle w:val="15"/>
          <w:rFonts w:hint="eastAsia" w:ascii="方正黑体_GBK" w:hAnsi="方正黑体_GBK" w:eastAsia="方正黑体_GBK" w:cs="方正黑体_GBK"/>
          <w:b w:val="0"/>
          <w:bCs/>
          <w:sz w:val="32"/>
          <w:szCs w:val="32"/>
          <w:shd w:val="clear" w:color="auto" w:fill="FFFFFF"/>
        </w:rPr>
        <w:t>一、</w:t>
      </w:r>
      <w:r>
        <w:rPr>
          <w:rStyle w:val="15"/>
          <w:rFonts w:hint="eastAsia" w:ascii="方正黑体_GBK" w:hAnsi="方正黑体_GBK" w:eastAsia="方正黑体_GBK" w:cs="方正黑体_GBK"/>
          <w:b w:val="0"/>
          <w:bCs/>
          <w:sz w:val="32"/>
          <w:szCs w:val="32"/>
          <w:shd w:val="clear" w:color="auto" w:fill="FFFFFF"/>
          <w:lang w:eastAsia="zh-CN"/>
        </w:rPr>
        <w:t>单位</w:t>
      </w:r>
      <w:r>
        <w:rPr>
          <w:rStyle w:val="15"/>
          <w:rFonts w:hint="eastAsia" w:ascii="方正黑体_GBK" w:hAnsi="方正黑体_GBK" w:eastAsia="方正黑体_GBK" w:cs="方正黑体_GBK"/>
          <w:b w:val="0"/>
          <w:bCs/>
          <w:sz w:val="32"/>
          <w:szCs w:val="32"/>
          <w:shd w:val="clear" w:color="auto" w:fill="FFFFFF"/>
        </w:rPr>
        <w:t>基本情况</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5"/>
          <w:rFonts w:hint="eastAsia" w:ascii="方正楷体_GBK" w:hAnsi="方正楷体_GBK" w:eastAsia="方正楷体_GBK" w:cs="方正楷体_GBK"/>
          <w:b w:val="0"/>
          <w:bCs/>
          <w:sz w:val="32"/>
          <w:szCs w:val="32"/>
          <w:shd w:val="clear" w:color="auto" w:fill="FFFFFF"/>
        </w:rPr>
        <w:t>（一）职能职责</w:t>
      </w:r>
    </w:p>
    <w:p>
      <w:pPr>
        <w:widowControl/>
        <w:wordWrap/>
        <w:adjustRightInd/>
        <w:spacing w:beforeAutospacing="0" w:afterAutospacing="0" w:line="594" w:lineRule="exact"/>
        <w:ind w:left="0" w:leftChars="0" w:right="0" w:firstLine="640" w:firstLineChars="200"/>
        <w:textAlignment w:val="auto"/>
        <w:outlineLvl w:val="9"/>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负责配合综合行政执法办公室做好有关</w:t>
      </w:r>
      <w:r>
        <w:rPr>
          <w:rStyle w:val="22"/>
          <w:rFonts w:hint="eastAsia" w:ascii="仿宋_GB2312" w:hAnsi="方正仿宋_GBK" w:eastAsia="仿宋_GB2312" w:cs="方正仿宋_GBK"/>
          <w:color w:val="000000"/>
          <w:sz w:val="32"/>
          <w:szCs w:val="32"/>
        </w:rPr>
        <w:t>农林水利、规划建设、卫生健康、市容</w:t>
      </w:r>
      <w:bookmarkStart w:id="0" w:name="_GoBack"/>
      <w:bookmarkEnd w:id="0"/>
      <w:r>
        <w:rPr>
          <w:rStyle w:val="22"/>
          <w:rFonts w:hint="eastAsia" w:ascii="仿宋_GB2312" w:hAnsi="方正仿宋_GBK" w:eastAsia="仿宋_GB2312" w:cs="方正仿宋_GBK"/>
          <w:color w:val="000000"/>
          <w:sz w:val="32"/>
          <w:szCs w:val="32"/>
        </w:rPr>
        <w:t>环卫、环境保护、文化旅游、民政管理、</w:t>
      </w:r>
      <w:r>
        <w:rPr>
          <w:rFonts w:hint="eastAsia" w:ascii="仿宋_GB2312" w:hAnsi="方正仿宋_GBK" w:eastAsia="仿宋_GB2312" w:cs="方正仿宋_GBK"/>
          <w:color w:val="000000"/>
          <w:sz w:val="32"/>
          <w:szCs w:val="32"/>
        </w:rPr>
        <w:t>消防等方面的执法工作。</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default"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（二）机构设置</w:t>
      </w:r>
    </w:p>
    <w:p>
      <w:pPr>
        <w:widowControl/>
        <w:wordWrap/>
        <w:adjustRightInd/>
        <w:snapToGrid w:val="0"/>
        <w:spacing w:beforeAutospacing="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机构情况</w:t>
      </w:r>
      <w:r>
        <w:rPr>
          <w:rFonts w:hint="eastAsia" w:ascii="仿宋_GB2312" w:hAnsi="仿宋" w:eastAsia="仿宋_GB2312"/>
          <w:sz w:val="32"/>
          <w:szCs w:val="32"/>
          <w:lang w:val="en-US" w:eastAsia="zh-CN"/>
        </w:rPr>
        <w:t>：2024年进行独立核算</w:t>
      </w:r>
      <w:r>
        <w:rPr>
          <w:rFonts w:hint="eastAsia" w:ascii="仿宋_GB2312" w:hAnsi="仿宋" w:eastAsia="仿宋_GB2312"/>
          <w:sz w:val="32"/>
          <w:szCs w:val="32"/>
        </w:rPr>
        <w:t>。</w:t>
      </w:r>
    </w:p>
    <w:p>
      <w:pPr>
        <w:widowControl/>
        <w:wordWrap/>
        <w:adjustRightInd/>
        <w:snapToGrid w:val="0"/>
        <w:spacing w:beforeAutospacing="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6</w:t>
      </w:r>
      <w:r>
        <w:rPr>
          <w:rFonts w:hint="eastAsia" w:ascii="仿宋_GB2312" w:hAnsi="仿宋" w:eastAsia="仿宋_GB2312"/>
          <w:sz w:val="32"/>
          <w:szCs w:val="32"/>
        </w:rPr>
        <w:t>人。</w:t>
      </w:r>
    </w:p>
    <w:p>
      <w:pPr>
        <w:pStyle w:val="11"/>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ascii="黑体" w:hAnsi="黑体" w:eastAsia="黑体" w:cs="黑体"/>
          <w:sz w:val="32"/>
          <w:szCs w:val="32"/>
          <w:shd w:val="clear" w:color="auto" w:fill="FFFFFF"/>
        </w:rPr>
        <w:t>二、</w:t>
      </w:r>
      <w:r>
        <w:rPr>
          <w:rStyle w:val="15"/>
          <w:rFonts w:hint="eastAsia" w:ascii="黑体" w:hAnsi="黑体" w:eastAsia="黑体" w:cs="黑体"/>
          <w:sz w:val="32"/>
          <w:szCs w:val="32"/>
          <w:shd w:val="clear" w:color="auto" w:fill="FFFFFF"/>
          <w:lang w:eastAsia="zh-CN"/>
        </w:rPr>
        <w:t>单位</w:t>
      </w:r>
      <w:r>
        <w:rPr>
          <w:rStyle w:val="15"/>
          <w:rFonts w:ascii="黑体" w:hAnsi="黑体" w:eastAsia="黑体" w:cs="黑体"/>
          <w:sz w:val="32"/>
          <w:szCs w:val="32"/>
          <w:shd w:val="clear" w:color="auto" w:fill="FFFFFF"/>
        </w:rPr>
        <w:t>决算</w:t>
      </w:r>
      <w:r>
        <w:rPr>
          <w:rStyle w:val="15"/>
          <w:rFonts w:hint="eastAsia" w:ascii="黑体" w:hAnsi="黑体" w:eastAsia="黑体" w:cs="黑体"/>
          <w:sz w:val="32"/>
          <w:szCs w:val="32"/>
          <w:shd w:val="clear" w:color="auto" w:fill="FFFFFF"/>
          <w:lang w:eastAsia="zh-CN"/>
        </w:rPr>
        <w:t>收支</w:t>
      </w:r>
      <w:r>
        <w:rPr>
          <w:rStyle w:val="15"/>
          <w:rFonts w:ascii="黑体" w:hAnsi="黑体" w:eastAsia="黑体" w:cs="黑体"/>
          <w:sz w:val="32"/>
          <w:szCs w:val="32"/>
          <w:shd w:val="clear" w:color="auto" w:fill="FFFFFF"/>
        </w:rPr>
        <w:t>情况说明</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（一）收入支出决算总体情况说明</w:t>
      </w:r>
    </w:p>
    <w:p>
      <w:pPr>
        <w:pStyle w:val="11"/>
        <w:widowControl/>
        <w:shd w:val="clear" w:color="auto" w:fill="FFFFFF"/>
        <w:wordWrap/>
        <w:adjustRightInd/>
        <w:spacing w:before="0" w:beforeAutospacing="0" w:after="0" w:afterAutospacing="0" w:line="594" w:lineRule="exact"/>
        <w:ind w:left="0" w:leftChars="0" w:right="0" w:firstLine="643" w:firstLineChars="200"/>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度收入总计115.70万元，支出总计</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万元。收、支与2023年度相比，增加15.28万元，增长15.22%，主要原因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度收入合计115.70万元，与2023年度相比，增加15.28万元，增长15.22%，主要原因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（二）财政拨款收入支出决算总体情况说明</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度财政拨款收、支总计115.70万元。与202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较年初预算数增加32.06万元，增长38.33%。主要原因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万元，与2023年度相比，增加15.28万元，增长15.22%。主要原因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较年初预算数增加32.06万元，增长38.33%。主要原因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p>
    <w:p>
      <w:pPr>
        <w:pStyle w:val="11"/>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11"/>
        <w:widowControl/>
        <w:numPr>
          <w:ilvl w:val="0"/>
          <w:numId w:val="1"/>
        </w:numPr>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24.47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21.15</w:t>
      </w:r>
      <w:r>
        <w:rPr>
          <w:rFonts w:ascii="方正仿宋_GBK" w:hAnsi="方正仿宋_GBK" w:eastAsia="方正仿宋_GBK" w:cs="方正仿宋_GBK"/>
          <w:sz w:val="32"/>
          <w:szCs w:val="32"/>
          <w:shd w:val="clear" w:color="auto" w:fill="FFFFFF"/>
        </w:rPr>
        <w:t>%，较年初预算数增加14.05万元，增长134.84%，主要原因是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养老保险、职业年金等支出</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pPr>
        <w:pStyle w:val="11"/>
        <w:widowControl/>
        <w:numPr>
          <w:ilvl w:val="0"/>
          <w:numId w:val="0"/>
        </w:numPr>
        <w:wordWrap/>
        <w:adjustRightInd/>
        <w:snapToGrid w:val="0"/>
        <w:spacing w:before="0" w:beforeAutospacing="0" w:after="0" w:afterAutospacing="0" w:line="594" w:lineRule="exact"/>
        <w:ind w:right="0"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3.59</w:t>
      </w:r>
      <w:r>
        <w:rPr>
          <w:rFonts w:ascii="方正仿宋_GBK" w:hAnsi="方正仿宋_GBK" w:eastAsia="方正仿宋_GBK" w:cs="方正仿宋_GBK"/>
          <w:sz w:val="32"/>
          <w:szCs w:val="32"/>
          <w:shd w:val="clear" w:color="auto" w:fill="FFFFFF"/>
        </w:rPr>
        <w:t>%，较年初预算数增加1.00万元，增长31.75%，主要</w:t>
      </w:r>
      <w:r>
        <w:rPr>
          <w:rFonts w:hint="eastAsia" w:ascii="方正仿宋_GBK" w:hAnsi="方正仿宋_GBK" w:eastAsia="方正仿宋_GBK" w:cs="方正仿宋_GBK"/>
          <w:sz w:val="32"/>
          <w:szCs w:val="32"/>
          <w:shd w:val="clear" w:color="auto" w:fill="FFFFFF"/>
          <w:lang w:eastAsia="zh-CN"/>
        </w:rPr>
        <w:t>原因是人员变动，本单位新进</w:t>
      </w:r>
      <w:r>
        <w:rPr>
          <w:rFonts w:hint="eastAsia" w:ascii="方正仿宋_GBK" w:hAnsi="方正仿宋_GBK" w:eastAsia="方正仿宋_GBK" w:cs="方正仿宋_GBK"/>
          <w:sz w:val="32"/>
          <w:szCs w:val="32"/>
          <w:shd w:val="clear" w:color="auto" w:fill="FFFFFF"/>
          <w:lang w:val="en-US" w:eastAsia="zh-CN"/>
        </w:rPr>
        <w:t>1人，医疗保险支出增加。</w:t>
      </w:r>
    </w:p>
    <w:p>
      <w:pPr>
        <w:pStyle w:val="11"/>
        <w:widowControl/>
        <w:numPr>
          <w:ilvl w:val="0"/>
          <w:numId w:val="0"/>
        </w:numPr>
        <w:wordWrap/>
        <w:adjustRightInd/>
        <w:snapToGrid w:val="0"/>
        <w:spacing w:before="0" w:beforeAutospacing="0" w:after="0" w:afterAutospacing="0" w:line="594" w:lineRule="exact"/>
        <w:ind w:right="0" w:firstLine="640" w:firstLineChars="200"/>
        <w:jc w:val="both"/>
        <w:textAlignment w:val="auto"/>
        <w:outlineLvl w:val="9"/>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78.14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67.54</w:t>
      </w:r>
      <w:r>
        <w:rPr>
          <w:rFonts w:ascii="方正仿宋_GBK" w:hAnsi="方正仿宋_GBK" w:eastAsia="方正仿宋_GBK" w:cs="方正仿宋_GBK"/>
          <w:sz w:val="32"/>
          <w:szCs w:val="32"/>
          <w:shd w:val="clear" w:color="auto" w:fill="FFFFFF"/>
        </w:rPr>
        <w:t>%，较年初预算数增加11.85万元，增长17.88%，主要</w:t>
      </w:r>
      <w:r>
        <w:rPr>
          <w:rFonts w:hint="eastAsia" w:ascii="方正仿宋_GBK" w:hAnsi="方正仿宋_GBK" w:eastAsia="方正仿宋_GBK" w:cs="方正仿宋_GBK"/>
          <w:sz w:val="32"/>
          <w:szCs w:val="32"/>
          <w:shd w:val="clear" w:color="auto" w:fill="FFFFFF"/>
          <w:lang w:eastAsia="zh-CN"/>
        </w:rPr>
        <w:t>原因是人员变动，本单位新进</w:t>
      </w:r>
      <w:r>
        <w:rPr>
          <w:rFonts w:hint="eastAsia" w:ascii="方正仿宋_GBK" w:hAnsi="方正仿宋_GBK" w:eastAsia="方正仿宋_GBK" w:cs="方正仿宋_GBK"/>
          <w:sz w:val="32"/>
          <w:szCs w:val="32"/>
          <w:shd w:val="clear" w:color="auto" w:fill="FFFFFF"/>
          <w:lang w:val="en-US" w:eastAsia="zh-CN"/>
        </w:rPr>
        <w:t>1人，人员经费、公用经费增加</w:t>
      </w:r>
      <w:r>
        <w:rPr>
          <w:rFonts w:hint="eastAsia" w:ascii="方正仿宋_GBK" w:hAnsi="方正仿宋_GBK" w:eastAsia="方正仿宋_GBK" w:cs="方正仿宋_GBK"/>
          <w:sz w:val="32"/>
          <w:szCs w:val="32"/>
          <w:shd w:val="clear" w:color="auto" w:fill="FFFFFF"/>
        </w:rPr>
        <w:t>。</w:t>
      </w:r>
    </w:p>
    <w:p>
      <w:pPr>
        <w:pStyle w:val="11"/>
        <w:widowControl/>
        <w:numPr>
          <w:ilvl w:val="0"/>
          <w:numId w:val="0"/>
        </w:numPr>
        <w:wordWrap/>
        <w:adjustRightInd/>
        <w:snapToGrid w:val="0"/>
        <w:spacing w:before="0" w:beforeAutospacing="0" w:after="0" w:afterAutospacing="0" w:line="594" w:lineRule="exact"/>
        <w:ind w:right="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7.73</w:t>
      </w:r>
      <w:r>
        <w:rPr>
          <w:rFonts w:ascii="方正仿宋_GBK" w:hAnsi="方正仿宋_GBK" w:eastAsia="方正仿宋_GBK" w:cs="方正仿宋_GBK"/>
          <w:sz w:val="32"/>
          <w:szCs w:val="32"/>
          <w:shd w:val="clear" w:color="auto" w:fill="FFFFFF"/>
        </w:rPr>
        <w:t>%，较年初预算数增加5.16万元，增长136.51%，主要</w:t>
      </w:r>
      <w:r>
        <w:rPr>
          <w:rFonts w:hint="eastAsia" w:ascii="方正仿宋_GBK" w:hAnsi="方正仿宋_GBK" w:eastAsia="方正仿宋_GBK" w:cs="方正仿宋_GBK"/>
          <w:sz w:val="32"/>
          <w:szCs w:val="32"/>
          <w:shd w:val="clear" w:color="auto" w:fill="FFFFFF"/>
          <w:lang w:eastAsia="zh-CN"/>
        </w:rPr>
        <w:t>原因是人员变动，本单位新进</w:t>
      </w:r>
      <w:r>
        <w:rPr>
          <w:rFonts w:hint="eastAsia" w:ascii="方正仿宋_GBK" w:hAnsi="方正仿宋_GBK" w:eastAsia="方正仿宋_GBK" w:cs="方正仿宋_GBK"/>
          <w:sz w:val="32"/>
          <w:szCs w:val="32"/>
          <w:shd w:val="clear" w:color="auto" w:fill="FFFFFF"/>
          <w:lang w:val="en-US" w:eastAsia="zh-CN"/>
        </w:rPr>
        <w:t>1人，住房公积金支出增加。</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11"/>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115.70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113.05</w:t>
      </w:r>
      <w:r>
        <w:rPr>
          <w:rFonts w:ascii="方正仿宋_GBK" w:hAnsi="方正仿宋_GBK" w:eastAsia="方正仿宋_GBK" w:cs="方正仿宋_GBK"/>
          <w:sz w:val="32"/>
          <w:szCs w:val="32"/>
          <w:shd w:val="clear" w:color="auto" w:fill="FFFFFF"/>
        </w:rPr>
        <w:t>万元，与2023年度相比，增加20.70万元，增长22.41%，主要原因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；二是由于人员变动，本单位新进</w:t>
      </w:r>
      <w:r>
        <w:rPr>
          <w:rFonts w:hint="eastAsia" w:ascii="方正仿宋_GBK" w:hAnsi="方正仿宋_GBK" w:eastAsia="方正仿宋_GBK" w:cs="方正仿宋_GBK"/>
          <w:sz w:val="32"/>
          <w:szCs w:val="32"/>
          <w:shd w:val="clear" w:color="auto" w:fill="FFFFFF"/>
          <w:lang w:val="en-US" w:eastAsia="zh-CN"/>
        </w:rPr>
        <w:t>1人，人员经费增加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人员经费用途主要包括基本工资、津贴补贴、基础绩效、超额绩效、社会保障缴费等。公用经费</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万元，与2023年度相比，减少5.42万元，下降67.16%，主要原因是</w:t>
      </w:r>
      <w:r>
        <w:rPr>
          <w:rFonts w:hint="eastAsia" w:ascii="方正仿宋_GBK" w:hAnsi="方正仿宋_GBK" w:eastAsia="方正仿宋_GBK" w:cs="方正仿宋_GBK"/>
          <w:sz w:val="32"/>
          <w:szCs w:val="32"/>
          <w:shd w:val="clear" w:color="auto" w:fill="FFFFFF"/>
        </w:rPr>
        <w:t>本单位本年度差旅费减少。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shd w:val="clear" w:color="auto" w:fill="FFFFFF"/>
        </w:rPr>
        <w:t>办公费、印刷费、委托业务费、差旅费等。</w:t>
      </w:r>
    </w:p>
    <w:p>
      <w:pPr>
        <w:pStyle w:val="11"/>
        <w:widowControl/>
        <w:shd w:val="clear" w:color="auto" w:fill="FFFFFF"/>
        <w:wordWrap/>
        <w:adjustRightInd/>
        <w:spacing w:before="0" w:beforeAutospacing="0" w:after="0" w:afterAutospacing="0" w:line="594" w:lineRule="exact"/>
        <w:ind w:right="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lang w:val="en-US" w:eastAsia="zh-CN"/>
        </w:rPr>
        <w:t xml:space="preserve">    </w:t>
      </w:r>
      <w:r>
        <w:rPr>
          <w:rStyle w:val="15"/>
          <w:rFonts w:hint="eastAsia" w:ascii="方正楷体_GBK" w:hAnsi="方正楷体_GBK" w:eastAsia="方正楷体_GBK" w:cs="方正楷体_GBK"/>
          <w:b w:val="0"/>
          <w:bCs/>
          <w:sz w:val="32"/>
          <w:szCs w:val="32"/>
          <w:shd w:val="clear" w:color="auto" w:fill="FFFFFF"/>
        </w:rPr>
        <w:t>（五）政府性基金预算收支决算情况说明</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11"/>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1"/>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ascii="黑体" w:hAnsi="黑体" w:eastAsia="黑体" w:cs="黑体"/>
          <w:sz w:val="32"/>
          <w:szCs w:val="32"/>
          <w:shd w:val="clear" w:color="auto" w:fill="FFFFFF"/>
        </w:rPr>
        <w:t>三、</w:t>
      </w:r>
      <w:r>
        <w:rPr>
          <w:rStyle w:val="15"/>
          <w:rFonts w:hint="eastAsia" w:ascii="黑体" w:hAnsi="黑体" w:eastAsia="黑体" w:cs="黑体"/>
          <w:sz w:val="32"/>
          <w:szCs w:val="32"/>
          <w:shd w:val="clear" w:color="auto" w:fill="FFFFFF"/>
          <w:lang w:eastAsia="zh-CN"/>
        </w:rPr>
        <w:t>财政拨款</w:t>
      </w:r>
      <w:r>
        <w:rPr>
          <w:rStyle w:val="15"/>
          <w:rFonts w:ascii="黑体" w:hAnsi="黑体" w:eastAsia="黑体" w:cs="黑体"/>
          <w:sz w:val="32"/>
          <w:szCs w:val="32"/>
          <w:shd w:val="clear" w:color="auto" w:fill="FFFFFF"/>
        </w:rPr>
        <w:t>“三公”经费情况说明</w:t>
      </w:r>
    </w:p>
    <w:p>
      <w:pPr>
        <w:pStyle w:val="16"/>
        <w:widowControl/>
        <w:wordWrap/>
        <w:autoSpaceDE w:val="0"/>
        <w:adjustRightInd/>
        <w:spacing w:beforeAutospacing="0" w:afterAutospacing="0" w:line="594" w:lineRule="exact"/>
        <w:ind w:right="0"/>
        <w:textAlignment w:val="auto"/>
        <w:outlineLvl w:val="9"/>
        <w:rPr>
          <w:rFonts w:ascii="楷体" w:hAnsi="楷体" w:eastAsia="楷体" w:cs="楷体"/>
          <w:b/>
          <w:bCs/>
          <w:sz w:val="32"/>
          <w:szCs w:val="32"/>
          <w:shd w:val="clear" w:color="auto" w:fill="FFFFFF"/>
        </w:rPr>
      </w:pPr>
      <w:r>
        <w:rPr>
          <w:rStyle w:val="15"/>
          <w:rFonts w:hint="eastAsia" w:ascii="方正楷体_GBK" w:hAnsi="方正楷体_GBK" w:eastAsia="方正楷体_GBK" w:cs="方正楷体_GBK"/>
          <w:bCs/>
          <w:sz w:val="32"/>
          <w:szCs w:val="32"/>
          <w:shd w:val="clear" w:color="auto" w:fill="FFFFFF"/>
          <w:lang w:val="en-US" w:eastAsia="zh-CN" w:bidi="ar-SA"/>
        </w:rPr>
        <w:t>（一）“三公”经费支出总体情况说明</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（二）“三公”经费分项支出情况</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11"/>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（三）“三公”经费实物量情况</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11"/>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四、其他需要说明的事项</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  （一）财政拨款会议费和培训费情况说明</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本单位本年度与上年度均无会议费支出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本单位本年度与上年度均无培训费支出</w:t>
      </w:r>
      <w:r>
        <w:rPr>
          <w:rFonts w:ascii="方正仿宋_GBK" w:hAnsi="方正仿宋_GBK" w:eastAsia="方正仿宋_GBK" w:cs="方正仿宋_GBK"/>
          <w:sz w:val="32"/>
          <w:szCs w:val="32"/>
          <w:shd w:val="clear" w:color="auto" w:fill="FFFFFF"/>
        </w:rPr>
        <w:t>。</w:t>
      </w:r>
    </w:p>
    <w:p>
      <w:pPr>
        <w:pStyle w:val="11"/>
        <w:widowControl/>
        <w:shd w:val="clear" w:color="auto" w:fill="FFFFFF"/>
        <w:wordWrap/>
        <w:adjustRightInd/>
        <w:spacing w:before="0" w:beforeAutospacing="0" w:after="0" w:afterAutospacing="0" w:line="594" w:lineRule="exact"/>
        <w:ind w:right="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lang w:val="en-US" w:eastAsia="zh-CN"/>
        </w:rPr>
        <w:t xml:space="preserve">    </w:t>
      </w:r>
      <w:r>
        <w:rPr>
          <w:rStyle w:val="15"/>
          <w:rFonts w:hint="eastAsia" w:ascii="方正楷体_GBK" w:hAnsi="方正楷体_GBK" w:eastAsia="方正楷体_GBK" w:cs="方正楷体_GBK"/>
          <w:b w:val="0"/>
          <w:bCs/>
          <w:sz w:val="32"/>
          <w:szCs w:val="32"/>
          <w:shd w:val="clear" w:color="auto" w:fill="FFFFFF"/>
        </w:rPr>
        <w:t>（二）机关运行经费情况说明</w:t>
      </w:r>
    </w:p>
    <w:p>
      <w:pPr>
        <w:pStyle w:val="11"/>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（三）国有资产占用情况说明</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widowControl/>
        <w:shd w:val="clear" w:color="auto" w:fill="FFFFFF"/>
        <w:wordWrap/>
        <w:adjustRightInd/>
        <w:spacing w:before="0" w:beforeAutospacing="0" w:after="0" w:afterAutospacing="0" w:line="594" w:lineRule="exact"/>
        <w:ind w:right="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lang w:val="en-US" w:eastAsia="zh-CN"/>
        </w:rPr>
        <w:t xml:space="preserve">    </w:t>
      </w:r>
      <w:r>
        <w:rPr>
          <w:rStyle w:val="15"/>
          <w:rFonts w:hint="eastAsia" w:ascii="方正楷体_GBK" w:hAnsi="方正楷体_GBK" w:eastAsia="方正楷体_GBK" w:cs="方正楷体_GBK"/>
          <w:b w:val="0"/>
          <w:bCs/>
          <w:sz w:val="32"/>
          <w:szCs w:val="32"/>
          <w:shd w:val="clear" w:color="auto" w:fill="FFFFFF"/>
        </w:rPr>
        <w:t>（四）政府采购支出情况说明</w:t>
      </w:r>
    </w:p>
    <w:p>
      <w:pPr>
        <w:pStyle w:val="17"/>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1"/>
        <w:widowControl/>
        <w:numPr>
          <w:ilvl w:val="0"/>
          <w:numId w:val="0"/>
        </w:numPr>
        <w:shd w:val="clear" w:color="auto" w:fill="FFFFFF"/>
        <w:wordWrap/>
        <w:adjustRightInd/>
        <w:snapToGrid/>
        <w:spacing w:before="0" w:beforeAutospacing="0" w:after="0" w:afterAutospacing="0" w:line="594" w:lineRule="exact"/>
        <w:ind w:leftChars="200" w:right="0" w:rightChars="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hint="eastAsia" w:ascii="黑体" w:hAnsi="黑体" w:eastAsia="黑体" w:cs="黑体"/>
          <w:sz w:val="32"/>
          <w:szCs w:val="32"/>
          <w:shd w:val="clear" w:color="auto" w:fill="FFFFFF"/>
          <w:lang w:val="en-US" w:eastAsia="zh-CN" w:bidi="ar-SA"/>
        </w:rPr>
        <w:t>五、2024年度预算绩效管理情况说明</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（一）</w:t>
      </w:r>
      <w:r>
        <w:rPr>
          <w:rStyle w:val="15"/>
          <w:rFonts w:hint="eastAsia" w:ascii="方正楷体_GBK" w:hAnsi="方正楷体_GBK" w:eastAsia="方正楷体_GBK" w:cs="方正楷体_GBK"/>
          <w:b w:val="0"/>
          <w:bCs/>
          <w:sz w:val="32"/>
          <w:szCs w:val="32"/>
          <w:shd w:val="clear" w:color="auto" w:fill="FFFFFF"/>
          <w:lang w:eastAsia="zh-CN"/>
        </w:rPr>
        <w:t>单位</w:t>
      </w:r>
      <w:r>
        <w:rPr>
          <w:rStyle w:val="15"/>
          <w:rFonts w:hint="eastAsia" w:ascii="方正楷体_GBK" w:hAnsi="方正楷体_GBK" w:eastAsia="方正楷体_GBK" w:cs="方正楷体_GBK"/>
          <w:b w:val="0"/>
          <w:bCs/>
          <w:sz w:val="32"/>
          <w:szCs w:val="32"/>
          <w:shd w:val="clear" w:color="auto" w:fill="FFFFFF"/>
        </w:rPr>
        <w:t>自评情况</w:t>
      </w:r>
    </w:p>
    <w:p>
      <w:pPr>
        <w:pStyle w:val="18"/>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（二）</w:t>
      </w:r>
      <w:r>
        <w:rPr>
          <w:rStyle w:val="15"/>
          <w:rFonts w:hint="eastAsia" w:ascii="方正楷体_GBK" w:hAnsi="方正楷体_GBK" w:eastAsia="方正楷体_GBK" w:cs="方正楷体_GBK"/>
          <w:b w:val="0"/>
          <w:bCs/>
          <w:sz w:val="32"/>
          <w:szCs w:val="32"/>
          <w:shd w:val="clear" w:color="auto" w:fill="FFFFFF"/>
          <w:lang w:eastAsia="zh-CN"/>
        </w:rPr>
        <w:t>单位</w:t>
      </w:r>
      <w:r>
        <w:rPr>
          <w:rStyle w:val="15"/>
          <w:rFonts w:hint="eastAsia" w:ascii="方正楷体_GBK" w:hAnsi="方正楷体_GBK" w:eastAsia="方正楷体_GBK" w:cs="方正楷体_GBK"/>
          <w:b w:val="0"/>
          <w:bCs/>
          <w:sz w:val="32"/>
          <w:szCs w:val="32"/>
          <w:shd w:val="clear" w:color="auto" w:fill="FFFFFF"/>
        </w:rPr>
        <w:t>绩效评价情况</w:t>
      </w:r>
    </w:p>
    <w:p>
      <w:pPr>
        <w:pStyle w:val="16"/>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widowControl/>
        <w:shd w:val="clear" w:color="auto" w:fill="FFFFFF"/>
        <w:wordWrap/>
        <w:adjustRightInd/>
        <w:spacing w:before="0" w:beforeAutospacing="0" w:after="0" w:afterAutospacing="0" w:line="594" w:lineRule="exact"/>
        <w:ind w:left="0" w:leftChars="0" w:right="0" w:firstLine="420"/>
        <w:textAlignment w:val="auto"/>
        <w:outlineLvl w:val="9"/>
        <w:rPr>
          <w:rStyle w:val="15"/>
          <w:rFonts w:hint="eastAsia" w:ascii="方正楷体_GBK" w:hAnsi="方正楷体_GBK" w:eastAsia="方正楷体_GBK" w:cs="方正楷体_GBK"/>
          <w:b w:val="0"/>
          <w:bCs/>
          <w:sz w:val="32"/>
          <w:szCs w:val="32"/>
          <w:shd w:val="clear" w:color="auto" w:fill="FFFFFF"/>
        </w:rPr>
      </w:pPr>
      <w:r>
        <w:rPr>
          <w:rStyle w:val="15"/>
          <w:rFonts w:hint="eastAsia" w:ascii="方正楷体_GBK" w:hAnsi="方正楷体_GBK" w:eastAsia="方正楷体_GBK" w:cs="方正楷体_GBK"/>
          <w:b w:val="0"/>
          <w:bCs/>
          <w:sz w:val="32"/>
          <w:szCs w:val="32"/>
          <w:shd w:val="clear" w:color="auto" w:fill="FFFFFF"/>
        </w:rPr>
        <w:t>（三）财政绩效评价情况</w:t>
      </w:r>
    </w:p>
    <w:p>
      <w:pPr>
        <w:pStyle w:val="18"/>
        <w:autoSpaceDE w:val="0"/>
        <w:ind w:firstLine="640"/>
        <w:rPr>
          <w:rStyle w:val="15"/>
          <w:rFonts w:hint="eastAsia" w:ascii="方正黑体_GBK" w:hAnsi="方正黑体_GBK" w:eastAsia="方正黑体_GBK" w:cs="方正黑体_GBK"/>
          <w:b w:val="0"/>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1"/>
        <w:widowControl/>
        <w:numPr>
          <w:ilvl w:val="0"/>
          <w:numId w:val="0"/>
        </w:numPr>
        <w:shd w:val="clear" w:color="auto" w:fill="FFFFFF"/>
        <w:wordWrap/>
        <w:adjustRightInd/>
        <w:snapToGrid/>
        <w:spacing w:before="0" w:beforeAutospacing="0" w:after="0" w:afterAutospacing="0" w:line="594" w:lineRule="exact"/>
        <w:ind w:leftChars="200" w:right="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lang w:val="en-US" w:eastAsia="zh-CN"/>
        </w:rPr>
        <w:t xml:space="preserve"> </w:t>
      </w:r>
      <w:r>
        <w:rPr>
          <w:rStyle w:val="15"/>
          <w:rFonts w:hint="eastAsia" w:ascii="方正黑体_GBK" w:hAnsi="方正黑体_GBK" w:eastAsia="方正黑体_GBK" w:cs="方正黑体_GBK"/>
          <w:b w:val="0"/>
          <w:bCs/>
          <w:sz w:val="32"/>
          <w:szCs w:val="32"/>
          <w:shd w:val="clear" w:color="auto" w:fill="FFFFFF"/>
        </w:rPr>
        <w:t>六、专业名词解释</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1"/>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5"/>
          <w:rFonts w:hint="eastAsia" w:ascii="方正楷体_GBK" w:hAnsi="方正楷体_GBK" w:eastAsia="方正楷体_GBK" w:cs="方正楷体_GBK"/>
          <w:b w:val="0"/>
          <w:bCs/>
          <w:sz w:val="32"/>
          <w:szCs w:val="32"/>
          <w:shd w:val="clear" w:color="auto" w:fill="FFFFFF"/>
        </w:rPr>
        <w:t> （十五）商品和服务支出（支出经济分类科目类级）：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11"/>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 </w:t>
      </w:r>
      <w:r>
        <w:rPr>
          <w:rStyle w:val="15"/>
          <w:rFonts w:hint="eastAsia"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widowControl/>
        <w:shd w:val="clear" w:color="auto" w:fill="FFFFFF"/>
        <w:wordWrap/>
        <w:adjustRightInd/>
        <w:spacing w:before="0" w:beforeAutospacing="0" w:after="0" w:afterAutospacing="0" w:line="594" w:lineRule="exact"/>
        <w:ind w:left="0" w:leftChars="0" w:right="0"/>
        <w:textAlignment w:val="auto"/>
        <w:outlineLvl w:val="9"/>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  七、决算公开联系方式及信息反馈渠道</w:t>
      </w:r>
    </w:p>
    <w:p>
      <w:pPr>
        <w:pStyle w:val="16"/>
        <w:autoSpaceDE w:val="0"/>
        <w:ind w:firstLine="640" w:firstLineChars="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本单位决算公开信息反馈和联系方式：023-74552700。</w:t>
      </w:r>
    </w:p>
    <w:p>
      <w:pPr>
        <w:pStyle w:val="16"/>
        <w:autoSpaceDE w:val="0"/>
        <w:ind w:firstLine="640" w:firstLineChars="0"/>
        <w:rPr>
          <w:rFonts w:hint="default" w:ascii="方正仿宋_GBK" w:hAnsi="方正仿宋_GBK" w:eastAsia="方正仿宋_GBK" w:cs="方正仿宋_GBK"/>
          <w:sz w:val="32"/>
          <w:szCs w:val="32"/>
          <w:shd w:val="clear" w:color="auto" w:fill="FFFFFF"/>
        </w:rPr>
      </w:pPr>
    </w:p>
    <w:p>
      <w:pPr>
        <w:pStyle w:val="16"/>
        <w:autoSpaceDE w:val="0"/>
        <w:ind w:firstLine="640" w:firstLineChars="0"/>
        <w:rPr>
          <w:rFonts w:hint="default" w:ascii="方正仿宋_GBK" w:hAnsi="方正仿宋_GBK" w:eastAsia="方正仿宋_GBK" w:cs="方正仿宋_GBK"/>
          <w:sz w:val="32"/>
          <w:szCs w:val="32"/>
          <w:shd w:val="clear" w:color="auto"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5"/>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113.05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8"/>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8"/>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3800"/>
    <w:multiLevelType w:val="singleLevel"/>
    <w:tmpl w:val="689C38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4MWM2YmFhNjI2ZjBiMzdmZDQ5YWQxZGNmMDQ4ZW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58324A"/>
    <w:rsid w:val="076A2669"/>
    <w:rsid w:val="079D7CC7"/>
    <w:rsid w:val="08051BCA"/>
    <w:rsid w:val="086C12F4"/>
    <w:rsid w:val="08BA052C"/>
    <w:rsid w:val="08DB07BA"/>
    <w:rsid w:val="0969353F"/>
    <w:rsid w:val="098305D0"/>
    <w:rsid w:val="098A0877"/>
    <w:rsid w:val="0A5C4B69"/>
    <w:rsid w:val="0A86124A"/>
    <w:rsid w:val="0AB54CC0"/>
    <w:rsid w:val="0B9335CE"/>
    <w:rsid w:val="0C7927C4"/>
    <w:rsid w:val="0C9B098C"/>
    <w:rsid w:val="0CF31224"/>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565EC1"/>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06A43CC"/>
    <w:rsid w:val="20D07476"/>
    <w:rsid w:val="21556F04"/>
    <w:rsid w:val="22403BD3"/>
    <w:rsid w:val="23DA37D9"/>
    <w:rsid w:val="24B92327"/>
    <w:rsid w:val="24C14514"/>
    <w:rsid w:val="2533755C"/>
    <w:rsid w:val="25791755"/>
    <w:rsid w:val="26396DF4"/>
    <w:rsid w:val="27167136"/>
    <w:rsid w:val="27B23302"/>
    <w:rsid w:val="27DD53F3"/>
    <w:rsid w:val="29310A5F"/>
    <w:rsid w:val="296C38D4"/>
    <w:rsid w:val="29C37A35"/>
    <w:rsid w:val="2A076083"/>
    <w:rsid w:val="2A73162E"/>
    <w:rsid w:val="2B167953"/>
    <w:rsid w:val="2B200583"/>
    <w:rsid w:val="2B8209DE"/>
    <w:rsid w:val="2C6762A3"/>
    <w:rsid w:val="2EBF7B3E"/>
    <w:rsid w:val="2EDE1934"/>
    <w:rsid w:val="2FCA4B37"/>
    <w:rsid w:val="2FE029D7"/>
    <w:rsid w:val="2FF06E00"/>
    <w:rsid w:val="30562E26"/>
    <w:rsid w:val="30586FEC"/>
    <w:rsid w:val="308B6156"/>
    <w:rsid w:val="30EC7046"/>
    <w:rsid w:val="315F0B22"/>
    <w:rsid w:val="319D022C"/>
    <w:rsid w:val="31C90022"/>
    <w:rsid w:val="31D84415"/>
    <w:rsid w:val="32285F6F"/>
    <w:rsid w:val="32770556"/>
    <w:rsid w:val="329C0913"/>
    <w:rsid w:val="32AA0460"/>
    <w:rsid w:val="3337290D"/>
    <w:rsid w:val="33E31118"/>
    <w:rsid w:val="33EF7674"/>
    <w:rsid w:val="341220FE"/>
    <w:rsid w:val="342D7BC6"/>
    <w:rsid w:val="352930DB"/>
    <w:rsid w:val="35573069"/>
    <w:rsid w:val="355F6038"/>
    <w:rsid w:val="358C217E"/>
    <w:rsid w:val="35937598"/>
    <w:rsid w:val="36C9128A"/>
    <w:rsid w:val="372E3953"/>
    <w:rsid w:val="37841E99"/>
    <w:rsid w:val="37BF1123"/>
    <w:rsid w:val="383C3F15"/>
    <w:rsid w:val="38BE4696"/>
    <w:rsid w:val="3939115E"/>
    <w:rsid w:val="39851BBC"/>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3A3A5C"/>
    <w:rsid w:val="3F694D83"/>
    <w:rsid w:val="3F835F74"/>
    <w:rsid w:val="3F885DCC"/>
    <w:rsid w:val="3FC425C5"/>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0E2488"/>
    <w:rsid w:val="511C4FE5"/>
    <w:rsid w:val="52234D33"/>
    <w:rsid w:val="522F6E0C"/>
    <w:rsid w:val="52463BA1"/>
    <w:rsid w:val="52F163D4"/>
    <w:rsid w:val="531A2DB4"/>
    <w:rsid w:val="53C0244D"/>
    <w:rsid w:val="53DD4D4E"/>
    <w:rsid w:val="53E578CE"/>
    <w:rsid w:val="541330F0"/>
    <w:rsid w:val="54272666"/>
    <w:rsid w:val="543B029D"/>
    <w:rsid w:val="54861779"/>
    <w:rsid w:val="54EA19E7"/>
    <w:rsid w:val="552256E1"/>
    <w:rsid w:val="554E5773"/>
    <w:rsid w:val="555A3CBC"/>
    <w:rsid w:val="5582012B"/>
    <w:rsid w:val="558E4E05"/>
    <w:rsid w:val="55BE2E85"/>
    <w:rsid w:val="56530F5D"/>
    <w:rsid w:val="567700D3"/>
    <w:rsid w:val="56D65590"/>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07C34"/>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04150"/>
    <w:rsid w:val="6F5A53AC"/>
    <w:rsid w:val="6FAC003D"/>
    <w:rsid w:val="6FE55E12"/>
    <w:rsid w:val="6FFB2E76"/>
    <w:rsid w:val="708F6F7F"/>
    <w:rsid w:val="70D94BD3"/>
    <w:rsid w:val="71C34D91"/>
    <w:rsid w:val="72DB435C"/>
    <w:rsid w:val="72E2613A"/>
    <w:rsid w:val="72F771F4"/>
    <w:rsid w:val="736650B0"/>
    <w:rsid w:val="73934AD2"/>
    <w:rsid w:val="750837F0"/>
    <w:rsid w:val="754758CF"/>
    <w:rsid w:val="75F96061"/>
    <w:rsid w:val="764F62AB"/>
    <w:rsid w:val="765C45EC"/>
    <w:rsid w:val="768A7619"/>
    <w:rsid w:val="772E1EBA"/>
    <w:rsid w:val="77EB79F7"/>
    <w:rsid w:val="791730F6"/>
    <w:rsid w:val="796D60A4"/>
    <w:rsid w:val="799A23DE"/>
    <w:rsid w:val="79A031D5"/>
    <w:rsid w:val="7A1525F7"/>
    <w:rsid w:val="7B420052"/>
    <w:rsid w:val="7B861484"/>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autoRedefine/>
    <w:unhideWhenUsed/>
    <w:qFormat/>
    <w:uiPriority w:val="0"/>
    <w:pPr>
      <w:keepNext/>
      <w:keepLines/>
      <w:spacing w:line="372" w:lineRule="auto"/>
      <w:outlineLvl w:val="3"/>
    </w:pPr>
    <w:rPr>
      <w:rFonts w:ascii="Arial" w:hAnsi="Arial" w:eastAsia="黑体"/>
      <w:sz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uiPriority w:val="0"/>
    <w:pPr>
      <w:ind w:firstLine="567"/>
    </w:pPr>
  </w:style>
  <w:style w:type="paragraph" w:styleId="5">
    <w:name w:val="Body Text"/>
    <w:basedOn w:val="1"/>
    <w:next w:val="6"/>
    <w:link w:val="22"/>
    <w:autoRedefine/>
    <w:uiPriority w:val="0"/>
    <w:pPr>
      <w:widowControl/>
      <w:spacing w:before="100" w:beforeAutospacing="1" w:after="100" w:afterAutospacing="1"/>
      <w:jc w:val="left"/>
    </w:pPr>
    <w:rPr>
      <w:rFonts w:ascii="宋体" w:hAnsi="宋体" w:cs="宋体"/>
      <w:kern w:val="0"/>
      <w:sz w:val="24"/>
    </w:rPr>
  </w:style>
  <w:style w:type="paragraph" w:styleId="6">
    <w:name w:val="toc 5"/>
    <w:basedOn w:val="1"/>
    <w:next w:val="1"/>
    <w:autoRedefine/>
    <w:uiPriority w:val="0"/>
    <w:pPr>
      <w:widowControl w:val="0"/>
      <w:adjustRightInd/>
      <w:snapToGrid/>
      <w:spacing w:before="0" w:beforeAutospacing="0" w:after="0" w:afterAutospacing="0"/>
      <w:ind w:left="1680" w:leftChars="800"/>
      <w:jc w:val="both"/>
    </w:pPr>
    <w:rPr>
      <w:rFonts w:ascii="Times New Roman" w:hAnsi="Times New Roman" w:eastAsia="方正仿宋_GBK"/>
      <w:kern w:val="2"/>
      <w:sz w:val="32"/>
      <w:szCs w:val="24"/>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8">
    <w:name w:val="列出段落2"/>
    <w:autoRedefine/>
    <w:qFormat/>
    <w:uiPriority w:val="99"/>
    <w:pPr>
      <w:ind w:firstLine="420" w:firstLineChars="200"/>
    </w:pPr>
    <w:rPr>
      <w:rFonts w:ascii="宋体" w:hAnsi="宋体" w:eastAsia="宋体" w:cs="Times New Roman"/>
      <w:sz w:val="24"/>
      <w:szCs w:val="24"/>
      <w:lang w:val="en-US" w:eastAsia="zh-CN" w:bidi="ar-SA"/>
    </w:rPr>
  </w:style>
  <w:style w:type="paragraph" w:customStyle="1" w:styleId="19">
    <w:name w:val="索引 51"/>
    <w:next w:val="1"/>
    <w:autoRedefine/>
    <w:qFormat/>
    <w:uiPriority w:val="99"/>
    <w:pPr>
      <w:widowControl w:val="0"/>
      <w:ind w:left="1680"/>
      <w:jc w:val="both"/>
    </w:pPr>
    <w:rPr>
      <w:rFonts w:ascii="Times New Roman" w:hAnsi="Times New Roman" w:eastAsia="宋体" w:cs="Times New Roman"/>
      <w:kern w:val="2"/>
      <w:sz w:val="21"/>
      <w:szCs w:val="24"/>
      <w:lang w:val="en-US" w:eastAsia="zh-CN" w:bidi="ar-SA"/>
    </w:rPr>
  </w:style>
  <w:style w:type="character" w:customStyle="1" w:styleId="20">
    <w:name w:val="21"/>
    <w:qFormat/>
    <w:uiPriority w:val="0"/>
    <w:rPr>
      <w:rFonts w:hint="default" w:ascii="Wingdings" w:hAnsi="Wingdings" w:cs="Wingdings"/>
      <w:b/>
      <w:bCs/>
    </w:rPr>
  </w:style>
  <w:style w:type="character" w:customStyle="1" w:styleId="21">
    <w:name w:val="批注框文本 Char"/>
    <w:basedOn w:val="14"/>
    <w:link w:val="7"/>
    <w:qFormat/>
    <w:uiPriority w:val="0"/>
    <w:rPr>
      <w:rFonts w:ascii="宋体" w:hAnsi="宋体"/>
      <w:sz w:val="18"/>
      <w:szCs w:val="18"/>
    </w:rPr>
  </w:style>
  <w:style w:type="character" w:customStyle="1" w:styleId="22">
    <w:name w:val="正文文本 Char"/>
    <w:basedOn w:val="14"/>
    <w:link w:val="5"/>
    <w:autoRedefine/>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8567</Words>
  <Characters>10700</Characters>
  <Lines>194</Lines>
  <Paragraphs>54</Paragraphs>
  <TotalTime>0</TotalTime>
  <ScaleCrop>false</ScaleCrop>
  <LinksUpToDate>false</LinksUpToDate>
  <CharactersWithSpaces>11735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2025-09-24T08:13:21Z</dcterms:modified>
  <dc:title>垫江县高安镇综合行政执法大队2024年度决算公开说明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