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rPr>
        <w:t>垫江县高安镇劳动就业和社会保障服务所</w:t>
      </w:r>
      <w:r>
        <w:rPr>
          <w:rFonts w:hint="eastAsia" w:ascii="方正小标宋_GBK" w:hAnsi="方正小标宋_GBK" w:eastAsia="方正小标宋_GBK" w:cs="方正小标宋_GBK"/>
          <w:sz w:val="44"/>
          <w:szCs w:val="44"/>
          <w:shd w:val="clear" w:color="auto" w:fill="FFFFFF"/>
          <w:lang w:eastAsia="zh-CN"/>
        </w:rPr>
        <w:t>2024年</w:t>
      </w:r>
      <w:r>
        <w:rPr>
          <w:rFonts w:ascii="方正小标宋_GBK" w:hAnsi="方正小标宋_GBK" w:eastAsia="方正小标宋_GBK" w:cs="方正小标宋_GBK"/>
          <w:sz w:val="44"/>
          <w:szCs w:val="44"/>
          <w:shd w:val="clear" w:color="auto" w:fill="FFFFFF"/>
        </w:rPr>
        <w:t>度决算公开说明</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Fonts w:hint="eastAsia" w:ascii="方正黑体_GBK" w:hAnsi="方正黑体_GBK" w:eastAsia="方正黑体_GBK" w:cs="方正黑体_GBK"/>
          <w:b w:val="0"/>
          <w:bCs/>
          <w:sz w:val="32"/>
          <w:szCs w:val="32"/>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spacing w:line="594" w:lineRule="exact"/>
        <w:ind w:firstLine="640" w:firstLineChars="200"/>
        <w:rPr>
          <w:rFonts w:hint="default" w:ascii="仿宋_GB2312" w:hAnsi="方正仿宋_GBK" w:eastAsia="仿宋_GB2312" w:cs="方正仿宋_GBK"/>
          <w:color w:val="000000"/>
          <w:sz w:val="32"/>
          <w:szCs w:val="32"/>
        </w:rPr>
      </w:pPr>
      <w:r>
        <w:rPr>
          <w:rFonts w:ascii="仿宋_GB2312" w:hAnsi="方正仿宋_GBK" w:eastAsia="仿宋_GB2312" w:cs="方正仿宋_GBK"/>
          <w:color w:val="000000"/>
          <w:sz w:val="32"/>
          <w:szCs w:val="32"/>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pStyle w:val="9"/>
        <w:widowControl/>
        <w:shd w:val="clear" w:color="auto" w:fill="FFFFFF"/>
        <w:wordWrap/>
        <w:adjustRightInd/>
        <w:spacing w:before="0" w:beforeAutospacing="0" w:after="0" w:afterAutospacing="0" w:line="594" w:lineRule="exact"/>
        <w:ind w:left="0" w:leftChars="0" w:right="0" w:firstLine="640" w:firstLineChars="200"/>
        <w:jc w:val="left"/>
        <w:textAlignment w:val="auto"/>
        <w:outlineLvl w:val="9"/>
        <w:rPr>
          <w:rFonts w:hint="default" w:ascii="仿宋_GB2312" w:hAnsi="仿宋" w:eastAsia="仿宋_GB2312"/>
          <w:sz w:val="32"/>
          <w:szCs w:val="32"/>
        </w:rPr>
      </w:pPr>
      <w:r>
        <w:rPr>
          <w:rFonts w:ascii="仿宋_GB2312" w:hAnsi="仿宋" w:eastAsia="仿宋_GB2312"/>
          <w:sz w:val="32"/>
          <w:szCs w:val="32"/>
        </w:rPr>
        <w:t>机构情况：202</w:t>
      </w:r>
      <w:r>
        <w:rPr>
          <w:rFonts w:hint="eastAsia" w:ascii="仿宋_GB2312" w:hAnsi="仿宋" w:eastAsia="仿宋_GB2312"/>
          <w:sz w:val="32"/>
          <w:szCs w:val="32"/>
          <w:lang w:val="en-US" w:eastAsia="zh-CN"/>
        </w:rPr>
        <w:t>4</w:t>
      </w:r>
      <w:r>
        <w:rPr>
          <w:rFonts w:ascii="仿宋_GB2312" w:hAnsi="仿宋" w:eastAsia="仿宋_GB2312"/>
          <w:sz w:val="32"/>
          <w:szCs w:val="32"/>
        </w:rPr>
        <w:t>年</w:t>
      </w:r>
      <w:r>
        <w:rPr>
          <w:rFonts w:hint="eastAsia" w:ascii="仿宋_GB2312" w:hAnsi="仿宋" w:eastAsia="仿宋_GB2312"/>
          <w:sz w:val="32"/>
          <w:szCs w:val="32"/>
          <w:lang w:eastAsia="zh-CN"/>
        </w:rPr>
        <w:t>未</w:t>
      </w:r>
      <w:r>
        <w:rPr>
          <w:rFonts w:ascii="仿宋_GB2312" w:hAnsi="仿宋" w:eastAsia="仿宋_GB2312"/>
          <w:sz w:val="32"/>
          <w:szCs w:val="32"/>
        </w:rPr>
        <w:t>进行独立核算。</w:t>
      </w:r>
    </w:p>
    <w:p>
      <w:pPr>
        <w:widowControl/>
        <w:wordWrap/>
        <w:adjustRightInd/>
        <w:snapToGrid w:val="0"/>
        <w:spacing w:beforeAutospacing="0" w:afterAutospacing="0" w:line="594" w:lineRule="exact"/>
        <w:ind w:left="0" w:leftChars="0" w:right="0" w:firstLine="640" w:firstLineChars="200"/>
        <w:jc w:val="left"/>
        <w:textAlignment w:val="auto"/>
        <w:outlineLvl w:val="9"/>
        <w:rPr>
          <w:rFonts w:hint="default" w:ascii="仿宋_GB2312" w:hAnsi="仿宋" w:eastAsia="仿宋_GB2312"/>
          <w:sz w:val="32"/>
          <w:szCs w:val="32"/>
        </w:rPr>
      </w:pPr>
      <w:r>
        <w:rPr>
          <w:rFonts w:ascii="仿宋_GB2312" w:hAnsi="仿宋" w:eastAsia="仿宋_GB2312"/>
          <w:sz w:val="32"/>
          <w:szCs w:val="32"/>
        </w:rPr>
        <w:t>人员情况：本单位现有在职职工9人。</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度收入总计227.61万元，支出总计</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万元。收、支与2023年度相比，增加23.76万元，增长11.66%，主要原因是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度收入合计227.61万元，与2023年度相比，增加23.76万元，增长11.66%，主要原因是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万元，占100.00%；项目支出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度财政拨款收、支总计227.61万元。与202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较年初预算数增加59.89万元，增长35.71%。主要原因是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万元，与2023年度相比，增加23.76万元，增长11.66%。主要原因是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r>
        <w:rPr>
          <w:rFonts w:ascii="方正仿宋_GBK" w:hAnsi="方正仿宋_GBK" w:eastAsia="方正仿宋_GBK" w:cs="方正仿宋_GBK"/>
          <w:sz w:val="32"/>
          <w:szCs w:val="32"/>
          <w:shd w:val="clear" w:color="auto" w:fill="FFFFFF"/>
        </w:rPr>
        <w:t>较年初预算数增加59.89万元，增长35.71%。主要原因是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pPr>
        <w:pStyle w:val="9"/>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sz w:val="32"/>
          <w:szCs w:val="32"/>
          <w:shd w:val="clear" w:color="auto" w:fill="FFFFFF"/>
        </w:rPr>
        <w:t>本年度与上年度均无结转结余</w:t>
      </w:r>
      <w:r>
        <w:rPr>
          <w:rFonts w:ascii="仿宋_GB2312" w:hAnsi="仿宋" w:eastAsia="仿宋_GB2312" w:cs="仿宋"/>
          <w:color w:val="000000"/>
          <w:sz w:val="32"/>
          <w:szCs w:val="32"/>
        </w:rPr>
        <w:t>。</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4.比较情况。</w:t>
      </w:r>
      <w:r>
        <w:rPr>
          <w:rFonts w:hint="eastAsia" w:ascii="方正仿宋_GBK" w:hAnsi="方正仿宋_GBK" w:eastAsia="方正仿宋_GBK" w:cs="方正仿宋_GBK"/>
          <w:sz w:val="32"/>
          <w:szCs w:val="32"/>
          <w:shd w:val="clear" w:color="auto" w:fill="FFFFFF"/>
          <w:lang w:eastAsia="zh-CN"/>
        </w:rPr>
        <w:t>本单位2024年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9"/>
        <w:widowControl/>
        <w:numPr>
          <w:ilvl w:val="0"/>
          <w:numId w:val="1"/>
        </w:numPr>
        <w:wordWrap/>
        <w:adjustRightInd/>
        <w:snapToGrid w:val="0"/>
        <w:spacing w:before="0" w:beforeAutospacing="0" w:after="0" w:afterAutospacing="0" w:line="594" w:lineRule="exact"/>
        <w:ind w:left="0" w:leftChars="0" w:right="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203.17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89.26</w:t>
      </w:r>
      <w:r>
        <w:rPr>
          <w:rFonts w:ascii="方正仿宋_GBK" w:hAnsi="方正仿宋_GBK" w:eastAsia="方正仿宋_GBK" w:cs="方正仿宋_GBK"/>
          <w:sz w:val="32"/>
          <w:szCs w:val="32"/>
          <w:shd w:val="clear" w:color="auto" w:fill="FFFFFF"/>
        </w:rPr>
        <w:t>%，较年初预算数增加50.55万元，增长33.12%，主要原因是</w:t>
      </w:r>
      <w:r>
        <w:rPr>
          <w:rFonts w:hint="eastAsia" w:ascii="方正仿宋_GBK" w:hAnsi="方正仿宋_GBK" w:eastAsia="方正仿宋_GBK" w:cs="方正仿宋_GBK"/>
          <w:sz w:val="32"/>
          <w:szCs w:val="32"/>
          <w:shd w:val="clear" w:color="auto" w:fill="FFFFFF"/>
        </w:rPr>
        <w:t>本年度对事业人员2022-2023年度养老保险、职业年金基础调整差额进行了补缴。</w:t>
      </w:r>
    </w:p>
    <w:p>
      <w:pPr>
        <w:pStyle w:val="9"/>
        <w:widowControl/>
        <w:numPr>
          <w:ilvl w:val="0"/>
          <w:numId w:val="0"/>
        </w:numPr>
        <w:wordWrap/>
        <w:adjustRightInd/>
        <w:snapToGrid w:val="0"/>
        <w:spacing w:before="0" w:beforeAutospacing="0" w:after="0" w:afterAutospacing="0" w:line="594" w:lineRule="exact"/>
        <w:ind w:right="0"/>
        <w:jc w:val="both"/>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7.95</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3.49</w:t>
      </w:r>
      <w:r>
        <w:rPr>
          <w:rFonts w:ascii="方正仿宋_GBK" w:hAnsi="方正仿宋_GBK" w:eastAsia="方正仿宋_GBK" w:cs="方正仿宋_GBK"/>
          <w:sz w:val="32"/>
          <w:szCs w:val="32"/>
          <w:shd w:val="clear" w:color="auto" w:fill="FFFFFF"/>
        </w:rPr>
        <w:t>%，较年初预算数增加1.09万元，增长15.89%，主要</w:t>
      </w:r>
      <w:r>
        <w:rPr>
          <w:rFonts w:hint="eastAsia" w:ascii="方正仿宋_GBK" w:hAnsi="方正仿宋_GBK" w:eastAsia="方正仿宋_GBK" w:cs="方正仿宋_GBK"/>
          <w:sz w:val="32"/>
          <w:szCs w:val="32"/>
          <w:shd w:val="clear" w:color="auto" w:fill="FFFFFF"/>
          <w:lang w:eastAsia="zh-CN"/>
        </w:rPr>
        <w:t>原因是</w:t>
      </w:r>
      <w:r>
        <w:rPr>
          <w:rFonts w:ascii="方正仿宋_GBK" w:hAnsi="方正仿宋_GBK" w:eastAsia="方正仿宋_GBK" w:cs="方正仿宋_GBK"/>
          <w:sz w:val="32"/>
          <w:szCs w:val="32"/>
          <w:shd w:val="clear" w:color="auto" w:fill="FFFFFF"/>
        </w:rPr>
        <w:t>医疗保险支出</w:t>
      </w:r>
      <w:r>
        <w:rPr>
          <w:rFonts w:hint="eastAsia" w:ascii="方正仿宋_GBK" w:hAnsi="方正仿宋_GBK" w:eastAsia="方正仿宋_GBK" w:cs="方正仿宋_GBK"/>
          <w:sz w:val="32"/>
          <w:szCs w:val="32"/>
          <w:shd w:val="clear" w:color="auto" w:fill="FFFFFF"/>
          <w:lang w:eastAsia="zh-CN"/>
        </w:rPr>
        <w:t>增加</w:t>
      </w:r>
      <w:r>
        <w:rPr>
          <w:rFonts w:ascii="方正仿宋_GBK" w:hAnsi="方正仿宋_GBK" w:eastAsia="方正仿宋_GBK" w:cs="方正仿宋_GBK"/>
          <w:sz w:val="32"/>
          <w:szCs w:val="32"/>
          <w:shd w:val="clear" w:color="auto" w:fill="FFFFFF"/>
        </w:rPr>
        <w:t>。</w:t>
      </w:r>
    </w:p>
    <w:p>
      <w:pPr>
        <w:widowControl/>
        <w:wordWrap/>
        <w:adjustRightInd/>
        <w:spacing w:beforeAutospacing="0" w:afterAutospacing="0" w:line="594" w:lineRule="exact"/>
        <w:ind w:left="0" w:leftChars="0" w:right="0" w:firstLine="640" w:firstLineChars="200"/>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住房保障支出16.49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7.25</w:t>
      </w:r>
      <w:r>
        <w:rPr>
          <w:rFonts w:ascii="方正仿宋_GBK" w:hAnsi="方正仿宋_GBK" w:eastAsia="方正仿宋_GBK" w:cs="方正仿宋_GBK"/>
          <w:sz w:val="32"/>
          <w:szCs w:val="32"/>
          <w:shd w:val="clear" w:color="auto" w:fill="FFFFFF"/>
        </w:rPr>
        <w:t>%，较年初预算数增加8.26万元，增长100.36%，主要</w:t>
      </w:r>
      <w:r>
        <w:rPr>
          <w:rFonts w:hint="eastAsia" w:ascii="方正仿宋_GBK" w:hAnsi="方正仿宋_GBK" w:eastAsia="方正仿宋_GBK" w:cs="方正仿宋_GBK"/>
          <w:sz w:val="32"/>
          <w:szCs w:val="32"/>
          <w:shd w:val="clear" w:color="auto" w:fill="FFFFFF"/>
          <w:lang w:eastAsia="zh-CN"/>
        </w:rPr>
        <w:t>原因是住房公积金支出增加。</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227.61</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220.02</w:t>
      </w:r>
      <w:r>
        <w:rPr>
          <w:rFonts w:ascii="方正仿宋_GBK" w:hAnsi="方正仿宋_GBK" w:eastAsia="方正仿宋_GBK" w:cs="方正仿宋_GBK"/>
          <w:sz w:val="32"/>
          <w:szCs w:val="32"/>
          <w:shd w:val="clear" w:color="auto" w:fill="FFFFFF"/>
        </w:rPr>
        <w:t>万元，与2023年度相比，增加27.29万元，增长14.16%，主要原因是</w:t>
      </w:r>
      <w:r>
        <w:rPr>
          <w:rFonts w:hint="eastAsia" w:ascii="方正仿宋_GBK" w:hAnsi="方正仿宋_GBK" w:eastAsia="方正仿宋_GBK" w:cs="方正仿宋_GBK"/>
          <w:sz w:val="32"/>
          <w:szCs w:val="32"/>
          <w:shd w:val="clear" w:color="auto" w:fill="FFFFFF"/>
        </w:rPr>
        <w:t>本年度对事业人员2022-2</w:t>
      </w:r>
      <w:bookmarkStart w:id="0" w:name="_GoBack"/>
      <w:bookmarkEnd w:id="0"/>
      <w:r>
        <w:rPr>
          <w:rFonts w:hint="eastAsia" w:ascii="方正仿宋_GBK" w:hAnsi="方正仿宋_GBK" w:eastAsia="方正仿宋_GBK" w:cs="方正仿宋_GBK"/>
          <w:sz w:val="32"/>
          <w:szCs w:val="32"/>
          <w:shd w:val="clear" w:color="auto" w:fill="FFFFFF"/>
        </w:rPr>
        <w:t>023年度养老保险、职业年金基础调整差额进行了补缴。</w:t>
      </w:r>
      <w:r>
        <w:rPr>
          <w:rFonts w:ascii="方正仿宋_GBK" w:hAnsi="方正仿宋_GBK" w:eastAsia="方正仿宋_GBK" w:cs="方正仿宋_GBK"/>
          <w:sz w:val="32"/>
          <w:szCs w:val="32"/>
          <w:shd w:val="clear" w:color="auto" w:fill="FFFFFF"/>
        </w:rPr>
        <w:t>人员经费用途主要包括基本工资、津贴补贴、基础绩效、超额绩效、社会保障缴费等。公用经费</w:t>
      </w:r>
      <w:r>
        <w:rPr>
          <w:rFonts w:ascii="方正仿宋_GBK" w:hAnsi="方正仿宋_GBK" w:eastAsia="方正仿宋_GBK" w:cs="方正仿宋_GBK"/>
          <w:sz w:val="32"/>
          <w:szCs w:val="32"/>
        </w:rPr>
        <w:t>7.59</w:t>
      </w:r>
      <w:r>
        <w:rPr>
          <w:rFonts w:ascii="方正仿宋_GBK" w:hAnsi="方正仿宋_GBK" w:eastAsia="方正仿宋_GBK" w:cs="方正仿宋_GBK"/>
          <w:sz w:val="32"/>
          <w:szCs w:val="32"/>
          <w:shd w:val="clear" w:color="auto" w:fill="FFFFFF"/>
        </w:rPr>
        <w:t>万元，与2023年度相比，减少3.53万元，下降31.74%，主要原因是</w:t>
      </w:r>
      <w:r>
        <w:rPr>
          <w:rFonts w:hint="eastAsia" w:ascii="方正仿宋_GBK" w:hAnsi="方正仿宋_GBK" w:eastAsia="方正仿宋_GBK" w:cs="方正仿宋_GBK"/>
          <w:sz w:val="32"/>
          <w:szCs w:val="32"/>
          <w:shd w:val="clear" w:color="auto" w:fill="FFFFFF"/>
          <w:lang w:eastAsia="zh-CN"/>
        </w:rPr>
        <w:t>公用经费差旅费等减少</w:t>
      </w:r>
      <w:r>
        <w:rPr>
          <w:rFonts w:ascii="仿宋_GB2312" w:hAnsi="仿宋" w:eastAsia="仿宋_GB2312" w:cs="仿宋"/>
          <w:color w:val="000000"/>
          <w:sz w:val="32"/>
          <w:szCs w:val="32"/>
        </w:rPr>
        <w:t>。</w:t>
      </w:r>
      <w:r>
        <w:rPr>
          <w:rFonts w:ascii="方正仿宋_GBK" w:hAnsi="方正仿宋_GBK" w:eastAsia="方正仿宋_GBK" w:cs="方正仿宋_GBK"/>
          <w:sz w:val="32"/>
          <w:szCs w:val="32"/>
          <w:shd w:val="clear" w:color="auto" w:fill="FFFFFF"/>
        </w:rPr>
        <w:t>公用经费用途主要包括</w:t>
      </w:r>
      <w:r>
        <w:rPr>
          <w:rFonts w:ascii="方正仿宋_GBK" w:eastAsia="方正仿宋_GBK" w:cs="宋体"/>
          <w:sz w:val="32"/>
          <w:szCs w:val="32"/>
          <w:shd w:val="clear" w:color="auto" w:fill="FFFFFF"/>
        </w:rPr>
        <w:t>办公费、印刷费、委托业务费、差旅费等。</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本年度无政府性基金预算财政拨款收入。</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Times New Roman" w:hAnsi="Times New Roman" w:eastAsia="方正仿宋_GBK"/>
          <w:color w:val="000000" w:themeColor="text1"/>
          <w:sz w:val="32"/>
          <w:szCs w:val="32"/>
          <w:shd w:val="clear" w:color="auto" w:fill="FFFFFF"/>
        </w:rPr>
        <w:t>本年度无政府性基金预算财政拨款支出。本单位2024年度无政府性基金预算财政拨款收支。</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widowControl/>
        <w:wordWrap/>
        <w:autoSpaceDE w:val="0"/>
        <w:adjustRightInd/>
        <w:spacing w:beforeAutospacing="0" w:afterAutospacing="0" w:line="594" w:lineRule="exact"/>
        <w:ind w:left="0" w:leftChars="0" w:right="0" w:firstLine="643"/>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Style w:val="13"/>
          <w:rFonts w:hint="eastAsia" w:ascii="方正楷体_GBK" w:hAnsi="方正楷体_GBK" w:eastAsia="方正楷体_GBK" w:cs="方正楷体_GBK"/>
          <w:bCs/>
          <w:sz w:val="32"/>
          <w:szCs w:val="32"/>
          <w:shd w:val="clear" w:color="auto" w:fill="FFFFFF"/>
          <w:lang w:val="en-US" w:eastAsia="zh-CN" w:bidi="ar-SA"/>
        </w:rPr>
        <w:t>（一）“三公”经费支出总体情况说明</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万元，较年初预算数无增减，主要原因是我单位202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年未发生“三公”经费支出。较上年支出数无增减，主要原因是本单位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“三公”经费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万元。费用支出较年初预算数无增减，主要原因是年初预算未安排因公出国（境）费用，也未发生因公出国（境）费用。与2023年度相比，无增减，主要原因是</w:t>
      </w:r>
      <w:r>
        <w:rPr>
          <w:rFonts w:hint="eastAsia" w:ascii="方正仿宋_GBK" w:hAnsi="方正仿宋_GBK" w:eastAsia="方正仿宋_GBK" w:cs="方正仿宋_GBK"/>
          <w:sz w:val="32"/>
          <w:szCs w:val="32"/>
          <w:shd w:val="clear" w:color="auto" w:fill="FFFFFF"/>
          <w:lang w:val="en-US" w:eastAsia="zh-CN" w:bidi="ar-SA"/>
        </w:rPr>
        <w:t>本单位本年度与</w:t>
      </w:r>
      <w:r>
        <w:rPr>
          <w:rFonts w:hint="eastAsia" w:ascii="方正仿宋_GBK" w:hAnsi="方正仿宋_GBK" w:eastAsia="方正仿宋_GBK" w:cs="方正仿宋_GBK"/>
          <w:sz w:val="32"/>
          <w:szCs w:val="32"/>
          <w:shd w:val="clear" w:color="auto" w:fill="FFFFFF"/>
          <w:lang w:eastAsia="zh-CN"/>
        </w:rPr>
        <w:t>上年度均无</w:t>
      </w:r>
      <w:r>
        <w:rPr>
          <w:rFonts w:ascii="方正仿宋_GBK" w:hAnsi="方正仿宋_GBK" w:eastAsia="方正仿宋_GBK" w:cs="方正仿宋_GBK"/>
          <w:sz w:val="32"/>
          <w:szCs w:val="32"/>
          <w:shd w:val="clear" w:color="auto" w:fill="FFFFFF"/>
        </w:rPr>
        <w:t>因公出国（境）</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万元。费用支出较年初预算数无增减，主要原因是年初预算未安排且本年未发生公务车购置费用。与2023年度相比，无增减，主要原因是本单位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公务车购置</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费用支出较年初预算数无增减，主要原因是年初预算数未安排且本年未发生公务车运行维护费用。与2023年度相比，无增减，主要原因是本单位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公务车运行维护</w:t>
      </w:r>
      <w:r>
        <w:rPr>
          <w:rFonts w:hint="eastAsia" w:ascii="方正仿宋_GBK" w:hAnsi="方正仿宋_GBK" w:eastAsia="方正仿宋_GBK" w:cs="方正仿宋_GBK"/>
          <w:sz w:val="32"/>
          <w:szCs w:val="32"/>
          <w:shd w:val="clear" w:color="auto" w:fill="FFFFFF"/>
          <w:lang w:eastAsia="zh-CN"/>
        </w:rPr>
        <w:t>费支出</w:t>
      </w:r>
      <w:r>
        <w:rPr>
          <w:rFonts w:ascii="方正仿宋_GBK" w:hAnsi="方正仿宋_GBK" w:eastAsia="方正仿宋_GBK" w:cs="方正仿宋_GBK"/>
          <w:sz w:val="32"/>
          <w:szCs w:val="32"/>
          <w:shd w:val="clear" w:color="auto" w:fill="FFFFFF"/>
        </w:rPr>
        <w:t>。</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ascii="仿宋_GB2312" w:hAnsi="仿宋" w:eastAsia="仿宋_GB2312" w:cs="仿宋"/>
          <w:color w:val="000000"/>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w:t>
      </w:r>
      <w:r>
        <w:rPr>
          <w:rFonts w:ascii="方正仿宋_GBK" w:eastAsia="方正仿宋_GBK"/>
          <w:sz w:val="32"/>
          <w:szCs w:val="32"/>
        </w:rPr>
        <w:t>主要原因是年初预算数未安排且本年未发生公务接待费用</w:t>
      </w:r>
      <w:r>
        <w:rPr>
          <w:rFonts w:ascii="方正仿宋_GBK" w:hAnsi="方正仿宋_GBK" w:eastAsia="方正仿宋_GBK" w:cs="方正仿宋_GBK"/>
          <w:sz w:val="32"/>
          <w:szCs w:val="32"/>
          <w:shd w:val="clear" w:color="auto" w:fill="FFFFFF"/>
        </w:rPr>
        <w:t>。较上年支出数无增减，主要原因是本单位</w:t>
      </w:r>
      <w:r>
        <w:rPr>
          <w:rFonts w:hint="eastAsia" w:ascii="方正仿宋_GBK" w:hAnsi="方正仿宋_GBK" w:eastAsia="方正仿宋_GBK" w:cs="方正仿宋_GBK"/>
          <w:sz w:val="32"/>
          <w:szCs w:val="32"/>
          <w:shd w:val="clear" w:color="auto" w:fill="FFFFFF"/>
          <w:lang w:eastAsia="zh-CN"/>
        </w:rPr>
        <w:t>本年度与上年度均无</w:t>
      </w:r>
      <w:r>
        <w:rPr>
          <w:rFonts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lang w:eastAsia="zh-CN"/>
        </w:rPr>
        <w:t>支出</w:t>
      </w:r>
      <w:r>
        <w:rPr>
          <w:rFonts w:ascii="方正仿宋_GBK" w:hAnsi="方正仿宋_GBK" w:eastAsia="方正仿宋_GBK" w:cs="方正仿宋_GBK"/>
          <w:sz w:val="32"/>
          <w:szCs w:val="32"/>
          <w:shd w:val="clear" w:color="auto" w:fill="FFFFFF"/>
        </w:rPr>
        <w:t>。</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2024年本单位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w:t>
      </w:r>
    </w:p>
    <w:p>
      <w:pPr>
        <w:pStyle w:val="9"/>
        <w:widowControl/>
        <w:shd w:val="clear" w:color="auto" w:fill="FFFFFF"/>
        <w:wordWrap/>
        <w:adjustRightInd/>
        <w:snapToGrid/>
        <w:spacing w:before="0" w:beforeAutospacing="0" w:after="0" w:afterAutospacing="0" w:line="594" w:lineRule="exact"/>
        <w:ind w:left="0" w:leftChars="0" w:right="0" w:firstLine="640"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14"/>
        <w:widowControl/>
        <w:wordWrap/>
        <w:autoSpaceDE w:val="0"/>
        <w:adjustRightInd/>
        <w:spacing w:beforeAutospacing="0" w:afterAutospacing="0" w:line="594" w:lineRule="exact"/>
        <w:ind w:left="0" w:leftChars="0" w:right="0" w:firstLine="643"/>
        <w:textAlignment w:val="auto"/>
        <w:outlineLvl w:val="9"/>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w:t>
      </w:r>
      <w:r>
        <w:rPr>
          <w:rStyle w:val="13"/>
          <w:rFonts w:hint="eastAsia" w:ascii="方正楷体_GBK" w:hAnsi="方正楷体_GBK" w:eastAsia="方正楷体_GBK" w:cs="方正楷体_GBK"/>
          <w:bCs/>
          <w:sz w:val="32"/>
          <w:szCs w:val="32"/>
          <w:shd w:val="clear" w:color="auto" w:fill="FFFFFF"/>
          <w:lang w:val="en-US" w:eastAsia="zh-CN" w:bidi="ar-SA"/>
        </w:rPr>
        <w:t>（一）财政拨款会议费和培训费情况说明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本单位本年度与上年度均无会议费支出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万元，与2023年度相比，无变化，主要原因是</w:t>
      </w:r>
      <w:r>
        <w:rPr>
          <w:rFonts w:hint="eastAsia" w:ascii="方正仿宋_GBK" w:hAnsi="方正仿宋_GBK" w:eastAsia="方正仿宋_GBK" w:cs="方正仿宋_GBK"/>
          <w:sz w:val="32"/>
          <w:szCs w:val="32"/>
          <w:shd w:val="clear" w:color="auto" w:fill="FFFFFF"/>
          <w:lang w:eastAsia="zh-CN"/>
        </w:rPr>
        <w:t>本单位本年度与上年度均无培训费支出</w:t>
      </w:r>
      <w:r>
        <w:rPr>
          <w:rFonts w:ascii="方正仿宋_GBK" w:hAnsi="方正仿宋_GBK" w:eastAsia="方正仿宋_GBK" w:cs="方正仿宋_GBK"/>
          <w:sz w:val="32"/>
          <w:szCs w:val="32"/>
          <w:shd w:val="clear" w:color="auto" w:fill="FFFFFF"/>
        </w:rPr>
        <w:t>。</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机关运行经费支出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机关运行经费较上年支出数无增减，</w:t>
      </w:r>
      <w:r>
        <w:rPr>
          <w:rFonts w:ascii="方正仿宋_GBK" w:eastAsia="方正仿宋_GBK"/>
          <w:bCs/>
          <w:sz w:val="32"/>
          <w:szCs w:val="32"/>
        </w:rPr>
        <w:t>主要原因是按照部门决算列报口径，我单位不在机关运行经费统计范围之内。</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共有车辆</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w:t>
      </w:r>
      <w:r>
        <w:rPr>
          <w:rFonts w:hint="eastAsia" w:ascii="方正仿宋_GBK" w:hAnsi="方正仿宋_GBK" w:eastAsia="方正仿宋_GBK" w:cs="方正仿宋_GBK"/>
          <w:sz w:val="32"/>
          <w:szCs w:val="32"/>
          <w:shd w:val="clear" w:color="auto" w:fill="FFFFFF"/>
          <w:lang w:eastAsia="zh-CN"/>
        </w:rPr>
        <w:t>本单位</w:t>
      </w:r>
      <w:r>
        <w:rPr>
          <w:rFonts w:ascii="方正仿宋_GBK" w:hAnsi="方正仿宋_GBK" w:eastAsia="方正仿宋_GBK" w:cs="方正仿宋_GBK"/>
          <w:sz w:val="32"/>
          <w:szCs w:val="32"/>
          <w:shd w:val="clear" w:color="auto" w:fill="FFFFFF"/>
        </w:rPr>
        <w:t>政府采购支出总额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0.00万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 xml:space="preserve"> %。202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年度我单位未发生政府采购事项，无相关经费支出。</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黑体_GBK" w:hAnsi="方正黑体_GBK" w:eastAsia="方正黑体_GBK" w:cs="方正黑体_GBK"/>
          <w:b w:val="0"/>
          <w:bCs/>
          <w:sz w:val="32"/>
          <w:szCs w:val="32"/>
          <w:shd w:val="clear" w:color="auto" w:fill="FFFFFF"/>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自评情况</w:t>
      </w:r>
    </w:p>
    <w:p>
      <w:pPr>
        <w:pStyle w:val="16"/>
        <w:autoSpaceDE w:val="0"/>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我单位无项目绩效自评。</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w:t>
      </w:r>
      <w:r>
        <w:rPr>
          <w:rStyle w:val="13"/>
          <w:rFonts w:hint="eastAsia" w:ascii="方正楷体_GBK" w:hAnsi="方正楷体_GBK" w:eastAsia="方正楷体_GBK" w:cs="方正楷体_GBK"/>
          <w:b w:val="0"/>
          <w:bCs/>
          <w:sz w:val="32"/>
          <w:szCs w:val="32"/>
          <w:shd w:val="clear" w:color="auto" w:fill="FFFFFF"/>
          <w:lang w:eastAsia="zh-CN"/>
        </w:rPr>
        <w:t>单位</w:t>
      </w:r>
      <w:r>
        <w:rPr>
          <w:rStyle w:val="13"/>
          <w:rFonts w:hint="eastAsia" w:ascii="方正楷体_GBK" w:hAnsi="方正楷体_GBK" w:eastAsia="方正楷体_GBK" w:cs="方正楷体_GBK"/>
          <w:b w:val="0"/>
          <w:bCs/>
          <w:sz w:val="32"/>
          <w:szCs w:val="32"/>
          <w:shd w:val="clear" w:color="auto" w:fill="FFFFFF"/>
        </w:rPr>
        <w:t>绩效评价情况</w:t>
      </w:r>
    </w:p>
    <w:p>
      <w:pPr>
        <w:pStyle w:val="14"/>
        <w:widowControl/>
        <w:wordWrap/>
        <w:autoSpaceDE w:val="0"/>
        <w:adjustRightInd/>
        <w:spacing w:beforeAutospacing="0" w:afterAutospacing="0" w:line="594" w:lineRule="exact"/>
        <w:ind w:left="0" w:leftChars="0" w:right="0" w:firstLine="643"/>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pPr>
        <w:pStyle w:val="9"/>
        <w:widowControl/>
        <w:shd w:val="clear" w:color="auto" w:fill="FFFFFF"/>
        <w:wordWrap/>
        <w:adjustRightInd/>
        <w:spacing w:before="0" w:beforeAutospacing="0" w:after="0" w:afterAutospacing="0" w:line="594" w:lineRule="exact"/>
        <w:ind w:left="0" w:leftChars="0" w:right="0" w:firstLine="420"/>
        <w:textAlignment w:val="auto"/>
        <w:outlineLvl w:val="9"/>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（三）财政绩效评价情况</w:t>
      </w:r>
    </w:p>
    <w:p>
      <w:pPr>
        <w:pStyle w:val="16"/>
        <w:autoSpaceDE w:val="0"/>
        <w:ind w:firstLine="640"/>
        <w:rPr>
          <w:rStyle w:val="13"/>
          <w:rFonts w:hint="eastAsia" w:ascii="方正黑体_GBK" w:hAnsi="方正黑体_GBK" w:eastAsia="方正黑体_GBK" w:cs="方正黑体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县财政局未委托第三方对我单位开展绩效评价。</w:t>
      </w:r>
    </w:p>
    <w:p>
      <w:pPr>
        <w:pStyle w:val="9"/>
        <w:widowControl/>
        <w:shd w:val="clear" w:color="auto" w:fill="FFFFFF"/>
        <w:wordWrap/>
        <w:adjustRightInd/>
        <w:snapToGrid/>
        <w:spacing w:before="0" w:beforeAutospacing="0" w:after="0" w:afterAutospacing="0" w:line="594" w:lineRule="exact"/>
        <w:ind w:left="0" w:leftChars="0" w:right="0" w:firstLine="643" w:firstLineChars="20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hint="eastAsia" w:ascii="方正黑体_GBK" w:hAnsi="方正黑体_GBK" w:eastAsia="方正黑体_GBK" w:cs="方正黑体_GBK"/>
          <w:b w:val="0"/>
          <w:bCs/>
          <w:sz w:val="32"/>
          <w:szCs w:val="32"/>
          <w:shd w:val="clear" w:color="auto" w:fill="FFFFFF"/>
        </w:rPr>
        <w:t>六、专业名词解释</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（十二）“三公”经费：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方正仿宋_GBK" w:hAnsi="方正仿宋_GBK" w:eastAsia="方正仿宋_GBK" w:cs="方正仿宋_GBK"/>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9"/>
        <w:widowControl/>
        <w:wordWrap/>
        <w:adjustRightInd/>
        <w:snapToGrid w:val="0"/>
        <w:spacing w:before="0" w:beforeAutospacing="0" w:after="0" w:afterAutospacing="0" w:line="594" w:lineRule="exact"/>
        <w:ind w:left="0" w:leftChars="0" w:right="0" w:firstLine="643" w:firstLineChars="200"/>
        <w:jc w:val="both"/>
        <w:textAlignment w:val="auto"/>
        <w:outlineLvl w:val="9"/>
        <w:rPr>
          <w:rFonts w:hint="default" w:ascii="方正仿宋_GBK" w:hAnsi="方正仿宋_GBK" w:eastAsia="方正仿宋_GBK" w:cs="方正仿宋_GBK"/>
          <w:sz w:val="32"/>
          <w:szCs w:val="32"/>
        </w:rPr>
      </w:pPr>
      <w:r>
        <w:rPr>
          <w:rStyle w:val="13"/>
          <w:rFonts w:ascii="楷体" w:hAnsi="楷体" w:eastAsia="楷体" w:cs="楷体"/>
          <w:sz w:val="32"/>
          <w:szCs w:val="32"/>
          <w:shd w:val="clear" w:color="auto" w:fill="FFFFFF"/>
        </w:rPr>
        <w:t> </w:t>
      </w: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9"/>
        <w:widowControl/>
        <w:wordWrap/>
        <w:adjustRightInd/>
        <w:snapToGrid w:val="0"/>
        <w:spacing w:before="0" w:beforeAutospacing="0" w:after="0" w:afterAutospacing="0" w:line="594" w:lineRule="exact"/>
        <w:ind w:left="0" w:leftChars="0" w:right="0" w:firstLine="640" w:firstLineChars="200"/>
        <w:jc w:val="both"/>
        <w:textAlignment w:val="auto"/>
        <w:outlineLvl w:val="9"/>
        <w:rPr>
          <w:rFonts w:hint="default"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 （十七）其他资本性支出（支出经济分类科目类级）：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9"/>
        <w:widowControl/>
        <w:shd w:val="clear" w:color="auto" w:fill="FFFFFF"/>
        <w:wordWrap/>
        <w:adjustRightInd/>
        <w:spacing w:before="0" w:beforeAutospacing="0" w:after="0" w:afterAutospacing="0" w:line="594" w:lineRule="exact"/>
        <w:ind w:left="0" w:leftChars="0" w:right="0"/>
        <w:textAlignment w:val="auto"/>
        <w:outlineLvl w:val="9"/>
        <w:rPr>
          <w:rStyle w:val="13"/>
          <w:rFonts w:hint="default"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14"/>
        <w:widowControl/>
        <w:wordWrap/>
        <w:autoSpaceDE w:val="0"/>
        <w:adjustRightInd/>
        <w:spacing w:beforeAutospacing="0" w:afterAutospacing="0" w:line="594" w:lineRule="exact"/>
        <w:ind w:left="0" w:leftChars="0" w:right="0" w:firstLine="640" w:firstLineChars="0"/>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本单位决算公开信息反馈和联系方式：023-74552700。</w:t>
      </w:r>
    </w:p>
    <w:p>
      <w:pPr>
        <w:pStyle w:val="14"/>
        <w:widowControl/>
        <w:wordWrap/>
        <w:autoSpaceDE w:val="0"/>
        <w:adjustRightInd/>
        <w:spacing w:beforeAutospacing="0" w:afterAutospacing="0" w:line="594" w:lineRule="exact"/>
        <w:ind w:left="0" w:leftChars="0" w:right="0" w:firstLine="640" w:firstLineChars="0"/>
        <w:textAlignment w:val="auto"/>
        <w:outlineLvl w:val="9"/>
        <w:rPr>
          <w:rFonts w:hint="eastAsia" w:ascii="方正仿宋_GBK" w:hAnsi="方正仿宋_GBK" w:eastAsia="方正仿宋_GBK" w:cs="方正仿宋_GBK"/>
          <w:sz w:val="32"/>
          <w:szCs w:val="32"/>
          <w:shd w:val="clear" w:color="auto" w:fill="FFFFFF"/>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15" w:lineRule="atLeast"/>
        <w:ind w:leftChars="0" w:right="0" w:rightChars="0" w:firstLine="643" w:firstLineChars="200"/>
        <w:jc w:val="left"/>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垫江县高安镇劳动就业和社会保障服务所</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203.17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227.61</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垫江县高安镇劳动就业和社会保障服务所</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垫江县高安镇劳动就业和社会保障服务所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203.17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227.61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227.61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203.17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157.26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157.26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217.82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16.49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220.02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7.59</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垫江县高安镇劳动就业和社会保障服务所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垫江县高安镇劳动就业和社会保障服务所</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楷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文本框 2" o:spid="_x0000_s4097"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ascii="宋体" w:hAnsi="宋体" w:eastAsia="宋体" w:cs="Times New Roman"/>
        <w:sz w:val="18"/>
        <w:szCs w:val="18"/>
        <w:lang w:val="en-US" w:eastAsia="zh-CN" w:bidi="ar-SA"/>
      </w:rPr>
      <w:pict>
        <v:rect id="文本框 127"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33 -</w:t>
                </w:r>
                <w:r>
                  <w:fldChar w:fldCharType="end"/>
                </w:r>
                <w:r>
                  <w:t xml:space="preserve"> </w:t>
                </w:r>
              </w:p>
            </w:txbxContent>
          </v:textbox>
        </v:rect>
      </w:pict>
    </w:r>
    <w:r>
      <w:rPr>
        <w:rFonts w:hint="default" w:ascii="宋体" w:hAnsi="宋体" w:eastAsia="宋体" w:cs="Times New Roman"/>
        <w:sz w:val="18"/>
        <w:szCs w:val="18"/>
        <w:lang w:val="en-US" w:eastAsia="zh-CN" w:bidi="ar-SA"/>
      </w:rPr>
      <w:pict>
        <v:rect id="文本框 126" o:spid="_x0000_s4099"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6"/>
                  <w:jc w:val="both"/>
                  <w:rPr>
                    <w:rFonts w:hint="default" w:cs="宋体"/>
                  </w:rPr>
                </w:pPr>
                <w:r>
                  <w:rPr>
                    <w:rFonts w:cs="宋体"/>
                  </w:rPr>
                  <w:t>— 27.1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9C4D9A"/>
    <w:multiLevelType w:val="singleLevel"/>
    <w:tmpl w:val="689C4D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20"/>
  <w:drawingGridVerticalSpacing w:val="165"/>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M2IwOTdhODNkZWZiMWQzYjRhMWRiMDM2MTBlZTVlZDUifQ=="/>
  </w:docVars>
  <w:rsids>
    <w:rsidRoot w:val="00B03CCD"/>
    <w:rsid w:val="000C01CC"/>
    <w:rsid w:val="000D7702"/>
    <w:rsid w:val="00261065"/>
    <w:rsid w:val="002D0E5A"/>
    <w:rsid w:val="002E5443"/>
    <w:rsid w:val="0032196C"/>
    <w:rsid w:val="004C12FF"/>
    <w:rsid w:val="00550ABE"/>
    <w:rsid w:val="005B023C"/>
    <w:rsid w:val="0060032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F5A85"/>
    <w:rsid w:val="00C307F6"/>
    <w:rsid w:val="00C96B11"/>
    <w:rsid w:val="00CC6B99"/>
    <w:rsid w:val="00DF7706"/>
    <w:rsid w:val="00E05175"/>
    <w:rsid w:val="00E654E2"/>
    <w:rsid w:val="00E76362"/>
    <w:rsid w:val="00F137D3"/>
    <w:rsid w:val="00F13C36"/>
    <w:rsid w:val="00F23C68"/>
    <w:rsid w:val="00F32C53"/>
    <w:rsid w:val="00F73F90"/>
    <w:rsid w:val="00F7623D"/>
    <w:rsid w:val="00F8598B"/>
    <w:rsid w:val="00FA0819"/>
    <w:rsid w:val="01474EBF"/>
    <w:rsid w:val="01F3521E"/>
    <w:rsid w:val="03B87EA0"/>
    <w:rsid w:val="03E3214F"/>
    <w:rsid w:val="044C50BA"/>
    <w:rsid w:val="05182E9C"/>
    <w:rsid w:val="05BC6D49"/>
    <w:rsid w:val="05E2049C"/>
    <w:rsid w:val="06194FF1"/>
    <w:rsid w:val="06A2550B"/>
    <w:rsid w:val="06BC056E"/>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8D42EE1"/>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6461F"/>
    <w:rsid w:val="1ECF0A66"/>
    <w:rsid w:val="1EF67CA4"/>
    <w:rsid w:val="1F020D3A"/>
    <w:rsid w:val="1F2C5189"/>
    <w:rsid w:val="1F3E0940"/>
    <w:rsid w:val="1F4B0B02"/>
    <w:rsid w:val="1FBB35CD"/>
    <w:rsid w:val="1FCD26AF"/>
    <w:rsid w:val="1FE8511A"/>
    <w:rsid w:val="20642787"/>
    <w:rsid w:val="21556F04"/>
    <w:rsid w:val="21EF5E73"/>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BDC4161"/>
    <w:rsid w:val="2C6762A3"/>
    <w:rsid w:val="2CD85C2B"/>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937598"/>
    <w:rsid w:val="360F1350"/>
    <w:rsid w:val="36BD3FF4"/>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6B4AC6"/>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0502DF"/>
    <w:rsid w:val="4B135857"/>
    <w:rsid w:val="4B7951CB"/>
    <w:rsid w:val="4B7C315C"/>
    <w:rsid w:val="4DAC4ACA"/>
    <w:rsid w:val="4DBE01D2"/>
    <w:rsid w:val="4EFC6D10"/>
    <w:rsid w:val="4F0C6BA3"/>
    <w:rsid w:val="4F10477D"/>
    <w:rsid w:val="4F186D58"/>
    <w:rsid w:val="4FEA65B7"/>
    <w:rsid w:val="4FF4660A"/>
    <w:rsid w:val="50F06B6E"/>
    <w:rsid w:val="511C4FE5"/>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31ADD"/>
    <w:rsid w:val="558E4E05"/>
    <w:rsid w:val="55BE2E85"/>
    <w:rsid w:val="56530F5D"/>
    <w:rsid w:val="567700D3"/>
    <w:rsid w:val="56FF7E9E"/>
    <w:rsid w:val="578867FC"/>
    <w:rsid w:val="5842572D"/>
    <w:rsid w:val="5A3B59D6"/>
    <w:rsid w:val="5AD134D8"/>
    <w:rsid w:val="5B6503B1"/>
    <w:rsid w:val="5C263CE4"/>
    <w:rsid w:val="5C5D2777"/>
    <w:rsid w:val="5CF66BF3"/>
    <w:rsid w:val="5D290C69"/>
    <w:rsid w:val="5E0B6366"/>
    <w:rsid w:val="5F2D4A41"/>
    <w:rsid w:val="60C74F6C"/>
    <w:rsid w:val="61025A59"/>
    <w:rsid w:val="613D5BBC"/>
    <w:rsid w:val="61536C39"/>
    <w:rsid w:val="62944DD7"/>
    <w:rsid w:val="6319381F"/>
    <w:rsid w:val="63236436"/>
    <w:rsid w:val="6366447C"/>
    <w:rsid w:val="63C25DC5"/>
    <w:rsid w:val="63C62057"/>
    <w:rsid w:val="64571EF5"/>
    <w:rsid w:val="64FB113D"/>
    <w:rsid w:val="656152C6"/>
    <w:rsid w:val="6587477F"/>
    <w:rsid w:val="658C3A08"/>
    <w:rsid w:val="65C031CA"/>
    <w:rsid w:val="65CE6852"/>
    <w:rsid w:val="66267C04"/>
    <w:rsid w:val="663F505A"/>
    <w:rsid w:val="66967186"/>
    <w:rsid w:val="66B23BBC"/>
    <w:rsid w:val="66EE5541"/>
    <w:rsid w:val="67924660"/>
    <w:rsid w:val="68407834"/>
    <w:rsid w:val="6883293E"/>
    <w:rsid w:val="688412AD"/>
    <w:rsid w:val="68EB1B71"/>
    <w:rsid w:val="69475C96"/>
    <w:rsid w:val="6AAD2300"/>
    <w:rsid w:val="6B474EF5"/>
    <w:rsid w:val="6BBF53FD"/>
    <w:rsid w:val="6C560CAE"/>
    <w:rsid w:val="6C576495"/>
    <w:rsid w:val="6D903FF5"/>
    <w:rsid w:val="6DA955B8"/>
    <w:rsid w:val="6DD15DDF"/>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8D75C2F"/>
    <w:rsid w:val="796D60A4"/>
    <w:rsid w:val="79A031D5"/>
    <w:rsid w:val="7A1525F7"/>
    <w:rsid w:val="7B3075B0"/>
    <w:rsid w:val="7B420052"/>
    <w:rsid w:val="7B861484"/>
    <w:rsid w:val="7BD06A28"/>
    <w:rsid w:val="7C3A7C0B"/>
    <w:rsid w:val="7C5248E4"/>
    <w:rsid w:val="7C566698"/>
    <w:rsid w:val="7C5866A3"/>
    <w:rsid w:val="7CCB49E5"/>
    <w:rsid w:val="7D7406BB"/>
    <w:rsid w:val="7DAA39C1"/>
    <w:rsid w:val="7DE94331"/>
    <w:rsid w:val="7F446A19"/>
    <w:rsid w:val="7F7452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2"/>
    <w:next w:val="1"/>
    <w:unhideWhenUsed/>
    <w:qFormat/>
    <w:uiPriority w:val="0"/>
    <w:pPr>
      <w:keepNext/>
      <w:keepLines/>
      <w:spacing w:line="372" w:lineRule="auto"/>
      <w:outlineLvl w:val="3"/>
    </w:pPr>
    <w:rPr>
      <w:rFonts w:ascii="Arial" w:hAnsi="Arial" w:eastAsia="黑体"/>
      <w:sz w:val="2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Normal Indent"/>
    <w:basedOn w:val="1"/>
    <w:uiPriority w:val="0"/>
    <w:pPr>
      <w:ind w:firstLine="567"/>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21"/>
    <w:qFormat/>
    <w:uiPriority w:val="0"/>
    <w:rPr>
      <w:rFonts w:hint="default" w:ascii="Wingdings" w:hAnsi="Wingdings" w:cs="Wingdings"/>
      <w:b/>
      <w:bCs/>
    </w:rPr>
  </w:style>
  <w:style w:type="character" w:customStyle="1" w:styleId="18">
    <w:name w:val="批注框文本 Char"/>
    <w:basedOn w:val="12"/>
    <w:link w:val="5"/>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8275</Words>
  <Characters>10369</Characters>
  <Lines>194</Lines>
  <Paragraphs>54</Paragraphs>
  <TotalTime>0</TotalTime>
  <ScaleCrop>false</ScaleCrop>
  <LinksUpToDate>false</LinksUpToDate>
  <CharactersWithSpaces>11380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扬尘</cp:lastModifiedBy>
  <dcterms:modified xsi:type="dcterms:W3CDTF">2025-12-17T08:03:50Z</dcterms:modified>
  <dc:title>垫江县高安镇劳动就业和社会保障服务所2024年度决算公开说明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0DF320FD913E4E1BA94D8E751F1D601F_13</vt:lpwstr>
  </property>
  <property fmtid="{D5CDD505-2E9C-101B-9397-08002B2CF9AE}" pid="4" name="KSOTemplateDocerSaveRecord">
    <vt:lpwstr>eyJoZGlkIjoiNjM0Zjk5YTc4NjQ1NmYyOGViZjRkNWIzZWJhYTE3YWEiLCJ1c2VySWQiOiIzODk0NTM2OTAifQ==</vt:lpwstr>
  </property>
</Properties>
</file>