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垫江县高安镇城镇管理服务中心</w:t>
      </w:r>
    </w:p>
    <w:p>
      <w:pPr>
        <w:pStyle w:val="9"/>
        <w:spacing w:before="0" w:beforeAutospacing="0"/>
        <w:jc w:val="center"/>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cs="Times New Roman"/>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pPr>
        <w:pStyle w:val="9"/>
        <w:widowControl/>
        <w:shd w:val="clear" w:color="auto" w:fill="FFFFFF"/>
        <w:wordWrap/>
        <w:adjustRightInd/>
        <w:snapToGrid/>
        <w:spacing w:before="0" w:beforeAutospacing="0" w:after="0" w:afterAutospacing="0" w:line="594" w:lineRule="exact"/>
        <w:ind w:left="0" w:leftChars="0" w:right="0" w:firstLine="640" w:firstLineChars="200"/>
        <w:textAlignment w:val="auto"/>
        <w:outlineLvl w:val="9"/>
        <w:rPr>
          <w:rFonts w:hint="eastAsia" w:ascii="方正黑体_GBK" w:hAnsi="方正黑体_GBK" w:eastAsia="方正黑体_GBK" w:cs="方正黑体_GBK"/>
          <w:b w:val="0"/>
          <w:bCs/>
          <w:sz w:val="32"/>
          <w:szCs w:val="32"/>
        </w:rPr>
      </w:pPr>
      <w:r>
        <w:rPr>
          <w:rStyle w:val="13"/>
          <w:rFonts w:hint="eastAsia" w:ascii="方正黑体_GBK" w:hAnsi="方正黑体_GBK" w:eastAsia="方正黑体_GBK" w:cs="方正黑体_GBK"/>
          <w:b w:val="0"/>
          <w:bCs/>
          <w:sz w:val="32"/>
          <w:szCs w:val="32"/>
          <w:shd w:val="clear" w:color="auto" w:fill="FFFFFF"/>
        </w:rPr>
        <w:t>一、</w:t>
      </w:r>
      <w:r>
        <w:rPr>
          <w:rStyle w:val="13"/>
          <w:rFonts w:hint="eastAsia" w:ascii="方正黑体_GBK" w:hAnsi="方正黑体_GBK" w:eastAsia="方正黑体_GBK" w:cs="方正黑体_GBK"/>
          <w:b w:val="0"/>
          <w:bCs/>
          <w:sz w:val="32"/>
          <w:szCs w:val="32"/>
          <w:shd w:val="clear" w:color="auto" w:fill="FFFFFF"/>
          <w:lang w:eastAsia="zh-CN"/>
        </w:rPr>
        <w:t>单位</w:t>
      </w:r>
      <w:r>
        <w:rPr>
          <w:rStyle w:val="13"/>
          <w:rFonts w:hint="eastAsia" w:ascii="方正黑体_GBK" w:hAnsi="方正黑体_GBK" w:eastAsia="方正黑体_GBK" w:cs="方正黑体_GBK"/>
          <w:b w:val="0"/>
          <w:bCs/>
          <w:sz w:val="32"/>
          <w:szCs w:val="32"/>
          <w:shd w:val="clear" w:color="auto" w:fill="FFFFFF"/>
        </w:rPr>
        <w:t>基本情况</w:t>
      </w:r>
    </w:p>
    <w:p>
      <w:pPr>
        <w:pStyle w:val="9"/>
        <w:widowControl/>
        <w:shd w:val="clear" w:color="auto" w:fill="FFFFFF"/>
        <w:wordWrap/>
        <w:adjustRightInd/>
        <w:spacing w:before="0" w:beforeAutospacing="0" w:after="0" w:afterAutospacing="0" w:line="594" w:lineRule="exact"/>
        <w:ind w:left="0" w:leftChars="0" w:right="0" w:firstLine="420"/>
        <w:textAlignment w:val="auto"/>
        <w:outlineLvl w:val="9"/>
        <w:rPr>
          <w:rFonts w:hint="eastAsia" w:ascii="方正楷体_GBK" w:hAnsi="方正楷体_GBK" w:eastAsia="方正楷体_GBK" w:cs="方正楷体_GBK"/>
          <w:b w:val="0"/>
          <w:bCs/>
          <w:sz w:val="32"/>
          <w:szCs w:val="32"/>
        </w:rPr>
      </w:pPr>
      <w:r>
        <w:rPr>
          <w:rStyle w:val="13"/>
          <w:rFonts w:hint="eastAsia" w:ascii="方正楷体_GBK" w:hAnsi="方正楷体_GBK" w:eastAsia="方正楷体_GBK" w:cs="方正楷体_GBK"/>
          <w:b w:val="0"/>
          <w:bCs/>
          <w:sz w:val="32"/>
          <w:szCs w:val="32"/>
          <w:shd w:val="clear" w:color="auto" w:fill="FFFFFF"/>
        </w:rPr>
        <w:t>（一）职能职责</w:t>
      </w:r>
    </w:p>
    <w:p>
      <w:pPr>
        <w:pStyle w:val="4"/>
        <w:widowControl w:val="0"/>
        <w:numPr>
          <w:ilvl w:val="0"/>
          <w:numId w:val="0"/>
        </w:numPr>
        <w:wordWrap/>
        <w:adjustRightInd/>
        <w:snapToGrid/>
        <w:spacing w:line="594" w:lineRule="exact"/>
        <w:ind w:firstLine="640" w:firstLineChars="200"/>
        <w:textAlignment w:val="auto"/>
        <w:rPr>
          <w:rFonts w:ascii="Times New Roman" w:hAnsi="Times New Roman" w:eastAsia="方正仿宋_GBK" w:cs="Times New Roman"/>
          <w:kern w:val="2"/>
          <w:sz w:val="32"/>
          <w:szCs w:val="32"/>
          <w:lang w:val="en-US" w:eastAsia="zh-CN" w:bidi="ar-SA"/>
        </w:rPr>
      </w:pPr>
      <w:r>
        <w:rPr>
          <w:rFonts w:ascii="Times New Roman" w:hAnsi="Times New Roman" w:eastAsia="方正仿宋_GBK" w:cs="Times New Roman"/>
          <w:kern w:val="2"/>
          <w:sz w:val="32"/>
          <w:szCs w:val="24"/>
          <w:lang w:val="en-US" w:eastAsia="zh-CN" w:bidi="ar-SA"/>
        </w:rPr>
        <w:t>负责镇规划区内市政环卫、园林绿化、市政设施维护改造及安全隐患排查、整改工作，</w:t>
      </w:r>
      <w:r>
        <w:rPr>
          <w:rFonts w:hint="eastAsia" w:ascii="Times New Roman" w:hAnsi="Times New Roman" w:eastAsia="方正仿宋_GBK" w:cs="Times New Roman"/>
          <w:color w:val="auto"/>
          <w:kern w:val="2"/>
          <w:sz w:val="32"/>
          <w:szCs w:val="24"/>
          <w:lang w:val="en-US" w:eastAsia="zh-CN" w:bidi="ar-SA"/>
        </w:rPr>
        <w:t>协助开展规范</w:t>
      </w:r>
      <w:r>
        <w:rPr>
          <w:rFonts w:ascii="Times New Roman" w:hAnsi="Times New Roman" w:eastAsia="方正仿宋_GBK" w:cs="Times New Roman"/>
          <w:color w:val="auto"/>
          <w:kern w:val="2"/>
          <w:sz w:val="32"/>
          <w:szCs w:val="24"/>
          <w:lang w:val="en-US" w:eastAsia="zh-CN" w:bidi="ar-SA"/>
        </w:rPr>
        <w:t>物业管理</w:t>
      </w:r>
      <w:r>
        <w:rPr>
          <w:rFonts w:hint="eastAsia" w:ascii="Times New Roman" w:hAnsi="Times New Roman" w:eastAsia="方正仿宋_GBK" w:cs="Times New Roman"/>
          <w:color w:val="auto"/>
          <w:kern w:val="2"/>
          <w:sz w:val="32"/>
          <w:szCs w:val="24"/>
          <w:lang w:val="en-US" w:eastAsia="zh-CN" w:bidi="ar-SA"/>
        </w:rPr>
        <w:t>活动相关</w:t>
      </w:r>
      <w:r>
        <w:rPr>
          <w:rFonts w:ascii="Times New Roman" w:hAnsi="Times New Roman" w:eastAsia="方正仿宋_GBK" w:cs="Times New Roman"/>
          <w:color w:val="auto"/>
          <w:kern w:val="2"/>
          <w:sz w:val="32"/>
          <w:szCs w:val="24"/>
          <w:lang w:val="en-US" w:eastAsia="zh-CN" w:bidi="ar-SA"/>
        </w:rPr>
        <w:t>事务性工作，</w:t>
      </w:r>
      <w:r>
        <w:rPr>
          <w:rFonts w:ascii="Times New Roman" w:hAnsi="Times New Roman" w:eastAsia="方正仿宋_GBK" w:cs="Times New Roman"/>
          <w:kern w:val="2"/>
          <w:sz w:val="32"/>
          <w:szCs w:val="24"/>
          <w:lang w:val="en-US" w:eastAsia="zh-CN" w:bidi="ar-SA"/>
        </w:rPr>
        <w:t>承担镇规划区内停车场（含路内停车）相关事务性工作。</w:t>
      </w:r>
    </w:p>
    <w:p>
      <w:pPr>
        <w:pStyle w:val="9"/>
        <w:widowControl/>
        <w:shd w:val="clear" w:color="auto" w:fill="FFFFFF"/>
        <w:wordWrap/>
        <w:adjustRightInd/>
        <w:spacing w:before="0" w:beforeAutospacing="0" w:after="0" w:afterAutospacing="0" w:line="594" w:lineRule="exact"/>
        <w:ind w:left="0" w:leftChars="0" w:right="0" w:firstLine="420"/>
        <w:textAlignment w:val="auto"/>
        <w:outlineLvl w:val="9"/>
        <w:rPr>
          <w:rStyle w:val="13"/>
          <w:rFonts w:hint="default" w:ascii="方正楷体_GBK" w:hAnsi="方正楷体_GBK" w:eastAsia="方正楷体_GBK" w:cs="方正楷体_GBK"/>
          <w:b w:val="0"/>
          <w:bCs/>
          <w:sz w:val="32"/>
          <w:szCs w:val="32"/>
          <w:shd w:val="clear" w:color="auto" w:fill="FFFFFF"/>
        </w:rPr>
      </w:pPr>
      <w:r>
        <w:rPr>
          <w:rStyle w:val="13"/>
          <w:rFonts w:hint="eastAsia" w:ascii="方正楷体_GBK" w:hAnsi="方正楷体_GBK" w:eastAsia="方正楷体_GBK" w:cs="方正楷体_GBK"/>
          <w:b w:val="0"/>
          <w:bCs/>
          <w:sz w:val="32"/>
          <w:szCs w:val="32"/>
          <w:shd w:val="clear" w:color="auto" w:fill="FFFFFF"/>
        </w:rPr>
        <w:t>（二）机构设置</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机构情况</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2024年进行独立核算</w:t>
      </w:r>
      <w:r>
        <w:rPr>
          <w:rFonts w:hint="eastAsia" w:ascii="仿宋_GB2312" w:hAnsi="仿宋" w:eastAsia="仿宋_GB2312"/>
          <w:sz w:val="32"/>
          <w:szCs w:val="32"/>
        </w:rPr>
        <w:t>。</w:t>
      </w:r>
    </w:p>
    <w:p>
      <w:pPr>
        <w:pStyle w:val="9"/>
        <w:widowControl/>
        <w:shd w:val="clear" w:color="auto" w:fill="FFFFFF"/>
        <w:wordWrap/>
        <w:adjustRightInd/>
        <w:snapToGrid/>
        <w:spacing w:before="0" w:beforeAutospacing="0" w:after="0" w:afterAutospacing="0" w:line="594" w:lineRule="exact"/>
        <w:ind w:left="0" w:leftChars="0" w:right="0" w:firstLine="640" w:firstLineChars="200"/>
        <w:textAlignment w:val="auto"/>
        <w:outlineLvl w:val="9"/>
        <w:rPr>
          <w:rFonts w:hint="eastAsia" w:ascii="仿宋_GB2312" w:hAnsi="仿宋" w:eastAsia="仿宋_GB2312"/>
          <w:sz w:val="32"/>
          <w:szCs w:val="32"/>
        </w:rPr>
      </w:pPr>
      <w:r>
        <w:rPr>
          <w:rFonts w:hint="eastAsia" w:ascii="仿宋_GB2312" w:hAnsi="仿宋" w:eastAsia="仿宋_GB2312"/>
          <w:sz w:val="32"/>
          <w:szCs w:val="32"/>
        </w:rPr>
        <w:t>人员情况</w:t>
      </w:r>
      <w:r>
        <w:rPr>
          <w:rFonts w:hint="eastAsia" w:ascii="仿宋_GB2312" w:hAnsi="仿宋" w:eastAsia="仿宋_GB2312"/>
          <w:sz w:val="32"/>
          <w:szCs w:val="32"/>
          <w:lang w:eastAsia="zh-CN"/>
        </w:rPr>
        <w:t>：</w:t>
      </w:r>
      <w:r>
        <w:rPr>
          <w:rFonts w:hint="eastAsia" w:ascii="仿宋_GB2312" w:hAnsi="仿宋" w:eastAsia="仿宋_GB2312"/>
          <w:sz w:val="32"/>
          <w:szCs w:val="32"/>
        </w:rPr>
        <w:t>本单位现有在职职工</w:t>
      </w:r>
      <w:r>
        <w:rPr>
          <w:rFonts w:hint="eastAsia" w:ascii="仿宋_GB2312" w:hAnsi="仿宋" w:eastAsia="仿宋_GB2312"/>
          <w:sz w:val="32"/>
          <w:szCs w:val="32"/>
          <w:lang w:val="en-US" w:eastAsia="zh-CN"/>
        </w:rPr>
        <w:t>3</w:t>
      </w:r>
      <w:r>
        <w:rPr>
          <w:rFonts w:hint="eastAsia" w:ascii="仿宋_GB2312" w:hAnsi="仿宋" w:eastAsia="仿宋_GB2312"/>
          <w:sz w:val="32"/>
          <w:szCs w:val="32"/>
        </w:rPr>
        <w:t>人。</w:t>
      </w:r>
    </w:p>
    <w:p>
      <w:pPr>
        <w:pStyle w:val="9"/>
        <w:widowControl/>
        <w:shd w:val="clear" w:color="auto" w:fill="FFFFFF"/>
        <w:wordWrap/>
        <w:adjustRightInd/>
        <w:snapToGrid/>
        <w:spacing w:before="0" w:beforeAutospacing="0" w:after="0" w:afterAutospacing="0" w:line="594" w:lineRule="exact"/>
        <w:ind w:left="0" w:leftChars="0" w:right="0" w:firstLine="643" w:firstLineChars="200"/>
        <w:textAlignment w:val="auto"/>
        <w:outlineLvl w:val="9"/>
        <w:rPr>
          <w:rStyle w:val="13"/>
          <w:rFonts w:hint="default" w:ascii="方正黑体_GBK" w:hAnsi="方正黑体_GBK" w:eastAsia="方正黑体_GBK" w:cs="方正黑体_GBK"/>
          <w:b w:val="0"/>
          <w:bCs/>
          <w:sz w:val="32"/>
          <w:szCs w:val="32"/>
          <w:shd w:val="clear" w:color="auto" w:fill="FFFFFF"/>
        </w:rPr>
      </w:pPr>
      <w:r>
        <w:rPr>
          <w:rStyle w:val="13"/>
          <w:rFonts w:ascii="黑体" w:hAnsi="黑体" w:eastAsia="黑体" w:cs="黑体"/>
          <w:sz w:val="32"/>
          <w:szCs w:val="32"/>
          <w:shd w:val="clear" w:color="auto" w:fill="FFFFFF"/>
        </w:rPr>
        <w:t>二、</w:t>
      </w:r>
      <w:r>
        <w:rPr>
          <w:rStyle w:val="13"/>
          <w:rFonts w:hint="eastAsia" w:ascii="黑体" w:hAnsi="黑体" w:eastAsia="黑体" w:cs="黑体"/>
          <w:sz w:val="32"/>
          <w:szCs w:val="32"/>
          <w:shd w:val="clear" w:color="auto" w:fill="FFFFFF"/>
          <w:lang w:eastAsia="zh-CN"/>
        </w:rPr>
        <w:t>单位</w:t>
      </w:r>
      <w:r>
        <w:rPr>
          <w:rStyle w:val="13"/>
          <w:rFonts w:ascii="黑体" w:hAnsi="黑体" w:eastAsia="黑体" w:cs="黑体"/>
          <w:sz w:val="32"/>
          <w:szCs w:val="32"/>
          <w:shd w:val="clear" w:color="auto" w:fill="FFFFFF"/>
        </w:rPr>
        <w:t>决算</w:t>
      </w:r>
      <w:r>
        <w:rPr>
          <w:rStyle w:val="13"/>
          <w:rFonts w:hint="eastAsia" w:ascii="黑体" w:hAnsi="黑体" w:eastAsia="黑体" w:cs="黑体"/>
          <w:sz w:val="32"/>
          <w:szCs w:val="32"/>
          <w:shd w:val="clear" w:color="auto" w:fill="FFFFFF"/>
          <w:lang w:eastAsia="zh-CN"/>
        </w:rPr>
        <w:t>收支</w:t>
      </w:r>
      <w:r>
        <w:rPr>
          <w:rStyle w:val="13"/>
          <w:rFonts w:ascii="黑体" w:hAnsi="黑体" w:eastAsia="黑体" w:cs="黑体"/>
          <w:sz w:val="32"/>
          <w:szCs w:val="32"/>
          <w:shd w:val="clear" w:color="auto" w:fill="FFFFFF"/>
        </w:rPr>
        <w:t>情况说明</w:t>
      </w:r>
    </w:p>
    <w:p>
      <w:pPr>
        <w:pStyle w:val="9"/>
        <w:widowControl/>
        <w:shd w:val="clear" w:color="auto" w:fill="FFFFFF"/>
        <w:wordWrap/>
        <w:adjustRightInd/>
        <w:spacing w:before="0" w:beforeAutospacing="0" w:after="0" w:afterAutospacing="0" w:line="594" w:lineRule="exact"/>
        <w:ind w:left="0" w:leftChars="0" w:right="0" w:firstLine="420"/>
        <w:textAlignment w:val="auto"/>
        <w:outlineLvl w:val="9"/>
        <w:rPr>
          <w:rStyle w:val="13"/>
          <w:rFonts w:hint="eastAsia" w:ascii="方正楷体_GBK" w:hAnsi="方正楷体_GBK" w:eastAsia="方正楷体_GBK" w:cs="方正楷体_GBK"/>
          <w:b w:val="0"/>
          <w:bCs/>
          <w:sz w:val="32"/>
          <w:szCs w:val="32"/>
          <w:shd w:val="clear" w:color="auto" w:fill="FFFFFF"/>
        </w:rPr>
      </w:pPr>
      <w:r>
        <w:rPr>
          <w:rStyle w:val="13"/>
          <w:rFonts w:hint="eastAsia" w:ascii="方正楷体_GBK" w:hAnsi="方正楷体_GBK" w:eastAsia="方正楷体_GBK" w:cs="方正楷体_GBK"/>
          <w:b w:val="0"/>
          <w:bCs/>
          <w:sz w:val="32"/>
          <w:szCs w:val="32"/>
          <w:shd w:val="clear" w:color="auto" w:fill="FFFFFF"/>
        </w:rPr>
        <w:t>（一）收入支出决算总体情况说明</w:t>
      </w:r>
    </w:p>
    <w:p>
      <w:pPr>
        <w:pStyle w:val="9"/>
        <w:widowControl/>
        <w:shd w:val="clear" w:color="auto" w:fill="FFFFFF"/>
        <w:wordWrap/>
        <w:adjustRightInd/>
        <w:spacing w:before="0" w:beforeAutospacing="0" w:after="0" w:afterAutospacing="0" w:line="594" w:lineRule="exact"/>
        <w:ind w:left="0" w:leftChars="0" w:right="0" w:firstLine="643" w:firstLineChars="200"/>
        <w:textAlignment w:val="auto"/>
        <w:outlineLvl w:val="9"/>
        <w:rPr>
          <w:rFonts w:hint="default" w:ascii="方正仿宋_GBK" w:hAnsi="方正仿宋_GBK" w:eastAsia="方正仿宋_GBK" w:cs="方正仿宋_GBK"/>
          <w:sz w:val="32"/>
          <w:szCs w:val="32"/>
          <w:shd w:val="clear" w:color="auto" w:fill="FFFFFF"/>
          <w:lang w:eastAsia="zh-CN"/>
        </w:rPr>
      </w:pPr>
      <w:r>
        <w:rPr>
          <w:rStyle w:val="13"/>
          <w:rFonts w:ascii="方正仿宋_GBK" w:hAnsi="方正仿宋_GBK" w:eastAsia="方正仿宋_GBK" w:cs="方正仿宋_GBK"/>
          <w:sz w:val="32"/>
          <w:szCs w:val="32"/>
          <w:shd w:val="clear" w:color="auto" w:fill="FFFFFF"/>
        </w:rPr>
        <w:t>1.总体情况。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度收入总计31.41万元，支出总计</w:t>
      </w:r>
      <w:r>
        <w:rPr>
          <w:rFonts w:ascii="方正仿宋_GBK" w:hAnsi="方正仿宋_GBK" w:eastAsia="方正仿宋_GBK" w:cs="方正仿宋_GBK"/>
          <w:sz w:val="32"/>
          <w:szCs w:val="32"/>
        </w:rPr>
        <w:t>31.41</w:t>
      </w:r>
      <w:r>
        <w:rPr>
          <w:rFonts w:ascii="方正仿宋_GBK" w:hAnsi="方正仿宋_GBK" w:eastAsia="方正仿宋_GBK" w:cs="方正仿宋_GBK"/>
          <w:sz w:val="32"/>
          <w:szCs w:val="32"/>
          <w:shd w:val="clear" w:color="auto" w:fill="FFFFFF"/>
        </w:rPr>
        <w:t>万元。收、支与2023年度相比，增加31.41万元，增长100.00%，主要原因</w:t>
      </w:r>
      <w:r>
        <w:rPr>
          <w:rFonts w:hint="eastAsia" w:ascii="方正仿宋_GBK" w:hAnsi="方正仿宋_GBK" w:eastAsia="方正仿宋_GBK" w:cs="方正仿宋_GBK"/>
          <w:sz w:val="32"/>
          <w:szCs w:val="32"/>
          <w:shd w:val="clear" w:color="auto" w:fill="FFFFFF"/>
          <w:lang w:eastAsia="zh-CN"/>
        </w:rPr>
        <w:t>是本单位为新增单位,上年度无数据。</w:t>
      </w:r>
    </w:p>
    <w:p>
      <w:pPr>
        <w:pStyle w:val="9"/>
        <w:widowControl/>
        <w:wordWrap/>
        <w:adjustRightInd/>
        <w:snapToGrid w:val="0"/>
        <w:spacing w:before="0" w:beforeAutospacing="0" w:after="0" w:afterAutospacing="0" w:line="594" w:lineRule="exact"/>
        <w:ind w:left="0" w:leftChars="0" w:right="0" w:firstLine="643" w:firstLineChars="200"/>
        <w:jc w:val="both"/>
        <w:textAlignment w:val="auto"/>
        <w:outlineLvl w:val="9"/>
        <w:rPr>
          <w:rFonts w:hint="default" w:ascii="方正仿宋_GBK" w:hAnsi="方正仿宋_GBK" w:eastAsia="方正仿宋_GBK" w:cs="方正仿宋_GBK"/>
          <w:sz w:val="32"/>
          <w:szCs w:val="32"/>
          <w:shd w:val="clear" w:color="auto" w:fill="FFFFFF"/>
        </w:rPr>
      </w:pPr>
      <w:r>
        <w:rPr>
          <w:rStyle w:val="13"/>
          <w:rFonts w:ascii="方正仿宋_GBK" w:hAnsi="方正仿宋_GBK" w:eastAsia="方正仿宋_GBK" w:cs="方正仿宋_GBK"/>
          <w:sz w:val="32"/>
          <w:szCs w:val="32"/>
          <w:shd w:val="clear" w:color="auto" w:fill="FFFFFF"/>
        </w:rPr>
        <w:t>2.收入情况。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度收入合计31.41万元，与2023年度相比，增加31.41万元，增长100.00%，主要原因是</w:t>
      </w:r>
      <w:r>
        <w:rPr>
          <w:rFonts w:hint="eastAsia" w:ascii="方正仿宋_GBK" w:hAnsi="方正仿宋_GBK" w:eastAsia="方正仿宋_GBK" w:cs="方正仿宋_GBK"/>
          <w:sz w:val="32"/>
          <w:szCs w:val="32"/>
          <w:shd w:val="clear" w:color="auto" w:fill="FFFFFF"/>
          <w:lang w:eastAsia="zh-CN"/>
        </w:rPr>
        <w:t>本单位为新增单位,上年度无数据。其</w:t>
      </w:r>
      <w:r>
        <w:rPr>
          <w:rFonts w:ascii="方正仿宋_GBK" w:hAnsi="方正仿宋_GBK" w:eastAsia="方正仿宋_GBK" w:cs="方正仿宋_GBK"/>
          <w:sz w:val="32"/>
          <w:szCs w:val="32"/>
          <w:shd w:val="clear" w:color="auto" w:fill="FFFFFF"/>
        </w:rPr>
        <w:t>中：财政拨款收入</w:t>
      </w:r>
      <w:r>
        <w:rPr>
          <w:rFonts w:ascii="方正仿宋_GBK" w:hAnsi="方正仿宋_GBK" w:eastAsia="方正仿宋_GBK" w:cs="方正仿宋_GBK"/>
          <w:sz w:val="32"/>
          <w:szCs w:val="32"/>
        </w:rPr>
        <w:t>31.41</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9"/>
        <w:widowControl/>
        <w:wordWrap/>
        <w:adjustRightInd/>
        <w:snapToGrid w:val="0"/>
        <w:spacing w:before="0" w:beforeAutospacing="0" w:after="0" w:afterAutospacing="0" w:line="594" w:lineRule="exact"/>
        <w:ind w:left="0" w:leftChars="0" w:right="0" w:firstLine="643" w:firstLineChars="200"/>
        <w:jc w:val="both"/>
        <w:textAlignment w:val="auto"/>
        <w:outlineLvl w:val="9"/>
        <w:rPr>
          <w:rFonts w:hint="default" w:ascii="方正仿宋_GBK" w:hAnsi="方正仿宋_GBK" w:eastAsia="方正仿宋_GBK" w:cs="方正仿宋_GBK"/>
          <w:sz w:val="32"/>
          <w:szCs w:val="32"/>
          <w:shd w:val="clear" w:color="auto" w:fill="FFFFFF"/>
        </w:rPr>
      </w:pPr>
      <w:r>
        <w:rPr>
          <w:rStyle w:val="13"/>
          <w:rFonts w:ascii="方正仿宋_GBK" w:hAnsi="方正仿宋_GBK" w:eastAsia="方正仿宋_GBK" w:cs="方正仿宋_GBK"/>
          <w:sz w:val="32"/>
          <w:szCs w:val="32"/>
          <w:shd w:val="clear" w:color="auto" w:fill="FFFFFF"/>
        </w:rPr>
        <w:t>3.支出情况。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度支出合计</w:t>
      </w:r>
      <w:r>
        <w:rPr>
          <w:rFonts w:ascii="方正仿宋_GBK" w:hAnsi="方正仿宋_GBK" w:eastAsia="方正仿宋_GBK" w:cs="方正仿宋_GBK"/>
          <w:sz w:val="32"/>
          <w:szCs w:val="32"/>
        </w:rPr>
        <w:t>31.41</w:t>
      </w:r>
      <w:r>
        <w:rPr>
          <w:rFonts w:ascii="方正仿宋_GBK" w:hAnsi="方正仿宋_GBK" w:eastAsia="方正仿宋_GBK" w:cs="方正仿宋_GBK"/>
          <w:sz w:val="32"/>
          <w:szCs w:val="32"/>
          <w:shd w:val="clear" w:color="auto" w:fill="FFFFFF"/>
        </w:rPr>
        <w:t>万元，与2023年度相比，增加31.41万元，增长100.00%，主要原因是</w:t>
      </w:r>
      <w:r>
        <w:rPr>
          <w:rFonts w:hint="eastAsia" w:ascii="方正仿宋_GBK" w:hAnsi="方正仿宋_GBK" w:eastAsia="方正仿宋_GBK" w:cs="方正仿宋_GBK"/>
          <w:sz w:val="32"/>
          <w:szCs w:val="32"/>
          <w:shd w:val="clear" w:color="auto" w:fill="FFFFFF"/>
          <w:lang w:eastAsia="zh-CN"/>
        </w:rPr>
        <w:t>本单位为新增单位,上年度无数据。</w:t>
      </w:r>
      <w:r>
        <w:rPr>
          <w:rFonts w:ascii="方正仿宋_GBK" w:hAnsi="方正仿宋_GBK" w:eastAsia="方正仿宋_GBK" w:cs="方正仿宋_GBK"/>
          <w:sz w:val="32"/>
          <w:szCs w:val="32"/>
          <w:shd w:val="clear" w:color="auto" w:fill="FFFFFF"/>
        </w:rPr>
        <w:t>其中：基本支出</w:t>
      </w:r>
      <w:r>
        <w:rPr>
          <w:rFonts w:ascii="方正仿宋_GBK" w:hAnsi="方正仿宋_GBK" w:eastAsia="方正仿宋_GBK" w:cs="方正仿宋_GBK"/>
          <w:sz w:val="32"/>
          <w:szCs w:val="32"/>
        </w:rPr>
        <w:t>31.41</w:t>
      </w:r>
      <w:r>
        <w:rPr>
          <w:rFonts w:ascii="方正仿宋_GBK" w:hAnsi="方正仿宋_GBK" w:eastAsia="方正仿宋_GBK" w:cs="方正仿宋_GBK"/>
          <w:sz w:val="32"/>
          <w:szCs w:val="32"/>
          <w:shd w:val="clear" w:color="auto" w:fill="FFFFFF"/>
        </w:rPr>
        <w:t>万元，占100.00%；项目支出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9"/>
        <w:widowControl/>
        <w:wordWrap/>
        <w:adjustRightInd/>
        <w:snapToGrid w:val="0"/>
        <w:spacing w:before="0" w:beforeAutospacing="0" w:after="0" w:afterAutospacing="0" w:line="594" w:lineRule="exact"/>
        <w:ind w:left="0" w:leftChars="0" w:right="0" w:firstLine="643" w:firstLineChars="200"/>
        <w:jc w:val="both"/>
        <w:textAlignment w:val="auto"/>
        <w:outlineLvl w:val="9"/>
        <w:rPr>
          <w:rFonts w:hint="default" w:ascii="方正仿宋_GBK" w:hAnsi="方正仿宋_GBK" w:eastAsia="方正仿宋_GBK" w:cs="方正仿宋_GBK"/>
          <w:sz w:val="32"/>
          <w:szCs w:val="32"/>
        </w:rPr>
      </w:pPr>
      <w:r>
        <w:rPr>
          <w:rStyle w:val="13"/>
          <w:rFonts w:ascii="方正仿宋_GBK" w:hAnsi="方正仿宋_GBK" w:eastAsia="方正仿宋_GBK" w:cs="方正仿宋_GBK"/>
          <w:sz w:val="32"/>
          <w:szCs w:val="32"/>
          <w:shd w:val="clear" w:color="auto" w:fill="FFFFFF"/>
        </w:rPr>
        <w:t>4.结转结余情况。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ascii="Times New Roman" w:hAnsi="Times New Roman" w:eastAsia="方正仿宋_GBK"/>
          <w:sz w:val="32"/>
          <w:szCs w:val="32"/>
          <w:shd w:val="clear" w:color="auto" w:fill="FFFFFF"/>
        </w:rPr>
        <w:t>本年度与上年度均无结转结余</w:t>
      </w:r>
      <w:r>
        <w:rPr>
          <w:rFonts w:ascii="仿宋_GB2312" w:hAnsi="仿宋" w:eastAsia="仿宋_GB2312" w:cs="仿宋"/>
          <w:color w:val="000000"/>
          <w:sz w:val="32"/>
          <w:szCs w:val="32"/>
        </w:rPr>
        <w:t>。</w:t>
      </w:r>
    </w:p>
    <w:p>
      <w:pPr>
        <w:pStyle w:val="9"/>
        <w:widowControl/>
        <w:shd w:val="clear" w:color="auto" w:fill="FFFFFF"/>
        <w:wordWrap/>
        <w:adjustRightInd/>
        <w:spacing w:before="0" w:beforeAutospacing="0" w:after="0" w:afterAutospacing="0" w:line="594" w:lineRule="exact"/>
        <w:ind w:left="0" w:leftChars="0" w:right="0" w:firstLine="420"/>
        <w:textAlignment w:val="auto"/>
        <w:outlineLvl w:val="9"/>
        <w:rPr>
          <w:rStyle w:val="13"/>
          <w:rFonts w:hint="eastAsia" w:ascii="方正楷体_GBK" w:hAnsi="方正楷体_GBK" w:eastAsia="方正楷体_GBK" w:cs="方正楷体_GBK"/>
          <w:b w:val="0"/>
          <w:bCs/>
          <w:sz w:val="32"/>
          <w:szCs w:val="32"/>
          <w:shd w:val="clear" w:color="auto" w:fill="FFFFFF"/>
        </w:rPr>
      </w:pPr>
      <w:r>
        <w:rPr>
          <w:rStyle w:val="13"/>
          <w:rFonts w:hint="eastAsia" w:ascii="方正楷体_GBK" w:hAnsi="方正楷体_GBK" w:eastAsia="方正楷体_GBK" w:cs="方正楷体_GBK"/>
          <w:b w:val="0"/>
          <w:bCs/>
          <w:sz w:val="32"/>
          <w:szCs w:val="32"/>
          <w:shd w:val="clear" w:color="auto" w:fill="FFFFFF"/>
        </w:rPr>
        <w:t>（二）财政拨款收入支出决算总体情况说明</w:t>
      </w:r>
    </w:p>
    <w:p>
      <w:pPr>
        <w:pStyle w:val="9"/>
        <w:widowControl/>
        <w:wordWrap/>
        <w:adjustRightInd/>
        <w:snapToGrid w:val="0"/>
        <w:spacing w:before="0" w:beforeAutospacing="0" w:after="0" w:afterAutospacing="0" w:line="594" w:lineRule="exact"/>
        <w:ind w:left="0" w:leftChars="0" w:right="0" w:firstLine="640" w:firstLineChars="200"/>
        <w:jc w:val="both"/>
        <w:textAlignment w:val="auto"/>
        <w:outlineLvl w:val="9"/>
        <w:rPr>
          <w:rFonts w:hint="default"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度财政拨款收、支总计31.41万元。与202</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年相比，财政拨款收、支总计各增加31.41万元，增长100.00%。主要原因</w:t>
      </w:r>
      <w:r>
        <w:rPr>
          <w:rFonts w:hint="eastAsia" w:ascii="方正仿宋_GBK" w:hAnsi="方正仿宋_GBK" w:eastAsia="方正仿宋_GBK" w:cs="方正仿宋_GBK"/>
          <w:sz w:val="32"/>
          <w:szCs w:val="32"/>
          <w:shd w:val="clear" w:color="auto" w:fill="FFFFFF"/>
          <w:lang w:eastAsia="zh-CN"/>
        </w:rPr>
        <w:t>是本单位为新增单位,上年度无数据。</w:t>
      </w:r>
    </w:p>
    <w:p>
      <w:pPr>
        <w:pStyle w:val="9"/>
        <w:widowControl/>
        <w:shd w:val="clear" w:color="auto" w:fill="FFFFFF"/>
        <w:wordWrap/>
        <w:adjustRightInd/>
        <w:spacing w:before="0" w:beforeAutospacing="0" w:after="0" w:afterAutospacing="0" w:line="594" w:lineRule="exact"/>
        <w:ind w:left="0" w:leftChars="0" w:right="0" w:firstLine="420"/>
        <w:textAlignment w:val="auto"/>
        <w:outlineLvl w:val="9"/>
        <w:rPr>
          <w:rStyle w:val="13"/>
          <w:rFonts w:hint="eastAsia" w:ascii="方正楷体_GBK" w:hAnsi="方正楷体_GBK" w:eastAsia="方正楷体_GBK" w:cs="方正楷体_GBK"/>
          <w:b w:val="0"/>
          <w:bCs/>
          <w:sz w:val="32"/>
          <w:szCs w:val="32"/>
          <w:shd w:val="clear" w:color="auto" w:fill="FFFFFF"/>
        </w:rPr>
      </w:pPr>
      <w:r>
        <w:rPr>
          <w:rStyle w:val="13"/>
          <w:rFonts w:hint="eastAsia" w:ascii="方正楷体_GBK" w:hAnsi="方正楷体_GBK" w:eastAsia="方正楷体_GBK" w:cs="方正楷体_GBK"/>
          <w:b w:val="0"/>
          <w:bCs/>
          <w:sz w:val="32"/>
          <w:szCs w:val="32"/>
          <w:shd w:val="clear" w:color="auto" w:fill="FFFFFF"/>
        </w:rPr>
        <w:t>（三）一般公共预算财政拨款收入支出决算情况说明</w:t>
      </w:r>
    </w:p>
    <w:p>
      <w:pPr>
        <w:pStyle w:val="9"/>
        <w:widowControl/>
        <w:wordWrap/>
        <w:adjustRightInd/>
        <w:snapToGrid w:val="0"/>
        <w:spacing w:before="0" w:beforeAutospacing="0" w:after="0" w:afterAutospacing="0" w:line="594" w:lineRule="exact"/>
        <w:ind w:left="0" w:leftChars="0" w:right="0" w:firstLine="643" w:firstLineChars="200"/>
        <w:jc w:val="both"/>
        <w:textAlignment w:val="auto"/>
        <w:outlineLvl w:val="9"/>
        <w:rPr>
          <w:rFonts w:hint="default" w:ascii="方正仿宋_GBK" w:hAnsi="方正仿宋_GBK" w:eastAsia="方正仿宋_GBK" w:cs="方正仿宋_GBK"/>
          <w:sz w:val="32"/>
          <w:szCs w:val="32"/>
        </w:rPr>
      </w:pPr>
      <w:r>
        <w:rPr>
          <w:rStyle w:val="13"/>
          <w:rFonts w:ascii="方正仿宋_GBK" w:hAnsi="方正仿宋_GBK" w:eastAsia="方正仿宋_GBK" w:cs="方正仿宋_GBK"/>
          <w:sz w:val="32"/>
          <w:szCs w:val="32"/>
          <w:shd w:val="clear" w:color="auto" w:fill="FFFFFF"/>
        </w:rPr>
        <w:t>1.收入情况。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度一般公共预算财政拨款收入</w:t>
      </w:r>
      <w:r>
        <w:rPr>
          <w:rFonts w:ascii="方正仿宋_GBK" w:hAnsi="方正仿宋_GBK" w:eastAsia="方正仿宋_GBK" w:cs="方正仿宋_GBK"/>
          <w:sz w:val="32"/>
          <w:szCs w:val="32"/>
        </w:rPr>
        <w:t>31.41</w:t>
      </w:r>
      <w:r>
        <w:rPr>
          <w:rFonts w:ascii="方正仿宋_GBK" w:hAnsi="方正仿宋_GBK" w:eastAsia="方正仿宋_GBK" w:cs="方正仿宋_GBK"/>
          <w:sz w:val="32"/>
          <w:szCs w:val="32"/>
          <w:shd w:val="clear" w:color="auto" w:fill="FFFFFF"/>
        </w:rPr>
        <w:t>万元，与2023年度相比，增加31.41万元，增长100.00%。主要原因是本单位为新增单位,上年度无数据。较年初预算数减少8.81万元，下降21.90%。主要原因是</w:t>
      </w:r>
      <w:r>
        <w:rPr>
          <w:rFonts w:hint="eastAsia" w:ascii="方正仿宋_GBK" w:hAnsi="方正仿宋_GBK" w:eastAsia="方正仿宋_GBK" w:cs="方正仿宋_GBK"/>
          <w:sz w:val="32"/>
          <w:szCs w:val="32"/>
          <w:shd w:val="clear" w:color="auto" w:fill="FFFFFF"/>
          <w:lang w:eastAsia="zh-CN"/>
        </w:rPr>
        <w:t>人员经费、公用经费减少。</w:t>
      </w:r>
      <w:r>
        <w:rPr>
          <w:rFonts w:ascii="方正仿宋_GBK" w:hAnsi="方正仿宋_GBK" w:eastAsia="方正仿宋_GBK" w:cs="方正仿宋_GBK"/>
          <w:sz w:val="32"/>
          <w:szCs w:val="32"/>
          <w:shd w:val="clear" w:color="auto" w:fill="FFFFFF"/>
        </w:rPr>
        <w:t>此外，年初财政拨款结转和结余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9"/>
        <w:widowControl/>
        <w:wordWrap/>
        <w:adjustRightInd/>
        <w:snapToGrid w:val="0"/>
        <w:spacing w:before="0" w:beforeAutospacing="0" w:after="0" w:afterAutospacing="0" w:line="594" w:lineRule="exact"/>
        <w:ind w:left="0" w:leftChars="0" w:right="0" w:firstLine="643" w:firstLineChars="200"/>
        <w:jc w:val="both"/>
        <w:textAlignment w:val="auto"/>
        <w:outlineLvl w:val="9"/>
        <w:rPr>
          <w:rFonts w:hint="default" w:ascii="方正仿宋_GBK" w:hAnsi="方正仿宋_GBK" w:eastAsia="方正仿宋_GBK" w:cs="方正仿宋_GBK"/>
          <w:sz w:val="32"/>
          <w:szCs w:val="32"/>
        </w:rPr>
      </w:pPr>
      <w:r>
        <w:rPr>
          <w:rStyle w:val="13"/>
          <w:rFonts w:ascii="方正仿宋_GBK" w:hAnsi="方正仿宋_GBK" w:eastAsia="方正仿宋_GBK" w:cs="方正仿宋_GBK"/>
          <w:sz w:val="32"/>
          <w:szCs w:val="32"/>
          <w:shd w:val="clear" w:color="auto" w:fill="FFFFFF"/>
        </w:rPr>
        <w:t>2.支出情况。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度一般公共预算财政拨款支出</w:t>
      </w:r>
      <w:r>
        <w:rPr>
          <w:rFonts w:ascii="方正仿宋_GBK" w:hAnsi="方正仿宋_GBK" w:eastAsia="方正仿宋_GBK" w:cs="方正仿宋_GBK"/>
          <w:sz w:val="32"/>
          <w:szCs w:val="32"/>
        </w:rPr>
        <w:t>31.41</w:t>
      </w:r>
      <w:r>
        <w:rPr>
          <w:rFonts w:ascii="方正仿宋_GBK" w:hAnsi="方正仿宋_GBK" w:eastAsia="方正仿宋_GBK" w:cs="方正仿宋_GBK"/>
          <w:sz w:val="32"/>
          <w:szCs w:val="32"/>
          <w:shd w:val="clear" w:color="auto" w:fill="FFFFFF"/>
        </w:rPr>
        <w:t>万元，与2023年度相比，增加31.41万元，增长100.00%。主要原因是本单位为新增单位,上年度无数据。较年初预算数减少8.81万元，下降21.90%。主要原因是</w:t>
      </w:r>
      <w:r>
        <w:rPr>
          <w:rFonts w:hint="eastAsia" w:ascii="方正仿宋_GBK" w:hAnsi="方正仿宋_GBK" w:eastAsia="方正仿宋_GBK" w:cs="方正仿宋_GBK"/>
          <w:sz w:val="32"/>
          <w:szCs w:val="32"/>
          <w:shd w:val="clear" w:color="auto" w:fill="FFFFFF"/>
          <w:lang w:eastAsia="zh-CN"/>
        </w:rPr>
        <w:t>人员经费、公用经费减少。</w:t>
      </w:r>
    </w:p>
    <w:p>
      <w:pPr>
        <w:pStyle w:val="9"/>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3"/>
          <w:rFonts w:ascii="方正仿宋_GBK" w:hAnsi="方正仿宋_GBK" w:eastAsia="方正仿宋_GBK" w:cs="方正仿宋_GBK"/>
          <w:sz w:val="32"/>
          <w:szCs w:val="32"/>
          <w:shd w:val="clear" w:color="auto" w:fill="FFFFFF"/>
        </w:rPr>
        <w:t>3.结转结余情况。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w:t>
      </w:r>
      <w:bookmarkStart w:id="0" w:name="_GoBack"/>
      <w:bookmarkEnd w:id="0"/>
      <w:r>
        <w:rPr>
          <w:rFonts w:hint="eastAsia" w:ascii="方正仿宋_GBK" w:hAnsi="方正仿宋_GBK" w:eastAsia="方正仿宋_GBK" w:cs="方正仿宋_GBK"/>
          <w:sz w:val="32"/>
          <w:szCs w:val="32"/>
          <w:shd w:val="clear" w:color="auto" w:fill="FFFFFF"/>
          <w:lang w:eastAsia="zh-CN"/>
        </w:rPr>
        <w:t>原因是</w:t>
      </w:r>
      <w:r>
        <w:rPr>
          <w:rFonts w:ascii="Times New Roman" w:hAnsi="Times New Roman" w:eastAsia="方正仿宋_GBK"/>
          <w:sz w:val="32"/>
          <w:szCs w:val="32"/>
          <w:shd w:val="clear" w:color="auto" w:fill="FFFFFF"/>
        </w:rPr>
        <w:t>本年度与上年度均无结转结余</w:t>
      </w:r>
      <w:r>
        <w:rPr>
          <w:rFonts w:ascii="仿宋_GB2312" w:hAnsi="仿宋" w:eastAsia="仿宋_GB2312" w:cs="仿宋"/>
          <w:color w:val="000000"/>
          <w:sz w:val="32"/>
          <w:szCs w:val="32"/>
        </w:rPr>
        <w:t>。</w:t>
      </w:r>
    </w:p>
    <w:p>
      <w:pPr>
        <w:pStyle w:val="9"/>
        <w:widowControl/>
        <w:wordWrap/>
        <w:adjustRightInd/>
        <w:snapToGrid w:val="0"/>
        <w:spacing w:before="0" w:beforeAutospacing="0" w:after="0" w:afterAutospacing="0" w:line="594" w:lineRule="exact"/>
        <w:ind w:left="0" w:leftChars="0" w:right="0" w:firstLine="643" w:firstLineChars="200"/>
        <w:jc w:val="both"/>
        <w:textAlignment w:val="auto"/>
        <w:outlineLvl w:val="9"/>
        <w:rPr>
          <w:rFonts w:ascii="方正仿宋_GBK" w:hAnsi="方正仿宋_GBK" w:eastAsia="方正仿宋_GBK" w:cs="方正仿宋_GBK"/>
          <w:sz w:val="32"/>
          <w:szCs w:val="32"/>
          <w:shd w:val="clear" w:color="auto" w:fill="FFFFFF"/>
        </w:rPr>
      </w:pPr>
      <w:r>
        <w:rPr>
          <w:rStyle w:val="13"/>
          <w:rFonts w:ascii="方正仿宋_GBK" w:hAnsi="方正仿宋_GBK" w:eastAsia="方正仿宋_GBK" w:cs="方正仿宋_GBK"/>
          <w:sz w:val="32"/>
          <w:szCs w:val="32"/>
          <w:shd w:val="clear" w:color="auto" w:fill="FFFFFF"/>
        </w:rPr>
        <w:t xml:space="preserve"> 4.比较情况。</w:t>
      </w:r>
      <w:r>
        <w:rPr>
          <w:rFonts w:hint="eastAsia" w:ascii="方正仿宋_GBK" w:hAnsi="方正仿宋_GBK" w:eastAsia="方正仿宋_GBK" w:cs="方正仿宋_GBK"/>
          <w:sz w:val="32"/>
          <w:szCs w:val="32"/>
          <w:shd w:val="clear" w:color="auto" w:fill="FFFFFF"/>
          <w:lang w:eastAsia="zh-CN"/>
        </w:rPr>
        <w:t>本单位2024年</w:t>
      </w:r>
      <w:r>
        <w:rPr>
          <w:rFonts w:ascii="方正仿宋_GBK" w:hAnsi="方正仿宋_GBK" w:eastAsia="方正仿宋_GBK" w:cs="方正仿宋_GBK"/>
          <w:sz w:val="32"/>
          <w:szCs w:val="32"/>
          <w:shd w:val="clear" w:color="auto" w:fill="FFFFFF"/>
        </w:rPr>
        <w:t>度一般公共预算财政拨款支出主要用于以下几个方面：</w:t>
      </w:r>
    </w:p>
    <w:p>
      <w:pPr>
        <w:pStyle w:val="9"/>
        <w:widowControl/>
        <w:wordWrap/>
        <w:adjustRightInd/>
        <w:snapToGrid w:val="0"/>
        <w:spacing w:before="0" w:beforeAutospacing="0" w:after="0" w:afterAutospacing="0" w:line="594" w:lineRule="exact"/>
        <w:ind w:left="0" w:leftChars="0" w:right="0" w:firstLine="640" w:firstLineChars="200"/>
        <w:jc w:val="both"/>
        <w:textAlignment w:val="auto"/>
        <w:outlineLvl w:val="9"/>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（1）一般公共服务支出</w:t>
      </w:r>
      <w:r>
        <w:rPr>
          <w:rFonts w:ascii="方正仿宋_GBK" w:hAnsi="方正仿宋_GBK" w:eastAsia="方正仿宋_GBK" w:cs="方正仿宋_GBK"/>
          <w:sz w:val="32"/>
          <w:szCs w:val="32"/>
        </w:rPr>
        <w:t>23.38</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74.44</w:t>
      </w:r>
      <w:r>
        <w:rPr>
          <w:rFonts w:ascii="方正仿宋_GBK" w:hAnsi="方正仿宋_GBK" w:eastAsia="方正仿宋_GBK" w:cs="方正仿宋_GBK"/>
          <w:sz w:val="32"/>
          <w:szCs w:val="32"/>
          <w:shd w:val="clear" w:color="auto" w:fill="FFFFFF"/>
        </w:rPr>
        <w:t>%，较年初预算数减少9.62万元，下降29.15%，主要原因是</w:t>
      </w:r>
      <w:r>
        <w:rPr>
          <w:rFonts w:hint="eastAsia" w:ascii="方正仿宋_GBK" w:hAnsi="方正仿宋_GBK" w:eastAsia="方正仿宋_GBK" w:cs="方正仿宋_GBK"/>
          <w:sz w:val="32"/>
          <w:szCs w:val="32"/>
          <w:shd w:val="clear" w:color="auto" w:fill="FFFFFF"/>
          <w:lang w:eastAsia="zh-CN"/>
        </w:rPr>
        <w:t>人员经费、公用经费减少</w:t>
      </w:r>
      <w:r>
        <w:rPr>
          <w:rFonts w:ascii="方正仿宋_GBK" w:hAnsi="方正仿宋_GBK" w:eastAsia="方正仿宋_GBK" w:cs="方正仿宋_GBK"/>
          <w:sz w:val="32"/>
          <w:szCs w:val="32"/>
          <w:shd w:val="clear" w:color="auto" w:fill="FFFFFF"/>
        </w:rPr>
        <w:t>。</w:t>
      </w:r>
    </w:p>
    <w:p>
      <w:pPr>
        <w:pStyle w:val="9"/>
        <w:numPr>
          <w:ilvl w:val="0"/>
          <w:numId w:val="0"/>
        </w:numPr>
        <w:snapToGrid w:val="0"/>
        <w:spacing w:before="0" w:beforeAutospacing="0" w:after="0" w:afterAutospacing="0" w:line="600" w:lineRule="exact"/>
        <w:jc w:val="both"/>
        <w:rPr>
          <w:rFonts w:hint="default"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val="en-US" w:eastAsia="zh-CN"/>
        </w:rPr>
        <w:t xml:space="preserve">    </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）社会保障与就业支出</w:t>
      </w:r>
      <w:r>
        <w:rPr>
          <w:rFonts w:ascii="方正仿宋_GBK" w:hAnsi="方正仿宋_GBK" w:eastAsia="方正仿宋_GBK" w:cs="方正仿宋_GBK"/>
          <w:sz w:val="32"/>
          <w:szCs w:val="32"/>
        </w:rPr>
        <w:t>3.83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12.18</w:t>
      </w:r>
      <w:r>
        <w:rPr>
          <w:rFonts w:ascii="方正仿宋_GBK" w:hAnsi="方正仿宋_GBK" w:eastAsia="方正仿宋_GBK" w:cs="方正仿宋_GBK"/>
          <w:sz w:val="32"/>
          <w:szCs w:val="32"/>
          <w:shd w:val="clear" w:color="auto" w:fill="FFFFFF"/>
        </w:rPr>
        <w:t>%，较年初预算数增加0.06万元，增长1.59%，主要原因是</w:t>
      </w:r>
      <w:r>
        <w:rPr>
          <w:rFonts w:hint="eastAsia" w:ascii="方正仿宋_GBK" w:hAnsi="方正仿宋_GBK" w:eastAsia="方正仿宋_GBK" w:cs="方正仿宋_GBK"/>
          <w:sz w:val="32"/>
          <w:szCs w:val="32"/>
          <w:shd w:val="clear" w:color="auto" w:fill="FFFFFF"/>
        </w:rPr>
        <w:t>本年度对事业人员2022-2023年度养老保险、职业年金基础调整差额进行了补缴</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养老保险、职业年金等支出</w:t>
      </w:r>
      <w:r>
        <w:rPr>
          <w:rFonts w:hint="eastAsia" w:ascii="方正仿宋_GBK" w:hAnsi="方正仿宋_GBK" w:eastAsia="方正仿宋_GBK" w:cs="方正仿宋_GBK"/>
          <w:sz w:val="32"/>
          <w:szCs w:val="32"/>
          <w:shd w:val="clear" w:color="auto" w:fill="FFFFFF"/>
          <w:lang w:eastAsia="zh-CN"/>
        </w:rPr>
        <w:t>增加</w:t>
      </w:r>
      <w:r>
        <w:rPr>
          <w:rFonts w:ascii="方正仿宋_GBK" w:hAnsi="方正仿宋_GBK" w:eastAsia="方正仿宋_GBK" w:cs="方正仿宋_GBK"/>
          <w:sz w:val="32"/>
          <w:szCs w:val="32"/>
          <w:shd w:val="clear" w:color="auto" w:fill="FFFFFF"/>
        </w:rPr>
        <w:t>。</w:t>
      </w:r>
    </w:p>
    <w:p>
      <w:pPr>
        <w:pStyle w:val="9"/>
        <w:widowControl/>
        <w:wordWrap/>
        <w:adjustRightInd/>
        <w:snapToGrid w:val="0"/>
        <w:spacing w:before="0" w:beforeAutospacing="0" w:after="0" w:afterAutospacing="0" w:line="594" w:lineRule="exact"/>
        <w:ind w:left="0" w:leftChars="0" w:right="0" w:firstLine="640" w:firstLineChars="200"/>
        <w:jc w:val="both"/>
        <w:textAlignment w:val="auto"/>
        <w:outlineLvl w:val="9"/>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）卫生健康支出</w:t>
      </w:r>
      <w:r>
        <w:rPr>
          <w:rFonts w:ascii="方正仿宋_GBK" w:hAnsi="方正仿宋_GBK" w:eastAsia="方正仿宋_GBK" w:cs="方正仿宋_GBK"/>
          <w:sz w:val="32"/>
          <w:szCs w:val="32"/>
        </w:rPr>
        <w:t>1.10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3.49</w:t>
      </w:r>
      <w:r>
        <w:rPr>
          <w:rFonts w:ascii="方正仿宋_GBK" w:hAnsi="方正仿宋_GBK" w:eastAsia="方正仿宋_GBK" w:cs="方正仿宋_GBK"/>
          <w:sz w:val="32"/>
          <w:szCs w:val="32"/>
          <w:shd w:val="clear" w:color="auto" w:fill="FFFFFF"/>
        </w:rPr>
        <w:t>%，较年初预算数减少0.47万元，下降29.94%，主要原因是医疗保险支出减少。</w:t>
      </w:r>
    </w:p>
    <w:p>
      <w:pPr>
        <w:widowControl/>
        <w:wordWrap/>
        <w:adjustRightInd/>
        <w:spacing w:beforeAutospacing="0" w:afterAutospacing="0" w:line="594" w:lineRule="exact"/>
        <w:ind w:left="0" w:leftChars="0" w:right="0" w:firstLine="640" w:firstLineChars="200"/>
        <w:textAlignment w:val="auto"/>
        <w:outlineLvl w:val="9"/>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住房保障支出3.10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9.88</w:t>
      </w:r>
      <w:r>
        <w:rPr>
          <w:rFonts w:ascii="方正仿宋_GBK" w:hAnsi="方正仿宋_GBK" w:eastAsia="方正仿宋_GBK" w:cs="方正仿宋_GBK"/>
          <w:sz w:val="32"/>
          <w:szCs w:val="32"/>
          <w:shd w:val="clear" w:color="auto" w:fill="FFFFFF"/>
        </w:rPr>
        <w:t>%，较年初预算数增加1.22万元，增长64.89%，主要原因是</w:t>
      </w:r>
      <w:r>
        <w:rPr>
          <w:rFonts w:hint="eastAsia" w:ascii="方正仿宋_GBK" w:hAnsi="方正仿宋_GBK" w:eastAsia="方正仿宋_GBK" w:cs="方正仿宋_GBK"/>
          <w:sz w:val="32"/>
          <w:szCs w:val="32"/>
          <w:shd w:val="clear" w:color="auto" w:fill="FFFFFF"/>
          <w:lang w:eastAsia="zh-CN"/>
        </w:rPr>
        <w:t>住房公积金支出增加</w:t>
      </w:r>
      <w:r>
        <w:rPr>
          <w:rFonts w:ascii="方正仿宋_GBK" w:hAnsi="方正仿宋_GBK" w:eastAsia="方正仿宋_GBK" w:cs="方正仿宋_GBK"/>
          <w:sz w:val="32"/>
          <w:szCs w:val="32"/>
          <w:shd w:val="clear" w:color="auto" w:fill="FFFFFF"/>
        </w:rPr>
        <w:t>。</w:t>
      </w:r>
    </w:p>
    <w:p>
      <w:pPr>
        <w:pStyle w:val="9"/>
        <w:widowControl/>
        <w:shd w:val="clear" w:color="auto" w:fill="FFFFFF"/>
        <w:wordWrap/>
        <w:adjustRightInd/>
        <w:spacing w:before="0" w:beforeAutospacing="0" w:after="0" w:afterAutospacing="0" w:line="594" w:lineRule="exact"/>
        <w:ind w:left="0" w:leftChars="0" w:right="0" w:firstLine="420"/>
        <w:textAlignment w:val="auto"/>
        <w:outlineLvl w:val="9"/>
        <w:rPr>
          <w:rStyle w:val="13"/>
          <w:rFonts w:hint="eastAsia" w:ascii="方正楷体_GBK" w:hAnsi="方正楷体_GBK" w:eastAsia="方正楷体_GBK" w:cs="方正楷体_GBK"/>
          <w:b w:val="0"/>
          <w:bCs/>
          <w:sz w:val="32"/>
          <w:szCs w:val="32"/>
          <w:shd w:val="clear" w:color="auto" w:fill="FFFFFF"/>
        </w:rPr>
      </w:pPr>
      <w:r>
        <w:rPr>
          <w:rStyle w:val="13"/>
          <w:rFonts w:hint="eastAsia" w:ascii="方正楷体_GBK" w:hAnsi="方正楷体_GBK" w:eastAsia="方正楷体_GBK" w:cs="方正楷体_GBK"/>
          <w:b w:val="0"/>
          <w:bCs/>
          <w:sz w:val="32"/>
          <w:szCs w:val="32"/>
          <w:shd w:val="clear" w:color="auto" w:fill="FFFFFF"/>
        </w:rPr>
        <w:t>（四）一般公共预算财政拨款基本支出决算情况说明</w:t>
      </w:r>
    </w:p>
    <w:p>
      <w:pPr>
        <w:pStyle w:val="9"/>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度一般公共财政拨款基本支出</w:t>
      </w:r>
      <w:r>
        <w:rPr>
          <w:rFonts w:ascii="方正仿宋_GBK" w:hAnsi="方正仿宋_GBK" w:eastAsia="方正仿宋_GBK" w:cs="方正仿宋_GBK"/>
          <w:sz w:val="32"/>
          <w:szCs w:val="32"/>
        </w:rPr>
        <w:t>31.41</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31.09</w:t>
      </w:r>
      <w:r>
        <w:rPr>
          <w:rFonts w:ascii="方正仿宋_GBK" w:hAnsi="方正仿宋_GBK" w:eastAsia="方正仿宋_GBK" w:cs="方正仿宋_GBK"/>
          <w:sz w:val="32"/>
          <w:szCs w:val="32"/>
          <w:shd w:val="clear" w:color="auto" w:fill="FFFFFF"/>
        </w:rPr>
        <w:t>万元，与2023年度相比，增加31.09万元，增长100.00%，主要原因是本单位为新增单位,上年度无数据。人员经费用途主要包括基本工资、津贴补贴、基础绩效、超额绩效、社会保障缴费等。公用经费</w:t>
      </w:r>
      <w:r>
        <w:rPr>
          <w:rFonts w:ascii="方正仿宋_GBK" w:hAnsi="方正仿宋_GBK" w:eastAsia="方正仿宋_GBK" w:cs="方正仿宋_GBK"/>
          <w:sz w:val="32"/>
          <w:szCs w:val="32"/>
        </w:rPr>
        <w:t>0.32</w:t>
      </w:r>
      <w:r>
        <w:rPr>
          <w:rFonts w:ascii="方正仿宋_GBK" w:hAnsi="方正仿宋_GBK" w:eastAsia="方正仿宋_GBK" w:cs="方正仿宋_GBK"/>
          <w:sz w:val="32"/>
          <w:szCs w:val="32"/>
          <w:shd w:val="clear" w:color="auto" w:fill="FFFFFF"/>
        </w:rPr>
        <w:t>万元，与2023年度相比，增加0.32万元，增长100.00%，主要原因是本单位为新增单位,上年度无数据。公用经费用途主要包括办公费、印刷费、委托业务费</w:t>
      </w:r>
      <w:r>
        <w:rPr>
          <w:rFonts w:ascii="方正仿宋_GBK" w:eastAsia="方正仿宋_GBK" w:cs="宋体"/>
          <w:sz w:val="32"/>
          <w:szCs w:val="32"/>
          <w:shd w:val="clear" w:color="auto" w:fill="FFFFFF"/>
        </w:rPr>
        <w:t>、差旅费等。</w:t>
      </w:r>
    </w:p>
    <w:p>
      <w:pPr>
        <w:pStyle w:val="9"/>
        <w:widowControl/>
        <w:shd w:val="clear" w:color="auto" w:fill="FFFFFF"/>
        <w:wordWrap/>
        <w:adjustRightInd/>
        <w:spacing w:before="0" w:beforeAutospacing="0" w:after="0" w:afterAutospacing="0" w:line="594" w:lineRule="exact"/>
        <w:ind w:left="0" w:leftChars="0" w:right="0" w:firstLine="420"/>
        <w:textAlignment w:val="auto"/>
        <w:outlineLvl w:val="9"/>
        <w:rPr>
          <w:rStyle w:val="13"/>
          <w:rFonts w:hint="eastAsia" w:ascii="方正楷体_GBK" w:hAnsi="方正楷体_GBK" w:eastAsia="方正楷体_GBK" w:cs="方正楷体_GBK"/>
          <w:b w:val="0"/>
          <w:bCs/>
          <w:sz w:val="32"/>
          <w:szCs w:val="32"/>
          <w:shd w:val="clear" w:color="auto" w:fill="FFFFFF"/>
        </w:rPr>
      </w:pPr>
      <w:r>
        <w:rPr>
          <w:rStyle w:val="13"/>
          <w:rFonts w:hint="eastAsia" w:ascii="方正楷体_GBK" w:hAnsi="方正楷体_GBK" w:eastAsia="方正楷体_GBK" w:cs="方正楷体_GBK"/>
          <w:b w:val="0"/>
          <w:bCs/>
          <w:sz w:val="32"/>
          <w:szCs w:val="32"/>
          <w:shd w:val="clear" w:color="auto" w:fill="FFFFFF"/>
        </w:rPr>
        <w:t>（五）政府性基金预算收支决算情况说明</w:t>
      </w:r>
    </w:p>
    <w:p>
      <w:pPr>
        <w:pStyle w:val="9"/>
        <w:widowControl/>
        <w:wordWrap/>
        <w:adjustRightInd/>
        <w:snapToGrid w:val="0"/>
        <w:spacing w:before="0" w:beforeAutospacing="0" w:after="0" w:afterAutospacing="0" w:line="594" w:lineRule="exact"/>
        <w:ind w:left="0" w:leftChars="0" w:right="0" w:firstLine="640" w:firstLineChars="200"/>
        <w:jc w:val="both"/>
        <w:textAlignment w:val="auto"/>
        <w:outlineLvl w:val="9"/>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ascii="Times New Roman" w:hAnsi="Times New Roman" w:eastAsia="方正仿宋_GBK"/>
          <w:color w:val="000000" w:themeColor="text1"/>
          <w:sz w:val="32"/>
          <w:szCs w:val="32"/>
          <w:shd w:val="clear" w:color="auto" w:fill="FFFFFF"/>
        </w:rPr>
        <w:t>本年度无政府性基金预算财政拨款收入。</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ascii="Times New Roman" w:hAnsi="Times New Roman" w:eastAsia="方正仿宋_GBK"/>
          <w:color w:val="000000" w:themeColor="text1"/>
          <w:sz w:val="32"/>
          <w:szCs w:val="32"/>
          <w:shd w:val="clear" w:color="auto" w:fill="FFFFFF"/>
        </w:rPr>
        <w:t>本年度无政府性基金预算财政拨款支出。本单位2024年度无政府性基金预算财政拨款收支。</w:t>
      </w:r>
    </w:p>
    <w:p>
      <w:pPr>
        <w:pStyle w:val="9"/>
        <w:widowControl/>
        <w:shd w:val="clear" w:color="auto" w:fill="FFFFFF"/>
        <w:wordWrap/>
        <w:adjustRightInd/>
        <w:spacing w:before="0" w:beforeAutospacing="0" w:after="0" w:afterAutospacing="0" w:line="594" w:lineRule="exact"/>
        <w:ind w:left="0" w:leftChars="0" w:right="0" w:firstLine="420"/>
        <w:textAlignment w:val="auto"/>
        <w:outlineLvl w:val="9"/>
        <w:rPr>
          <w:rStyle w:val="13"/>
          <w:rFonts w:hint="eastAsia" w:ascii="方正楷体_GBK" w:hAnsi="方正楷体_GBK" w:eastAsia="方正楷体_GBK" w:cs="方正楷体_GBK"/>
          <w:b w:val="0"/>
          <w:bCs/>
          <w:sz w:val="32"/>
          <w:szCs w:val="32"/>
          <w:shd w:val="clear" w:color="auto" w:fill="FFFFFF"/>
        </w:rPr>
      </w:pPr>
      <w:r>
        <w:rPr>
          <w:rStyle w:val="13"/>
          <w:rFonts w:hint="eastAsia" w:ascii="方正楷体_GBK" w:hAnsi="方正楷体_GBK" w:eastAsia="方正楷体_GBK" w:cs="方正楷体_GBK"/>
          <w:b w:val="0"/>
          <w:bCs/>
          <w:sz w:val="32"/>
          <w:szCs w:val="32"/>
          <w:shd w:val="clear" w:color="auto" w:fill="FFFFFF"/>
        </w:rPr>
        <w:t>（六）国有资本经营预算财政拨款支出决算情况说明</w:t>
      </w:r>
    </w:p>
    <w:p>
      <w:pPr>
        <w:pStyle w:val="9"/>
        <w:widowControl/>
        <w:wordWrap/>
        <w:adjustRightInd/>
        <w:snapToGrid w:val="0"/>
        <w:spacing w:before="0" w:beforeAutospacing="0" w:after="0" w:afterAutospacing="0" w:line="594" w:lineRule="exact"/>
        <w:ind w:left="0" w:leftChars="0" w:right="0" w:firstLine="640" w:firstLineChars="200"/>
        <w:jc w:val="both"/>
        <w:textAlignment w:val="auto"/>
        <w:outlineLvl w:val="9"/>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2024年度国有资本经营预算财政拨本年支出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万元，基本支出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万元。本单位202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年度无国有资本经营预算财政拨款支出。</w:t>
      </w:r>
    </w:p>
    <w:p>
      <w:pPr>
        <w:pStyle w:val="9"/>
        <w:widowControl/>
        <w:shd w:val="clear" w:color="auto" w:fill="FFFFFF"/>
        <w:wordWrap/>
        <w:adjustRightInd/>
        <w:snapToGrid/>
        <w:spacing w:before="0" w:beforeAutospacing="0" w:after="0" w:afterAutospacing="0" w:line="594" w:lineRule="exact"/>
        <w:ind w:left="0" w:leftChars="0" w:right="0" w:firstLine="643" w:firstLineChars="200"/>
        <w:textAlignment w:val="auto"/>
        <w:outlineLvl w:val="9"/>
        <w:rPr>
          <w:rStyle w:val="13"/>
          <w:rFonts w:hint="default" w:ascii="方正黑体_GBK" w:hAnsi="方正黑体_GBK" w:eastAsia="方正黑体_GBK" w:cs="方正黑体_GBK"/>
          <w:b w:val="0"/>
          <w:bCs/>
          <w:sz w:val="32"/>
          <w:szCs w:val="32"/>
          <w:shd w:val="clear" w:color="auto" w:fill="FFFFFF"/>
        </w:rPr>
      </w:pPr>
      <w:r>
        <w:rPr>
          <w:rStyle w:val="13"/>
          <w:rFonts w:ascii="黑体" w:hAnsi="黑体" w:eastAsia="黑体" w:cs="黑体"/>
          <w:sz w:val="32"/>
          <w:szCs w:val="32"/>
          <w:shd w:val="clear" w:color="auto" w:fill="FFFFFF"/>
        </w:rPr>
        <w:t>三、</w:t>
      </w:r>
      <w:r>
        <w:rPr>
          <w:rStyle w:val="13"/>
          <w:rFonts w:hint="eastAsia" w:ascii="黑体" w:hAnsi="黑体" w:eastAsia="黑体" w:cs="黑体"/>
          <w:sz w:val="32"/>
          <w:szCs w:val="32"/>
          <w:shd w:val="clear" w:color="auto" w:fill="FFFFFF"/>
          <w:lang w:eastAsia="zh-CN"/>
        </w:rPr>
        <w:t>财政拨款</w:t>
      </w:r>
      <w:r>
        <w:rPr>
          <w:rStyle w:val="13"/>
          <w:rFonts w:ascii="黑体" w:hAnsi="黑体" w:eastAsia="黑体" w:cs="黑体"/>
          <w:sz w:val="32"/>
          <w:szCs w:val="32"/>
          <w:shd w:val="clear" w:color="auto" w:fill="FFFFFF"/>
        </w:rPr>
        <w:t>“三公”经费情况说明</w:t>
      </w:r>
    </w:p>
    <w:p>
      <w:pPr>
        <w:pStyle w:val="9"/>
        <w:widowControl/>
        <w:shd w:val="clear" w:color="auto" w:fill="FFFFFF"/>
        <w:wordWrap/>
        <w:adjustRightInd/>
        <w:spacing w:before="0" w:beforeAutospacing="0" w:after="0" w:afterAutospacing="0" w:line="594" w:lineRule="exact"/>
        <w:ind w:left="0" w:leftChars="0" w:right="0" w:firstLine="420"/>
        <w:textAlignment w:val="auto"/>
        <w:outlineLvl w:val="9"/>
        <w:rPr>
          <w:rStyle w:val="13"/>
          <w:rFonts w:hint="eastAsia" w:ascii="方正楷体_GBK" w:hAnsi="方正楷体_GBK" w:eastAsia="方正楷体_GBK" w:cs="方正楷体_GBK"/>
          <w:b w:val="0"/>
          <w:bCs/>
          <w:sz w:val="32"/>
          <w:szCs w:val="32"/>
          <w:shd w:val="clear" w:color="auto" w:fill="FFFFFF"/>
        </w:rPr>
      </w:pPr>
      <w:r>
        <w:rPr>
          <w:rStyle w:val="13"/>
          <w:rFonts w:hint="eastAsia" w:ascii="方正楷体_GBK" w:hAnsi="方正楷体_GBK" w:eastAsia="方正楷体_GBK" w:cs="方正楷体_GBK"/>
          <w:b w:val="0"/>
          <w:bCs/>
          <w:sz w:val="32"/>
          <w:szCs w:val="32"/>
          <w:shd w:val="clear" w:color="auto" w:fill="FFFFFF"/>
        </w:rPr>
        <w:t xml:space="preserve"> （一）“三公”经费支出总体情况说明</w:t>
      </w:r>
    </w:p>
    <w:p>
      <w:pPr>
        <w:ind w:firstLine="640" w:firstLineChars="200"/>
        <w:rPr>
          <w:rFonts w:hint="default"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度“三公”经费支出共计</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万元，较年初预算数无增减，主要原因是我单位202</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年未发生“三公”经费支出。较上年支出数无增减，主要原因是</w:t>
      </w:r>
      <w:r>
        <w:rPr>
          <w:rFonts w:hint="eastAsia" w:ascii="方正仿宋_GBK" w:hAnsi="方正仿宋_GBK" w:eastAsia="方正仿宋_GBK" w:cs="方正仿宋_GBK"/>
          <w:sz w:val="32"/>
          <w:szCs w:val="32"/>
          <w:shd w:val="clear" w:color="auto" w:fill="FFFFFF"/>
          <w:lang w:val="en-US" w:eastAsia="zh-CN" w:bidi="ar-SA"/>
        </w:rPr>
        <w:t>本单位为新增单位,上年度无数据。</w:t>
      </w:r>
    </w:p>
    <w:p>
      <w:pPr>
        <w:pStyle w:val="9"/>
        <w:widowControl/>
        <w:shd w:val="clear" w:color="auto" w:fill="FFFFFF"/>
        <w:wordWrap/>
        <w:adjustRightInd/>
        <w:spacing w:before="0" w:beforeAutospacing="0" w:after="0" w:afterAutospacing="0" w:line="594" w:lineRule="exact"/>
        <w:ind w:left="0" w:leftChars="0" w:right="0" w:firstLine="420"/>
        <w:textAlignment w:val="auto"/>
        <w:outlineLvl w:val="9"/>
        <w:rPr>
          <w:rStyle w:val="13"/>
          <w:rFonts w:hint="eastAsia" w:ascii="方正楷体_GBK" w:hAnsi="方正楷体_GBK" w:eastAsia="方正楷体_GBK" w:cs="方正楷体_GBK"/>
          <w:b w:val="0"/>
          <w:bCs/>
          <w:sz w:val="32"/>
          <w:szCs w:val="32"/>
          <w:shd w:val="clear" w:color="auto" w:fill="FFFFFF"/>
        </w:rPr>
      </w:pPr>
      <w:r>
        <w:rPr>
          <w:rStyle w:val="13"/>
          <w:rFonts w:hint="eastAsia" w:ascii="方正楷体_GBK" w:hAnsi="方正楷体_GBK" w:eastAsia="方正楷体_GBK" w:cs="方正楷体_GBK"/>
          <w:b w:val="0"/>
          <w:bCs/>
          <w:sz w:val="32"/>
          <w:szCs w:val="32"/>
          <w:shd w:val="clear" w:color="auto" w:fill="FFFFFF"/>
        </w:rPr>
        <w:t>（二）“三公”经费分项支出情况</w:t>
      </w:r>
    </w:p>
    <w:p>
      <w:pPr>
        <w:ind w:firstLine="640" w:firstLineChars="200"/>
        <w:rPr>
          <w:rFonts w:hint="default"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w:t>
      </w:r>
      <w:r>
        <w:rPr>
          <w:rFonts w:hint="eastAsia" w:ascii="方正仿宋_GBK" w:hAnsi="方正仿宋_GBK" w:eastAsia="方正仿宋_GBK" w:cs="方正仿宋_GBK"/>
          <w:sz w:val="32"/>
          <w:szCs w:val="32"/>
          <w:shd w:val="clear" w:color="auto" w:fill="FFFFFF"/>
          <w:lang w:eastAsia="zh-CN"/>
        </w:rPr>
        <w:t>本单位</w:t>
      </w:r>
      <w:r>
        <w:rPr>
          <w:rFonts w:ascii="方正仿宋_GBK" w:hAnsi="方正仿宋_GBK" w:eastAsia="方正仿宋_GBK" w:cs="方正仿宋_GBK"/>
          <w:sz w:val="32"/>
          <w:szCs w:val="32"/>
          <w:shd w:val="clear" w:color="auto" w:fill="FFFFFF"/>
        </w:rPr>
        <w:t>因公出国（境）费用</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万元。费用支出较年初预算数无增减，主要原因是年初预算未安排因公出国（境）费用，也未发生因公出国（境）费用。与2023年度相比，无增减，主要原因</w:t>
      </w:r>
      <w:r>
        <w:rPr>
          <w:rFonts w:hint="eastAsia" w:ascii="方正仿宋_GBK" w:hAnsi="方正仿宋_GBK" w:eastAsia="方正仿宋_GBK" w:cs="方正仿宋_GBK"/>
          <w:sz w:val="32"/>
          <w:szCs w:val="32"/>
          <w:shd w:val="clear" w:color="auto" w:fill="FFFFFF"/>
          <w:lang w:val="en-US" w:eastAsia="zh-CN" w:bidi="ar-SA"/>
        </w:rPr>
        <w:t>是本单位为新增单位，上年度无数据。</w:t>
      </w:r>
    </w:p>
    <w:p>
      <w:pPr>
        <w:pStyle w:val="9"/>
        <w:widowControl/>
        <w:wordWrap/>
        <w:adjustRightInd/>
        <w:snapToGrid w:val="0"/>
        <w:spacing w:before="0" w:beforeAutospacing="0" w:after="0" w:afterAutospacing="0" w:line="594" w:lineRule="exact"/>
        <w:ind w:left="0" w:leftChars="0" w:right="0" w:firstLine="640" w:firstLineChars="200"/>
        <w:jc w:val="both"/>
        <w:textAlignment w:val="auto"/>
        <w:outlineLvl w:val="9"/>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公务车购置费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万元。费用支出较年初预算数无增减，主要原因是年初预算未安排且本年未发生公务车购置费用。与2023年度相比，无增减，主要原因是本单位为新增单位,上年度无数据。</w:t>
      </w:r>
    </w:p>
    <w:p>
      <w:pPr>
        <w:pStyle w:val="9"/>
        <w:widowControl/>
        <w:wordWrap/>
        <w:adjustRightInd/>
        <w:snapToGrid w:val="0"/>
        <w:spacing w:before="0" w:beforeAutospacing="0" w:after="0" w:afterAutospacing="0" w:line="594" w:lineRule="exact"/>
        <w:ind w:left="0" w:leftChars="0" w:right="0" w:firstLine="640" w:firstLineChars="200"/>
        <w:jc w:val="both"/>
        <w:textAlignment w:val="auto"/>
        <w:outlineLvl w:val="9"/>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公务车运行维护费0.00万元</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费用支出较年初预算数无增减，主要原因是年初预算数未安排且本年未发生公务车运行维护费用。与2023年度相比，无增减，主要原因是本单位为新增单位,上年度无数据。</w:t>
      </w:r>
    </w:p>
    <w:p>
      <w:pPr>
        <w:pStyle w:val="9"/>
        <w:widowControl/>
        <w:wordWrap/>
        <w:adjustRightInd/>
        <w:snapToGrid w:val="0"/>
        <w:spacing w:before="0" w:beforeAutospacing="0" w:after="0" w:afterAutospacing="0" w:line="594" w:lineRule="exact"/>
        <w:ind w:left="0" w:leftChars="0" w:right="0" w:firstLine="640" w:firstLineChars="200"/>
        <w:jc w:val="both"/>
        <w:textAlignment w:val="auto"/>
        <w:outlineLvl w:val="9"/>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公务接待费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w:t>
      </w:r>
      <w:r>
        <w:rPr>
          <w:rFonts w:ascii="方正仿宋_GBK" w:eastAsia="方正仿宋_GBK"/>
          <w:sz w:val="32"/>
          <w:szCs w:val="32"/>
        </w:rPr>
        <w:t>主要原因是年初预算数未安排且本年未发生公务接待费用</w:t>
      </w:r>
      <w:r>
        <w:rPr>
          <w:rFonts w:ascii="方正仿宋_GBK" w:hAnsi="方正仿宋_GBK" w:eastAsia="方正仿宋_GBK" w:cs="方正仿宋_GBK"/>
          <w:sz w:val="32"/>
          <w:szCs w:val="32"/>
          <w:shd w:val="clear" w:color="auto" w:fill="FFFFFF"/>
        </w:rPr>
        <w:t>。较上年支出数无增减，主要原因是本单位为新增单位,上年度无数据。</w:t>
      </w:r>
    </w:p>
    <w:p>
      <w:pPr>
        <w:pStyle w:val="9"/>
        <w:widowControl/>
        <w:shd w:val="clear" w:color="auto" w:fill="FFFFFF"/>
        <w:wordWrap/>
        <w:adjustRightInd/>
        <w:spacing w:before="0" w:beforeAutospacing="0" w:after="0" w:afterAutospacing="0" w:line="594" w:lineRule="exact"/>
        <w:ind w:left="0" w:leftChars="0" w:right="0" w:firstLine="420"/>
        <w:textAlignment w:val="auto"/>
        <w:outlineLvl w:val="9"/>
        <w:rPr>
          <w:rStyle w:val="13"/>
          <w:rFonts w:hint="eastAsia" w:ascii="方正楷体_GBK" w:hAnsi="方正楷体_GBK" w:eastAsia="方正楷体_GBK" w:cs="方正楷体_GBK"/>
          <w:b w:val="0"/>
          <w:bCs/>
          <w:sz w:val="32"/>
          <w:szCs w:val="32"/>
          <w:shd w:val="clear" w:color="auto" w:fill="FFFFFF"/>
        </w:rPr>
      </w:pPr>
      <w:r>
        <w:rPr>
          <w:rStyle w:val="13"/>
          <w:rFonts w:hint="eastAsia" w:ascii="方正楷体_GBK" w:hAnsi="方正楷体_GBK" w:eastAsia="方正楷体_GBK" w:cs="方正楷体_GBK"/>
          <w:b w:val="0"/>
          <w:bCs/>
          <w:sz w:val="32"/>
          <w:szCs w:val="32"/>
          <w:shd w:val="clear" w:color="auto" w:fill="FFFFFF"/>
        </w:rPr>
        <w:t>（三）“三公”经费实物量情况</w:t>
      </w:r>
    </w:p>
    <w:p>
      <w:pPr>
        <w:pStyle w:val="9"/>
        <w:widowControl/>
        <w:wordWrap/>
        <w:adjustRightInd/>
        <w:snapToGrid w:val="0"/>
        <w:spacing w:before="0" w:beforeAutospacing="0" w:after="0" w:afterAutospacing="0" w:line="594" w:lineRule="exact"/>
        <w:ind w:left="0" w:leftChars="0" w:right="0" w:firstLine="640" w:firstLineChars="200"/>
        <w:jc w:val="both"/>
        <w:textAlignment w:val="auto"/>
        <w:outlineLvl w:val="9"/>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xml:space="preserve">  </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w:t>
      </w:r>
      <w:r>
        <w:rPr>
          <w:rFonts w:hint="eastAsia" w:ascii="方正仿宋_GBK" w:hAnsi="方正仿宋_GBK" w:eastAsia="方正仿宋_GBK" w:cs="方正仿宋_GBK"/>
          <w:sz w:val="32"/>
          <w:szCs w:val="32"/>
          <w:shd w:val="clear" w:color="auto" w:fill="FFFFFF"/>
          <w:lang w:eastAsia="zh-CN"/>
        </w:rPr>
        <w:t>本单位</w:t>
      </w:r>
      <w:r>
        <w:rPr>
          <w:rFonts w:ascii="方正仿宋_GBK" w:hAnsi="方正仿宋_GBK" w:eastAsia="方正仿宋_GBK" w:cs="方正仿宋_GBK"/>
          <w:sz w:val="32"/>
          <w:szCs w:val="32"/>
          <w:shd w:val="clear" w:color="auto" w:fill="FFFFFF"/>
        </w:rPr>
        <w:t>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w:t>
      </w:r>
      <w:r>
        <w:rPr>
          <w:rFonts w:hint="eastAsia" w:ascii="方正仿宋_GBK" w:hAnsi="方正仿宋_GBK" w:eastAsia="方正仿宋_GBK" w:cs="方正仿宋_GBK"/>
          <w:sz w:val="32"/>
          <w:szCs w:val="32"/>
          <w:shd w:val="clear" w:color="auto" w:fill="FFFFFF"/>
          <w:lang w:eastAsia="zh-CN"/>
        </w:rPr>
        <w:t>2024年本单位</w:t>
      </w:r>
      <w:r>
        <w:rPr>
          <w:rFonts w:ascii="方正仿宋_GBK" w:hAnsi="方正仿宋_GBK" w:eastAsia="方正仿宋_GBK" w:cs="方正仿宋_GBK"/>
          <w:sz w:val="32"/>
          <w:szCs w:val="32"/>
          <w:shd w:val="clear" w:color="auto" w:fill="FFFFFF"/>
        </w:rPr>
        <w:t>人均接待费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w:t>
      </w:r>
    </w:p>
    <w:p>
      <w:pPr>
        <w:pStyle w:val="9"/>
        <w:widowControl/>
        <w:shd w:val="clear" w:color="auto" w:fill="FFFFFF"/>
        <w:wordWrap/>
        <w:adjustRightInd/>
        <w:snapToGrid/>
        <w:spacing w:before="0" w:beforeAutospacing="0" w:after="0" w:afterAutospacing="0" w:line="594" w:lineRule="exact"/>
        <w:ind w:left="0" w:leftChars="0" w:right="0" w:firstLine="640" w:firstLineChars="200"/>
        <w:textAlignment w:val="auto"/>
        <w:outlineLvl w:val="9"/>
        <w:rPr>
          <w:rStyle w:val="13"/>
          <w:rFonts w:hint="default" w:ascii="方正黑体_GBK" w:hAnsi="方正黑体_GBK" w:eastAsia="方正黑体_GBK" w:cs="方正黑体_GBK"/>
          <w:b w:val="0"/>
          <w:bCs/>
          <w:sz w:val="32"/>
          <w:szCs w:val="32"/>
          <w:shd w:val="clear" w:color="auto" w:fill="FFFFFF"/>
        </w:rPr>
      </w:pPr>
      <w:r>
        <w:rPr>
          <w:rStyle w:val="13"/>
          <w:rFonts w:hint="eastAsia" w:ascii="方正黑体_GBK" w:hAnsi="方正黑体_GBK" w:eastAsia="方正黑体_GBK" w:cs="方正黑体_GBK"/>
          <w:b w:val="0"/>
          <w:bCs/>
          <w:sz w:val="32"/>
          <w:szCs w:val="32"/>
          <w:shd w:val="clear" w:color="auto" w:fill="FFFFFF"/>
        </w:rPr>
        <w:t>四、其他需要说明的事项</w:t>
      </w:r>
    </w:p>
    <w:p>
      <w:pPr>
        <w:pStyle w:val="14"/>
        <w:widowControl/>
        <w:wordWrap/>
        <w:autoSpaceDE w:val="0"/>
        <w:adjustRightInd/>
        <w:spacing w:beforeAutospacing="0" w:afterAutospacing="0" w:line="594" w:lineRule="exact"/>
        <w:ind w:left="0" w:leftChars="0" w:right="0" w:firstLine="643"/>
        <w:textAlignment w:val="auto"/>
        <w:outlineLvl w:val="9"/>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w:t>
      </w:r>
      <w:r>
        <w:rPr>
          <w:rStyle w:val="13"/>
          <w:rFonts w:hint="eastAsia" w:ascii="方正楷体_GBK" w:hAnsi="方正楷体_GBK" w:eastAsia="方正楷体_GBK" w:cs="方正楷体_GBK"/>
          <w:b w:val="0"/>
          <w:bCs w:val="0"/>
          <w:sz w:val="32"/>
          <w:szCs w:val="32"/>
          <w:shd w:val="clear" w:color="auto" w:fill="FFFFFF"/>
          <w:lang w:val="en-US" w:eastAsia="zh-CN" w:bidi="ar-SA"/>
        </w:rPr>
        <w:t xml:space="preserve"> （一）财政拨款会议费和培训费情况说明</w:t>
      </w:r>
    </w:p>
    <w:p>
      <w:pPr>
        <w:pStyle w:val="9"/>
        <w:widowControl/>
        <w:wordWrap/>
        <w:adjustRightInd/>
        <w:snapToGrid w:val="0"/>
        <w:spacing w:before="0" w:beforeAutospacing="0" w:after="0" w:afterAutospacing="0" w:line="594" w:lineRule="exact"/>
        <w:ind w:left="0" w:leftChars="0" w:right="0" w:firstLine="640" w:firstLineChars="200"/>
        <w:jc w:val="both"/>
        <w:textAlignment w:val="auto"/>
        <w:outlineLvl w:val="9"/>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本年度会议费支出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万元，与2023年度相比，无增减，主要原因是本单位为新增单位</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上年度无数据。本年度培训费支出</w:t>
      </w:r>
      <w:r>
        <w:rPr>
          <w:rFonts w:ascii="方正仿宋_GBK" w:hAnsi="方正仿宋_GBK" w:eastAsia="方正仿宋_GBK" w:cs="方正仿宋_GBK"/>
          <w:sz w:val="32"/>
          <w:szCs w:val="32"/>
        </w:rPr>
        <w:t>0.02</w:t>
      </w:r>
      <w:r>
        <w:rPr>
          <w:rFonts w:ascii="方正仿宋_GBK" w:hAnsi="方正仿宋_GBK" w:eastAsia="方正仿宋_GBK" w:cs="方正仿宋_GBK"/>
          <w:sz w:val="32"/>
          <w:szCs w:val="32"/>
          <w:shd w:val="clear" w:color="auto" w:fill="FFFFFF"/>
        </w:rPr>
        <w:t>万元，与2023年度相比，增加0.02万元，增长100.00%，主要原因是本单位为新增单位,上年度无数据。</w:t>
      </w:r>
    </w:p>
    <w:p>
      <w:pPr>
        <w:pStyle w:val="14"/>
        <w:widowControl/>
        <w:wordWrap/>
        <w:autoSpaceDE w:val="0"/>
        <w:adjustRightInd/>
        <w:spacing w:beforeAutospacing="0" w:afterAutospacing="0" w:line="594" w:lineRule="exact"/>
        <w:ind w:left="0" w:leftChars="0" w:right="0" w:firstLine="643"/>
        <w:textAlignment w:val="auto"/>
        <w:outlineLvl w:val="9"/>
        <w:rPr>
          <w:rStyle w:val="13"/>
          <w:rFonts w:hint="eastAsia" w:ascii="方正楷体_GBK" w:hAnsi="方正楷体_GBK" w:eastAsia="方正楷体_GBK" w:cs="方正楷体_GBK"/>
          <w:b w:val="0"/>
          <w:bCs w:val="0"/>
          <w:sz w:val="32"/>
          <w:szCs w:val="32"/>
          <w:shd w:val="clear" w:color="auto" w:fill="FFFFFF"/>
          <w:lang w:val="en-US" w:eastAsia="zh-CN" w:bidi="ar-SA"/>
        </w:rPr>
      </w:pPr>
      <w:r>
        <w:rPr>
          <w:rStyle w:val="13"/>
          <w:rFonts w:hint="eastAsia" w:ascii="方正楷体_GBK" w:hAnsi="方正楷体_GBK" w:eastAsia="方正楷体_GBK" w:cs="方正楷体_GBK"/>
          <w:b w:val="0"/>
          <w:bCs w:val="0"/>
          <w:sz w:val="32"/>
          <w:szCs w:val="32"/>
          <w:shd w:val="clear" w:color="auto" w:fill="FFFFFF"/>
          <w:lang w:val="en-US" w:eastAsia="zh-CN" w:bidi="ar-SA"/>
        </w:rPr>
        <w:t>（二）机关运行经费情况说明</w:t>
      </w:r>
    </w:p>
    <w:p>
      <w:pPr>
        <w:pStyle w:val="9"/>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FF0000"/>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w:t>
      </w:r>
      <w:r>
        <w:rPr>
          <w:rFonts w:hint="eastAsia" w:ascii="方正仿宋_GBK" w:hAnsi="方正仿宋_GBK" w:eastAsia="方正仿宋_GBK" w:cs="方正仿宋_GBK"/>
          <w:sz w:val="32"/>
          <w:szCs w:val="32"/>
          <w:shd w:val="clear" w:color="auto" w:fill="FFFFFF"/>
          <w:lang w:eastAsia="zh-CN"/>
        </w:rPr>
        <w:t>本单位</w:t>
      </w:r>
      <w:r>
        <w:rPr>
          <w:rFonts w:ascii="方正仿宋_GBK" w:hAnsi="方正仿宋_GBK" w:eastAsia="方正仿宋_GBK" w:cs="方正仿宋_GBK"/>
          <w:sz w:val="32"/>
          <w:szCs w:val="32"/>
          <w:shd w:val="clear" w:color="auto" w:fill="FFFFFF"/>
        </w:rPr>
        <w:t>机关运行经费支出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机关运行经费较上年支出数无增减，</w:t>
      </w:r>
      <w:r>
        <w:rPr>
          <w:rFonts w:ascii="方正仿宋_GBK" w:eastAsia="方正仿宋_GBK"/>
          <w:bCs/>
          <w:sz w:val="32"/>
          <w:szCs w:val="32"/>
        </w:rPr>
        <w:t>主要原因是按照部门决算列报口径，我单位不在机关运行经费统计范围之内。</w:t>
      </w:r>
    </w:p>
    <w:p>
      <w:pPr>
        <w:pStyle w:val="14"/>
        <w:widowControl/>
        <w:wordWrap/>
        <w:autoSpaceDE w:val="0"/>
        <w:adjustRightInd/>
        <w:spacing w:beforeAutospacing="0" w:afterAutospacing="0" w:line="594" w:lineRule="exact"/>
        <w:ind w:left="0" w:leftChars="0" w:right="0" w:firstLine="643"/>
        <w:textAlignment w:val="auto"/>
        <w:outlineLvl w:val="9"/>
        <w:rPr>
          <w:rStyle w:val="13"/>
          <w:rFonts w:hint="eastAsia" w:ascii="方正楷体_GBK" w:hAnsi="方正楷体_GBK" w:eastAsia="方正楷体_GBK" w:cs="方正楷体_GBK"/>
          <w:b w:val="0"/>
          <w:bCs w:val="0"/>
          <w:sz w:val="32"/>
          <w:szCs w:val="32"/>
          <w:shd w:val="clear" w:color="auto" w:fill="FFFFFF"/>
          <w:lang w:val="en-US" w:eastAsia="zh-CN" w:bidi="ar-SA"/>
        </w:rPr>
      </w:pPr>
      <w:r>
        <w:rPr>
          <w:rStyle w:val="13"/>
          <w:rFonts w:hint="eastAsia" w:ascii="方正楷体_GBK" w:hAnsi="方正楷体_GBK" w:eastAsia="方正楷体_GBK" w:cs="方正楷体_GBK"/>
          <w:b w:val="0"/>
          <w:bCs w:val="0"/>
          <w:sz w:val="32"/>
          <w:szCs w:val="32"/>
          <w:shd w:val="clear" w:color="auto" w:fill="FFFFFF"/>
          <w:lang w:val="en-US" w:eastAsia="zh-CN" w:bidi="ar-SA"/>
        </w:rPr>
        <w:t>（三）国有资产占用情况说明</w:t>
      </w:r>
    </w:p>
    <w:p>
      <w:pPr>
        <w:pStyle w:val="9"/>
        <w:widowControl/>
        <w:wordWrap/>
        <w:adjustRightInd/>
        <w:snapToGrid w:val="0"/>
        <w:spacing w:before="0" w:beforeAutospacing="0" w:after="0" w:afterAutospacing="0" w:line="594" w:lineRule="exact"/>
        <w:ind w:left="0" w:leftChars="0" w:right="0" w:firstLine="640" w:firstLineChars="200"/>
        <w:jc w:val="both"/>
        <w:textAlignment w:val="auto"/>
        <w:outlineLvl w:val="9"/>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截至</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12月31日，</w:t>
      </w:r>
      <w:r>
        <w:rPr>
          <w:rFonts w:hint="eastAsia" w:ascii="方正仿宋_GBK" w:hAnsi="方正仿宋_GBK" w:eastAsia="方正仿宋_GBK" w:cs="方正仿宋_GBK"/>
          <w:sz w:val="32"/>
          <w:szCs w:val="32"/>
          <w:shd w:val="clear" w:color="auto" w:fill="FFFFFF"/>
          <w:lang w:eastAsia="zh-CN"/>
        </w:rPr>
        <w:t>本单位</w:t>
      </w:r>
      <w:r>
        <w:rPr>
          <w:rFonts w:ascii="方正仿宋_GBK" w:hAnsi="方正仿宋_GBK" w:eastAsia="方正仿宋_GBK" w:cs="方正仿宋_GBK"/>
          <w:sz w:val="32"/>
          <w:szCs w:val="32"/>
          <w:shd w:val="clear" w:color="auto" w:fill="FFFFFF"/>
        </w:rPr>
        <w:t>共有车辆</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pPr>
        <w:pStyle w:val="14"/>
        <w:widowControl/>
        <w:wordWrap/>
        <w:autoSpaceDE w:val="0"/>
        <w:adjustRightInd/>
        <w:spacing w:beforeAutospacing="0" w:afterAutospacing="0" w:line="594" w:lineRule="exact"/>
        <w:ind w:left="0" w:leftChars="0" w:right="0" w:firstLine="643"/>
        <w:textAlignment w:val="auto"/>
        <w:outlineLvl w:val="9"/>
        <w:rPr>
          <w:rStyle w:val="13"/>
          <w:rFonts w:hint="eastAsia" w:ascii="方正楷体_GBK" w:hAnsi="方正楷体_GBK" w:eastAsia="方正楷体_GBK" w:cs="方正楷体_GBK"/>
          <w:b w:val="0"/>
          <w:bCs w:val="0"/>
          <w:sz w:val="32"/>
          <w:szCs w:val="32"/>
          <w:shd w:val="clear" w:color="auto" w:fill="FFFFFF"/>
          <w:lang w:val="en-US" w:eastAsia="zh-CN" w:bidi="ar-SA"/>
        </w:rPr>
      </w:pPr>
      <w:r>
        <w:rPr>
          <w:rStyle w:val="13"/>
          <w:rFonts w:hint="eastAsia" w:ascii="方正楷体_GBK" w:hAnsi="方正楷体_GBK" w:eastAsia="方正楷体_GBK" w:cs="方正楷体_GBK"/>
          <w:b w:val="0"/>
          <w:bCs w:val="0"/>
          <w:sz w:val="32"/>
          <w:szCs w:val="32"/>
          <w:shd w:val="clear" w:color="auto" w:fill="FFFFFF"/>
          <w:lang w:val="en-US" w:eastAsia="zh-CN" w:bidi="ar-SA"/>
        </w:rPr>
        <w:t>（四）政府采购支出情况说明</w:t>
      </w:r>
    </w:p>
    <w:p>
      <w:pPr>
        <w:pStyle w:val="15"/>
        <w:spacing w:before="0" w:beforeAutospacing="0" w:after="0" w:afterAutospacing="0" w:line="594"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 </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w:t>
      </w:r>
      <w:r>
        <w:rPr>
          <w:rFonts w:hint="eastAsia" w:ascii="方正仿宋_GBK" w:hAnsi="方正仿宋_GBK" w:eastAsia="方正仿宋_GBK" w:cs="方正仿宋_GBK"/>
          <w:sz w:val="32"/>
          <w:szCs w:val="32"/>
          <w:shd w:val="clear" w:color="auto" w:fill="FFFFFF"/>
          <w:lang w:eastAsia="zh-CN"/>
        </w:rPr>
        <w:t>本单位</w:t>
      </w:r>
      <w:r>
        <w:rPr>
          <w:rFonts w:ascii="方正仿宋_GBK" w:hAnsi="方正仿宋_GBK" w:eastAsia="方正仿宋_GBK" w:cs="方正仿宋_GBK"/>
          <w:sz w:val="32"/>
          <w:szCs w:val="32"/>
          <w:shd w:val="clear" w:color="auto" w:fill="FFFFFF"/>
        </w:rPr>
        <w:t>政府采购支出总额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0.00万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 xml:space="preserve"> %。202</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年度我单位未发生政府采购事项，无相关经费支出。</w:t>
      </w:r>
    </w:p>
    <w:p>
      <w:pPr>
        <w:pStyle w:val="9"/>
        <w:widowControl/>
        <w:shd w:val="clear" w:color="auto" w:fill="FFFFFF"/>
        <w:wordWrap/>
        <w:adjustRightInd/>
        <w:snapToGrid/>
        <w:spacing w:before="0" w:beforeAutospacing="0" w:after="0" w:afterAutospacing="0" w:line="594" w:lineRule="exact"/>
        <w:ind w:left="0" w:leftChars="0" w:right="0" w:firstLine="643" w:firstLineChars="200"/>
        <w:textAlignment w:val="auto"/>
        <w:outlineLvl w:val="9"/>
        <w:rPr>
          <w:rStyle w:val="13"/>
          <w:rFonts w:hint="default" w:ascii="方正黑体_GBK" w:hAnsi="方正黑体_GBK" w:eastAsia="方正黑体_GBK" w:cs="方正黑体_GBK"/>
          <w:b w:val="0"/>
          <w:bCs/>
          <w:sz w:val="32"/>
          <w:szCs w:val="32"/>
          <w:shd w:val="clear" w:color="auto" w:fill="FFFFFF"/>
        </w:rPr>
      </w:pPr>
      <w:r>
        <w:rPr>
          <w:rStyle w:val="13"/>
          <w:rFonts w:hint="eastAsia" w:ascii="黑体" w:hAnsi="黑体" w:eastAsia="黑体" w:cs="黑体"/>
          <w:sz w:val="32"/>
          <w:szCs w:val="32"/>
          <w:shd w:val="clear" w:color="auto" w:fill="FFFFFF"/>
          <w:lang w:val="en-US" w:eastAsia="zh-CN" w:bidi="ar-SA"/>
        </w:rPr>
        <w:t>五、2024年度预算绩效管理情况说明</w:t>
      </w:r>
    </w:p>
    <w:p>
      <w:pPr>
        <w:pStyle w:val="9"/>
        <w:widowControl/>
        <w:shd w:val="clear" w:color="auto" w:fill="FFFFFF"/>
        <w:wordWrap/>
        <w:adjustRightInd/>
        <w:spacing w:before="0" w:beforeAutospacing="0" w:after="0" w:afterAutospacing="0" w:line="594" w:lineRule="exact"/>
        <w:ind w:left="0" w:leftChars="0" w:right="0" w:firstLine="420"/>
        <w:textAlignment w:val="auto"/>
        <w:outlineLvl w:val="9"/>
        <w:rPr>
          <w:rStyle w:val="13"/>
          <w:rFonts w:hint="eastAsia" w:ascii="方正楷体_GBK" w:hAnsi="方正楷体_GBK" w:eastAsia="方正楷体_GBK" w:cs="方正楷体_GBK"/>
          <w:b w:val="0"/>
          <w:bCs/>
          <w:sz w:val="32"/>
          <w:szCs w:val="32"/>
          <w:shd w:val="clear" w:color="auto" w:fill="FFFFFF"/>
        </w:rPr>
      </w:pPr>
      <w:r>
        <w:rPr>
          <w:rStyle w:val="13"/>
          <w:rFonts w:hint="eastAsia" w:ascii="方正楷体_GBK" w:hAnsi="方正楷体_GBK" w:eastAsia="方正楷体_GBK" w:cs="方正楷体_GBK"/>
          <w:b w:val="0"/>
          <w:bCs/>
          <w:sz w:val="32"/>
          <w:szCs w:val="32"/>
          <w:shd w:val="clear" w:color="auto" w:fill="FFFFFF"/>
        </w:rPr>
        <w:t>（一）</w:t>
      </w:r>
      <w:r>
        <w:rPr>
          <w:rStyle w:val="13"/>
          <w:rFonts w:hint="eastAsia" w:ascii="方正楷体_GBK" w:hAnsi="方正楷体_GBK" w:eastAsia="方正楷体_GBK" w:cs="方正楷体_GBK"/>
          <w:b w:val="0"/>
          <w:bCs/>
          <w:sz w:val="32"/>
          <w:szCs w:val="32"/>
          <w:shd w:val="clear" w:color="auto" w:fill="FFFFFF"/>
          <w:lang w:eastAsia="zh-CN"/>
        </w:rPr>
        <w:t>单位</w:t>
      </w:r>
      <w:r>
        <w:rPr>
          <w:rStyle w:val="13"/>
          <w:rFonts w:hint="eastAsia" w:ascii="方正楷体_GBK" w:hAnsi="方正楷体_GBK" w:eastAsia="方正楷体_GBK" w:cs="方正楷体_GBK"/>
          <w:b w:val="0"/>
          <w:bCs/>
          <w:sz w:val="32"/>
          <w:szCs w:val="32"/>
          <w:shd w:val="clear" w:color="auto" w:fill="FFFFFF"/>
        </w:rPr>
        <w:t>自评情况</w:t>
      </w:r>
    </w:p>
    <w:p>
      <w:pPr>
        <w:pStyle w:val="16"/>
        <w:autoSpaceDE w:val="0"/>
        <w:ind w:firstLine="64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我单位无项目绩效自评。</w:t>
      </w:r>
    </w:p>
    <w:p>
      <w:pPr>
        <w:pStyle w:val="9"/>
        <w:widowControl/>
        <w:shd w:val="clear" w:color="auto" w:fill="FFFFFF"/>
        <w:wordWrap/>
        <w:adjustRightInd/>
        <w:spacing w:before="0" w:beforeAutospacing="0" w:after="0" w:afterAutospacing="0" w:line="594" w:lineRule="exact"/>
        <w:ind w:left="0" w:leftChars="0" w:right="0" w:firstLine="420"/>
        <w:textAlignment w:val="auto"/>
        <w:outlineLvl w:val="9"/>
        <w:rPr>
          <w:rStyle w:val="13"/>
          <w:rFonts w:hint="eastAsia" w:ascii="方正楷体_GBK" w:hAnsi="方正楷体_GBK" w:eastAsia="方正楷体_GBK" w:cs="方正楷体_GBK"/>
          <w:b w:val="0"/>
          <w:bCs/>
          <w:sz w:val="32"/>
          <w:szCs w:val="32"/>
          <w:shd w:val="clear" w:color="auto" w:fill="FFFFFF"/>
        </w:rPr>
      </w:pPr>
      <w:r>
        <w:rPr>
          <w:rStyle w:val="13"/>
          <w:rFonts w:hint="eastAsia" w:ascii="方正楷体_GBK" w:hAnsi="方正楷体_GBK" w:eastAsia="方正楷体_GBK" w:cs="方正楷体_GBK"/>
          <w:b w:val="0"/>
          <w:bCs/>
          <w:sz w:val="32"/>
          <w:szCs w:val="32"/>
          <w:shd w:val="clear" w:color="auto" w:fill="FFFFFF"/>
        </w:rPr>
        <w:t>（二）</w:t>
      </w:r>
      <w:r>
        <w:rPr>
          <w:rStyle w:val="13"/>
          <w:rFonts w:hint="eastAsia" w:ascii="方正楷体_GBK" w:hAnsi="方正楷体_GBK" w:eastAsia="方正楷体_GBK" w:cs="方正楷体_GBK"/>
          <w:b w:val="0"/>
          <w:bCs/>
          <w:sz w:val="32"/>
          <w:szCs w:val="32"/>
          <w:shd w:val="clear" w:color="auto" w:fill="FFFFFF"/>
          <w:lang w:eastAsia="zh-CN"/>
        </w:rPr>
        <w:t>单位</w:t>
      </w:r>
      <w:r>
        <w:rPr>
          <w:rStyle w:val="13"/>
          <w:rFonts w:hint="eastAsia" w:ascii="方正楷体_GBK" w:hAnsi="方正楷体_GBK" w:eastAsia="方正楷体_GBK" w:cs="方正楷体_GBK"/>
          <w:b w:val="0"/>
          <w:bCs/>
          <w:sz w:val="32"/>
          <w:szCs w:val="32"/>
          <w:shd w:val="clear" w:color="auto" w:fill="FFFFFF"/>
        </w:rPr>
        <w:t>绩效评价情况</w:t>
      </w:r>
    </w:p>
    <w:p>
      <w:pPr>
        <w:pStyle w:val="14"/>
        <w:widowControl/>
        <w:wordWrap/>
        <w:autoSpaceDE w:val="0"/>
        <w:adjustRightInd/>
        <w:spacing w:beforeAutospacing="0" w:afterAutospacing="0" w:line="594" w:lineRule="exact"/>
        <w:ind w:left="0" w:leftChars="0" w:right="0" w:firstLine="643"/>
        <w:textAlignment w:val="auto"/>
        <w:outlineLvl w:val="9"/>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我单位未组织开展绩效评价。</w:t>
      </w:r>
    </w:p>
    <w:p>
      <w:pPr>
        <w:pStyle w:val="9"/>
        <w:widowControl/>
        <w:shd w:val="clear" w:color="auto" w:fill="FFFFFF"/>
        <w:wordWrap/>
        <w:adjustRightInd/>
        <w:spacing w:before="0" w:beforeAutospacing="0" w:after="0" w:afterAutospacing="0" w:line="594" w:lineRule="exact"/>
        <w:ind w:left="0" w:leftChars="0" w:right="0" w:firstLine="420"/>
        <w:textAlignment w:val="auto"/>
        <w:outlineLvl w:val="9"/>
        <w:rPr>
          <w:rStyle w:val="13"/>
          <w:rFonts w:hint="eastAsia" w:ascii="方正楷体_GBK" w:hAnsi="方正楷体_GBK" w:eastAsia="方正楷体_GBK" w:cs="方正楷体_GBK"/>
          <w:b w:val="0"/>
          <w:bCs/>
          <w:sz w:val="32"/>
          <w:szCs w:val="32"/>
          <w:shd w:val="clear" w:color="auto" w:fill="FFFFFF"/>
        </w:rPr>
      </w:pPr>
      <w:r>
        <w:rPr>
          <w:rStyle w:val="13"/>
          <w:rFonts w:hint="eastAsia" w:ascii="方正楷体_GBK" w:hAnsi="方正楷体_GBK" w:eastAsia="方正楷体_GBK" w:cs="方正楷体_GBK"/>
          <w:b w:val="0"/>
          <w:bCs/>
          <w:sz w:val="32"/>
          <w:szCs w:val="32"/>
          <w:shd w:val="clear" w:color="auto" w:fill="FFFFFF"/>
        </w:rPr>
        <w:t>（三）财政绩效评价情况</w:t>
      </w:r>
    </w:p>
    <w:p>
      <w:pPr>
        <w:pStyle w:val="16"/>
        <w:autoSpaceDE w:val="0"/>
        <w:ind w:firstLine="64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县财政局未委托第三方对我单位开展绩效评价。</w:t>
      </w:r>
    </w:p>
    <w:p>
      <w:pPr>
        <w:pStyle w:val="9"/>
        <w:widowControl/>
        <w:shd w:val="clear" w:color="auto" w:fill="FFFFFF"/>
        <w:wordWrap/>
        <w:adjustRightInd/>
        <w:snapToGrid/>
        <w:spacing w:before="0" w:beforeAutospacing="0" w:after="0" w:afterAutospacing="0" w:line="594" w:lineRule="exact"/>
        <w:ind w:left="0" w:leftChars="0" w:right="0" w:firstLine="643" w:firstLineChars="200"/>
        <w:textAlignment w:val="auto"/>
        <w:outlineLvl w:val="9"/>
        <w:rPr>
          <w:rStyle w:val="13"/>
          <w:rFonts w:hint="default" w:ascii="方正仿宋_GBK" w:hAnsi="方正仿宋_GBK" w:eastAsia="方正仿宋_GBK" w:cs="方正仿宋_GBK"/>
          <w:sz w:val="32"/>
          <w:szCs w:val="32"/>
          <w:shd w:val="clear" w:color="auto" w:fill="FFFFFF"/>
        </w:rPr>
      </w:pPr>
      <w:r>
        <w:rPr>
          <w:rStyle w:val="13"/>
          <w:rFonts w:ascii="方正仿宋_GBK" w:hAnsi="方正仿宋_GBK" w:eastAsia="方正仿宋_GBK" w:cs="方正仿宋_GBK"/>
          <w:sz w:val="32"/>
          <w:szCs w:val="32"/>
          <w:shd w:val="clear" w:color="auto" w:fill="FFFFFF"/>
        </w:rPr>
        <w:t xml:space="preserve">  </w:t>
      </w:r>
      <w:r>
        <w:rPr>
          <w:rStyle w:val="13"/>
          <w:rFonts w:ascii="黑体" w:hAnsi="黑体" w:eastAsia="黑体" w:cs="黑体"/>
          <w:sz w:val="32"/>
          <w:szCs w:val="32"/>
          <w:shd w:val="clear" w:color="auto" w:fill="FFFFFF"/>
        </w:rPr>
        <w:t>六、专业名词解释</w:t>
      </w:r>
    </w:p>
    <w:p>
      <w:pPr>
        <w:pStyle w:val="9"/>
        <w:widowControl/>
        <w:wordWrap/>
        <w:adjustRightInd/>
        <w:snapToGrid w:val="0"/>
        <w:spacing w:before="0" w:beforeAutospacing="0" w:after="0" w:afterAutospacing="0" w:line="594" w:lineRule="exact"/>
        <w:ind w:left="0" w:leftChars="0" w:right="0" w:firstLine="643" w:firstLineChars="200"/>
        <w:jc w:val="both"/>
        <w:textAlignment w:val="auto"/>
        <w:outlineLvl w:val="9"/>
        <w:rPr>
          <w:rFonts w:hint="default" w:ascii="方正仿宋_GBK" w:hAnsi="方正仿宋_GBK" w:eastAsia="方正仿宋_GBK" w:cs="方正仿宋_GBK"/>
          <w:sz w:val="32"/>
          <w:szCs w:val="32"/>
        </w:rPr>
      </w:pPr>
      <w:r>
        <w:rPr>
          <w:rFonts w:ascii="方正仿宋_GBK" w:hAnsi="方正仿宋_GBK" w:eastAsia="方正仿宋_GBK" w:cs="方正仿宋_GBK"/>
          <w:b/>
          <w:bCs/>
          <w:sz w:val="32"/>
          <w:szCs w:val="32"/>
          <w:shd w:val="clear" w:color="auto" w:fill="FFFFFF"/>
        </w:rPr>
        <w:t> </w:t>
      </w:r>
      <w:r>
        <w:rPr>
          <w:rStyle w:val="13"/>
          <w:rFonts w:hint="eastAsia" w:ascii="方正楷体_GBK" w:hAnsi="方正楷体_GBK" w:eastAsia="方正楷体_GBK" w:cs="方正楷体_GBK"/>
          <w:b w:val="0"/>
          <w:bCs/>
          <w:sz w:val="32"/>
          <w:szCs w:val="32"/>
          <w:shd w:val="clear" w:color="auto" w:fill="FFFFFF"/>
          <w:lang w:val="en-US" w:eastAsia="zh-CN" w:bidi="ar-SA"/>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pPr>
        <w:pStyle w:val="9"/>
        <w:widowControl/>
        <w:wordWrap/>
        <w:adjustRightInd/>
        <w:snapToGrid w:val="0"/>
        <w:spacing w:before="0" w:beforeAutospacing="0" w:after="0" w:afterAutospacing="0" w:line="594" w:lineRule="exact"/>
        <w:ind w:left="0" w:leftChars="0" w:right="0" w:firstLine="643" w:firstLineChars="200"/>
        <w:jc w:val="both"/>
        <w:textAlignment w:val="auto"/>
        <w:outlineLvl w:val="9"/>
        <w:rPr>
          <w:rFonts w:hint="default" w:ascii="方正仿宋_GBK" w:hAnsi="方正仿宋_GBK" w:eastAsia="方正仿宋_GBK" w:cs="方正仿宋_GBK"/>
          <w:sz w:val="32"/>
          <w:szCs w:val="32"/>
        </w:rPr>
      </w:pPr>
      <w:r>
        <w:rPr>
          <w:rStyle w:val="13"/>
          <w:rFonts w:ascii="方正仿宋_GBK" w:hAnsi="方正仿宋_GBK" w:eastAsia="方正仿宋_GBK" w:cs="方正仿宋_GBK"/>
          <w:sz w:val="32"/>
          <w:szCs w:val="32"/>
          <w:shd w:val="clear" w:color="auto" w:fill="FFFFFF"/>
        </w:rPr>
        <w:t> </w:t>
      </w:r>
      <w:r>
        <w:rPr>
          <w:rStyle w:val="13"/>
          <w:rFonts w:hint="eastAsia" w:ascii="方正楷体_GBK" w:hAnsi="方正楷体_GBK" w:eastAsia="方正楷体_GBK" w:cs="方正楷体_GBK"/>
          <w:b w:val="0"/>
          <w:bCs/>
          <w:sz w:val="32"/>
          <w:szCs w:val="32"/>
          <w:shd w:val="clear" w:color="auto" w:fill="FFFFFF"/>
          <w:lang w:val="en-US" w:eastAsia="zh-CN" w:bidi="ar-SA"/>
        </w:rPr>
        <w:t>（二）事业收入：</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pPr>
        <w:pStyle w:val="9"/>
        <w:widowControl/>
        <w:wordWrap/>
        <w:adjustRightInd/>
        <w:snapToGrid w:val="0"/>
        <w:spacing w:before="0" w:beforeAutospacing="0" w:after="0" w:afterAutospacing="0" w:line="594" w:lineRule="exact"/>
        <w:ind w:left="0" w:leftChars="0" w:right="0" w:firstLine="643" w:firstLineChars="200"/>
        <w:jc w:val="both"/>
        <w:textAlignment w:val="auto"/>
        <w:outlineLvl w:val="9"/>
        <w:rPr>
          <w:rFonts w:hint="default" w:ascii="方正仿宋_GBK" w:hAnsi="方正仿宋_GBK" w:eastAsia="方正仿宋_GBK" w:cs="方正仿宋_GBK"/>
          <w:sz w:val="32"/>
          <w:szCs w:val="32"/>
        </w:rPr>
      </w:pPr>
      <w:r>
        <w:rPr>
          <w:rStyle w:val="13"/>
          <w:rFonts w:ascii="方正仿宋_GBK" w:hAnsi="方正仿宋_GBK" w:eastAsia="方正仿宋_GBK" w:cs="方正仿宋_GBK"/>
          <w:sz w:val="32"/>
          <w:szCs w:val="32"/>
          <w:shd w:val="clear" w:color="auto" w:fill="FFFFFF"/>
        </w:rPr>
        <w:t> </w:t>
      </w:r>
      <w:r>
        <w:rPr>
          <w:rStyle w:val="13"/>
          <w:rFonts w:hint="eastAsia" w:ascii="方正楷体_GBK" w:hAnsi="方正楷体_GBK" w:eastAsia="方正楷体_GBK" w:cs="方正楷体_GBK"/>
          <w:b w:val="0"/>
          <w:bCs/>
          <w:sz w:val="32"/>
          <w:szCs w:val="32"/>
          <w:shd w:val="clear" w:color="auto" w:fill="FFFFFF"/>
          <w:lang w:val="en-US" w:eastAsia="zh-CN" w:bidi="ar-SA"/>
        </w:rPr>
        <w:t>（三）经营收入：</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pPr>
        <w:pStyle w:val="9"/>
        <w:widowControl/>
        <w:wordWrap/>
        <w:adjustRightInd/>
        <w:snapToGrid w:val="0"/>
        <w:spacing w:before="0" w:beforeAutospacing="0" w:after="0" w:afterAutospacing="0" w:line="594" w:lineRule="exact"/>
        <w:ind w:left="0" w:leftChars="0" w:right="0" w:firstLine="643" w:firstLineChars="200"/>
        <w:jc w:val="both"/>
        <w:textAlignment w:val="auto"/>
        <w:outlineLvl w:val="9"/>
        <w:rPr>
          <w:rFonts w:hint="default" w:ascii="方正仿宋_GBK" w:hAnsi="方正仿宋_GBK" w:eastAsia="方正仿宋_GBK" w:cs="方正仿宋_GBK"/>
          <w:sz w:val="32"/>
          <w:szCs w:val="32"/>
        </w:rPr>
      </w:pPr>
      <w:r>
        <w:rPr>
          <w:rStyle w:val="13"/>
          <w:rFonts w:ascii="方正仿宋_GBK" w:hAnsi="方正仿宋_GBK" w:eastAsia="方正仿宋_GBK" w:cs="方正仿宋_GBK"/>
          <w:sz w:val="32"/>
          <w:szCs w:val="32"/>
          <w:shd w:val="clear" w:color="auto" w:fill="FFFFFF"/>
        </w:rPr>
        <w:t> </w:t>
      </w:r>
      <w:r>
        <w:rPr>
          <w:rStyle w:val="13"/>
          <w:rFonts w:hint="eastAsia" w:ascii="方正楷体_GBK" w:hAnsi="方正楷体_GBK" w:eastAsia="方正楷体_GBK" w:cs="方正楷体_GBK"/>
          <w:b w:val="0"/>
          <w:bCs/>
          <w:sz w:val="32"/>
          <w:szCs w:val="32"/>
          <w:shd w:val="clear" w:color="auto" w:fill="FFFFFF"/>
          <w:lang w:val="en-US" w:eastAsia="zh-CN" w:bidi="ar-SA"/>
        </w:rPr>
        <w:t>（四）其他收入：</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9"/>
        <w:widowControl/>
        <w:wordWrap/>
        <w:adjustRightInd/>
        <w:snapToGrid w:val="0"/>
        <w:spacing w:before="0" w:beforeAutospacing="0" w:after="0" w:afterAutospacing="0" w:line="594" w:lineRule="exact"/>
        <w:ind w:left="0" w:leftChars="0" w:right="0" w:firstLine="640" w:firstLineChars="200"/>
        <w:jc w:val="both"/>
        <w:textAlignment w:val="auto"/>
        <w:outlineLvl w:val="9"/>
        <w:rPr>
          <w:rFonts w:hint="default" w:ascii="方正仿宋_GBK" w:hAnsi="方正仿宋_GBK" w:eastAsia="方正仿宋_GBK" w:cs="方正仿宋_GBK"/>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（五）使用非财政拨款结余：</w:t>
      </w:r>
      <w:r>
        <w:rPr>
          <w:rFonts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9"/>
        <w:widowControl/>
        <w:wordWrap/>
        <w:adjustRightInd/>
        <w:snapToGrid w:val="0"/>
        <w:spacing w:before="0" w:beforeAutospacing="0" w:after="0" w:afterAutospacing="0" w:line="594" w:lineRule="exact"/>
        <w:ind w:left="0" w:leftChars="0" w:right="0" w:firstLine="640" w:firstLineChars="200"/>
        <w:jc w:val="both"/>
        <w:textAlignment w:val="auto"/>
        <w:outlineLvl w:val="9"/>
        <w:rPr>
          <w:rFonts w:hint="default" w:ascii="方正仿宋_GBK" w:hAnsi="方正仿宋_GBK" w:eastAsia="方正仿宋_GBK" w:cs="方正仿宋_GBK"/>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 （六）年初结转和结余：</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9"/>
        <w:widowControl/>
        <w:wordWrap/>
        <w:adjustRightInd/>
        <w:snapToGrid w:val="0"/>
        <w:spacing w:before="0" w:beforeAutospacing="0" w:after="0" w:afterAutospacing="0" w:line="594" w:lineRule="exact"/>
        <w:ind w:left="0" w:leftChars="0" w:right="0" w:firstLine="643" w:firstLineChars="200"/>
        <w:jc w:val="both"/>
        <w:textAlignment w:val="auto"/>
        <w:outlineLvl w:val="9"/>
        <w:rPr>
          <w:rFonts w:hint="default" w:ascii="方正仿宋_GBK" w:hAnsi="方正仿宋_GBK" w:eastAsia="方正仿宋_GBK" w:cs="方正仿宋_GBK"/>
          <w:sz w:val="32"/>
          <w:szCs w:val="32"/>
        </w:rPr>
      </w:pPr>
      <w:r>
        <w:rPr>
          <w:rStyle w:val="13"/>
          <w:rFonts w:ascii="方正仿宋_GBK" w:hAnsi="方正仿宋_GBK" w:eastAsia="方正仿宋_GBK" w:cs="方正仿宋_GBK"/>
          <w:sz w:val="32"/>
          <w:szCs w:val="32"/>
          <w:shd w:val="clear" w:color="auto" w:fill="FFFFFF"/>
        </w:rPr>
        <w:t> </w:t>
      </w:r>
      <w:r>
        <w:rPr>
          <w:rStyle w:val="13"/>
          <w:rFonts w:hint="eastAsia" w:ascii="方正楷体_GBK" w:hAnsi="方正楷体_GBK" w:eastAsia="方正楷体_GBK" w:cs="方正楷体_GBK"/>
          <w:b w:val="0"/>
          <w:bCs/>
          <w:sz w:val="32"/>
          <w:szCs w:val="32"/>
          <w:shd w:val="clear" w:color="auto" w:fill="FFFFFF"/>
          <w:lang w:val="en-US" w:eastAsia="zh-CN" w:bidi="ar-SA"/>
        </w:rPr>
        <w:t>（七）结余分配：</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9"/>
        <w:widowControl/>
        <w:wordWrap/>
        <w:adjustRightInd/>
        <w:snapToGrid w:val="0"/>
        <w:spacing w:before="0" w:beforeAutospacing="0" w:after="0" w:afterAutospacing="0" w:line="594" w:lineRule="exact"/>
        <w:ind w:left="0" w:leftChars="0" w:right="0" w:firstLine="643" w:firstLineChars="200"/>
        <w:jc w:val="both"/>
        <w:textAlignment w:val="auto"/>
        <w:outlineLvl w:val="9"/>
        <w:rPr>
          <w:rFonts w:hint="default" w:ascii="方正仿宋_GBK" w:hAnsi="方正仿宋_GBK" w:eastAsia="方正仿宋_GBK" w:cs="方正仿宋_GBK"/>
          <w:sz w:val="32"/>
          <w:szCs w:val="32"/>
        </w:rPr>
      </w:pPr>
      <w:r>
        <w:rPr>
          <w:rStyle w:val="13"/>
          <w:rFonts w:ascii="方正仿宋_GBK" w:hAnsi="方正仿宋_GBK" w:eastAsia="方正仿宋_GBK" w:cs="方正仿宋_GBK"/>
          <w:sz w:val="32"/>
          <w:szCs w:val="32"/>
          <w:shd w:val="clear" w:color="auto" w:fill="FFFFFF"/>
        </w:rPr>
        <w:t> </w:t>
      </w:r>
      <w:r>
        <w:rPr>
          <w:rStyle w:val="13"/>
          <w:rFonts w:hint="eastAsia" w:ascii="方正楷体_GBK" w:hAnsi="方正楷体_GBK" w:eastAsia="方正楷体_GBK" w:cs="方正楷体_GBK"/>
          <w:b w:val="0"/>
          <w:bCs/>
          <w:sz w:val="32"/>
          <w:szCs w:val="32"/>
          <w:shd w:val="clear" w:color="auto" w:fill="FFFFFF"/>
          <w:lang w:val="en-US" w:eastAsia="zh-CN" w:bidi="ar-SA"/>
        </w:rPr>
        <w:t>（八）年末结转和结余：</w:t>
      </w:r>
      <w:r>
        <w:rPr>
          <w:rFonts w:ascii="方正仿宋_GBK" w:hAnsi="方正仿宋_GBK" w:eastAsia="方正仿宋_GBK" w:cs="方正仿宋_GBK"/>
          <w:sz w:val="32"/>
          <w:szCs w:val="32"/>
          <w:shd w:val="clear" w:color="auto" w:fill="FFFFFF"/>
        </w:rPr>
        <w:t>指单位结转下年的基本支出结转、项目支出结转和结余、经营结余。</w:t>
      </w:r>
    </w:p>
    <w:p>
      <w:pPr>
        <w:pStyle w:val="9"/>
        <w:widowControl/>
        <w:wordWrap/>
        <w:adjustRightInd/>
        <w:snapToGrid w:val="0"/>
        <w:spacing w:before="0" w:beforeAutospacing="0" w:after="0" w:afterAutospacing="0" w:line="594" w:lineRule="exact"/>
        <w:ind w:left="0" w:leftChars="0" w:right="0" w:firstLine="640" w:firstLineChars="200"/>
        <w:jc w:val="both"/>
        <w:textAlignment w:val="auto"/>
        <w:outlineLvl w:val="9"/>
        <w:rPr>
          <w:rFonts w:hint="default" w:ascii="方正仿宋_GBK" w:hAnsi="方正仿宋_GBK" w:eastAsia="方正仿宋_GBK" w:cs="方正仿宋_GBK"/>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 （九）基本支出：</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9"/>
        <w:widowControl/>
        <w:wordWrap/>
        <w:adjustRightInd/>
        <w:snapToGrid w:val="0"/>
        <w:spacing w:before="0" w:beforeAutospacing="0" w:after="0" w:afterAutospacing="0" w:line="594" w:lineRule="exact"/>
        <w:ind w:left="0" w:leftChars="0" w:right="0" w:firstLine="640" w:firstLineChars="200"/>
        <w:jc w:val="both"/>
        <w:textAlignment w:val="auto"/>
        <w:outlineLvl w:val="9"/>
        <w:rPr>
          <w:rFonts w:hint="default" w:ascii="方正仿宋_GBK" w:hAnsi="方正仿宋_GBK" w:eastAsia="方正仿宋_GBK" w:cs="方正仿宋_GBK"/>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 （十）项目支出：</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9"/>
        <w:widowControl/>
        <w:wordWrap/>
        <w:adjustRightInd/>
        <w:snapToGrid w:val="0"/>
        <w:spacing w:before="0" w:beforeAutospacing="0" w:after="0" w:afterAutospacing="0" w:line="594" w:lineRule="exact"/>
        <w:ind w:left="0" w:leftChars="0" w:right="0" w:firstLine="640" w:firstLineChars="200"/>
        <w:jc w:val="both"/>
        <w:textAlignment w:val="auto"/>
        <w:outlineLvl w:val="9"/>
        <w:rPr>
          <w:rFonts w:hint="default" w:ascii="方正仿宋_GBK" w:hAnsi="方正仿宋_GBK" w:eastAsia="方正仿宋_GBK" w:cs="方正仿宋_GBK"/>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 （十一）经营支出：</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9"/>
        <w:widowControl/>
        <w:wordWrap/>
        <w:adjustRightInd/>
        <w:snapToGrid w:val="0"/>
        <w:spacing w:before="0" w:beforeAutospacing="0" w:after="0" w:afterAutospacing="0" w:line="594" w:lineRule="exact"/>
        <w:ind w:left="0" w:leftChars="0" w:right="0" w:firstLine="640" w:firstLineChars="200"/>
        <w:jc w:val="both"/>
        <w:textAlignment w:val="auto"/>
        <w:outlineLvl w:val="9"/>
        <w:rPr>
          <w:rFonts w:hint="default" w:ascii="方正仿宋_GBK" w:hAnsi="方正仿宋_GBK" w:eastAsia="方正仿宋_GBK" w:cs="方正仿宋_GBK"/>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 （十二）“三公”经费：</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9"/>
        <w:widowControl/>
        <w:wordWrap/>
        <w:adjustRightInd/>
        <w:snapToGrid w:val="0"/>
        <w:spacing w:before="0" w:beforeAutospacing="0" w:after="0" w:afterAutospacing="0" w:line="594" w:lineRule="exact"/>
        <w:ind w:left="0" w:leftChars="0" w:right="0" w:firstLine="643" w:firstLineChars="200"/>
        <w:jc w:val="both"/>
        <w:textAlignment w:val="auto"/>
        <w:outlineLvl w:val="9"/>
        <w:rPr>
          <w:rFonts w:hint="default" w:ascii="方正仿宋_GBK" w:hAnsi="方正仿宋_GBK" w:eastAsia="方正仿宋_GBK" w:cs="方正仿宋_GBK"/>
          <w:sz w:val="32"/>
          <w:szCs w:val="32"/>
        </w:rPr>
      </w:pPr>
      <w:r>
        <w:rPr>
          <w:rStyle w:val="13"/>
          <w:rFonts w:ascii="方正仿宋_GBK" w:hAnsi="方正仿宋_GBK" w:eastAsia="方正仿宋_GBK" w:cs="方正仿宋_GBK"/>
          <w:sz w:val="32"/>
          <w:szCs w:val="32"/>
          <w:shd w:val="clear" w:color="auto" w:fill="FFFFFF"/>
        </w:rPr>
        <w:t> </w:t>
      </w:r>
      <w:r>
        <w:rPr>
          <w:rStyle w:val="13"/>
          <w:rFonts w:hint="eastAsia" w:ascii="方正楷体_GBK" w:hAnsi="方正楷体_GBK" w:eastAsia="方正楷体_GBK" w:cs="方正楷体_GBK"/>
          <w:b w:val="0"/>
          <w:bCs/>
          <w:sz w:val="32"/>
          <w:szCs w:val="32"/>
          <w:shd w:val="clear" w:color="auto" w:fill="FFFFFF"/>
          <w:lang w:val="en-US" w:eastAsia="zh-CN" w:bidi="ar-SA"/>
        </w:rPr>
        <w:t>（十三）机关运行经费：</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9"/>
        <w:widowControl/>
        <w:wordWrap/>
        <w:adjustRightInd/>
        <w:snapToGrid w:val="0"/>
        <w:spacing w:before="0" w:beforeAutospacing="0" w:after="0" w:afterAutospacing="0" w:line="594" w:lineRule="exact"/>
        <w:ind w:left="0" w:leftChars="0" w:right="0" w:firstLine="643" w:firstLineChars="200"/>
        <w:jc w:val="both"/>
        <w:textAlignment w:val="auto"/>
        <w:outlineLvl w:val="9"/>
        <w:rPr>
          <w:rFonts w:hint="default" w:ascii="方正仿宋_GBK" w:hAnsi="方正仿宋_GBK" w:eastAsia="方正仿宋_GBK" w:cs="方正仿宋_GBK"/>
          <w:sz w:val="32"/>
          <w:szCs w:val="32"/>
        </w:rPr>
      </w:pPr>
      <w:r>
        <w:rPr>
          <w:rStyle w:val="13"/>
          <w:rFonts w:ascii="方正仿宋_GBK" w:hAnsi="方正仿宋_GBK" w:eastAsia="方正仿宋_GBK" w:cs="方正仿宋_GBK"/>
          <w:sz w:val="32"/>
          <w:szCs w:val="32"/>
          <w:shd w:val="clear" w:color="auto" w:fill="FFFFFF"/>
        </w:rPr>
        <w:t> </w:t>
      </w:r>
      <w:r>
        <w:rPr>
          <w:rStyle w:val="13"/>
          <w:rFonts w:hint="eastAsia" w:ascii="方正楷体_GBK" w:hAnsi="方正楷体_GBK" w:eastAsia="方正楷体_GBK" w:cs="方正楷体_GBK"/>
          <w:b w:val="0"/>
          <w:bCs/>
          <w:sz w:val="32"/>
          <w:szCs w:val="32"/>
          <w:shd w:val="clear" w:color="auto" w:fill="FFFFFF"/>
          <w:lang w:val="en-US" w:eastAsia="zh-CN" w:bidi="ar-SA"/>
        </w:rPr>
        <w:t>（十四）工资福利支出（支出经济分类科目类级）：</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9"/>
        <w:widowControl/>
        <w:wordWrap/>
        <w:adjustRightInd/>
        <w:snapToGrid w:val="0"/>
        <w:spacing w:before="0" w:beforeAutospacing="0" w:after="0" w:afterAutospacing="0" w:line="594" w:lineRule="exact"/>
        <w:ind w:left="0" w:leftChars="0" w:right="0" w:firstLine="640" w:firstLineChars="200"/>
        <w:jc w:val="both"/>
        <w:textAlignment w:val="auto"/>
        <w:outlineLvl w:val="9"/>
        <w:rPr>
          <w:rFonts w:hint="default" w:ascii="方正仿宋_GBK" w:hAnsi="方正仿宋_GBK" w:eastAsia="方正仿宋_GBK" w:cs="方正仿宋_GBK"/>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 （十五）商品和服务支出（支出经济分类科目类级）：</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9"/>
        <w:widowControl/>
        <w:wordWrap/>
        <w:adjustRightInd/>
        <w:snapToGrid w:val="0"/>
        <w:spacing w:before="0" w:beforeAutospacing="0" w:after="0" w:afterAutospacing="0" w:line="594" w:lineRule="exact"/>
        <w:ind w:left="0" w:leftChars="0" w:right="0" w:firstLine="640" w:firstLineChars="200"/>
        <w:jc w:val="both"/>
        <w:textAlignment w:val="auto"/>
        <w:outlineLvl w:val="9"/>
        <w:rPr>
          <w:rFonts w:hint="default" w:ascii="方正仿宋_GBK" w:hAnsi="方正仿宋_GBK" w:eastAsia="方正仿宋_GBK" w:cs="方正仿宋_GBK"/>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 （十六）对个人和家庭的补助（支出经济分类科目类级）：</w:t>
      </w:r>
      <w:r>
        <w:rPr>
          <w:rFonts w:ascii="方正仿宋_GBK" w:hAnsi="方正仿宋_GBK" w:eastAsia="方正仿宋_GBK" w:cs="方正仿宋_GBK"/>
          <w:sz w:val="32"/>
          <w:szCs w:val="32"/>
          <w:shd w:val="clear" w:color="auto" w:fill="FFFFFF"/>
        </w:rPr>
        <w:t>反映用于对个人和家庭的补助支出。</w:t>
      </w:r>
    </w:p>
    <w:p>
      <w:pPr>
        <w:pStyle w:val="9"/>
        <w:widowControl/>
        <w:wordWrap/>
        <w:adjustRightInd/>
        <w:snapToGrid w:val="0"/>
        <w:spacing w:before="0" w:beforeAutospacing="0" w:after="0" w:afterAutospacing="0" w:line="594" w:lineRule="exact"/>
        <w:ind w:left="0" w:leftChars="0" w:right="0" w:firstLine="643" w:firstLineChars="200"/>
        <w:jc w:val="both"/>
        <w:textAlignment w:val="auto"/>
        <w:outlineLvl w:val="9"/>
        <w:rPr>
          <w:rFonts w:hint="default" w:ascii="方正仿宋_GBK" w:hAnsi="方正仿宋_GBK" w:eastAsia="方正仿宋_GBK" w:cs="方正仿宋_GBK"/>
          <w:sz w:val="32"/>
          <w:szCs w:val="32"/>
        </w:rPr>
      </w:pPr>
      <w:r>
        <w:rPr>
          <w:rStyle w:val="13"/>
          <w:rFonts w:ascii="方正仿宋_GBK" w:hAnsi="方正仿宋_GBK" w:eastAsia="方正仿宋_GBK" w:cs="方正仿宋_GBK"/>
          <w:sz w:val="32"/>
          <w:szCs w:val="32"/>
          <w:shd w:val="clear" w:color="auto" w:fill="FFFFFF"/>
        </w:rPr>
        <w:t> </w:t>
      </w:r>
      <w:r>
        <w:rPr>
          <w:rStyle w:val="13"/>
          <w:rFonts w:hint="eastAsia" w:ascii="方正楷体_GBK" w:hAnsi="方正楷体_GBK" w:eastAsia="方正楷体_GBK" w:cs="方正楷体_GBK"/>
          <w:b w:val="0"/>
          <w:bCs/>
          <w:sz w:val="32"/>
          <w:szCs w:val="32"/>
          <w:shd w:val="clear" w:color="auto" w:fill="FFFFFF"/>
          <w:lang w:val="en-US" w:eastAsia="zh-CN" w:bidi="ar-SA"/>
        </w:rPr>
        <w:t>（十七）其他资本性支出（支出经济分类科目类级）：</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9"/>
        <w:widowControl/>
        <w:shd w:val="clear" w:color="auto" w:fill="FFFFFF"/>
        <w:wordWrap/>
        <w:adjustRightInd/>
        <w:spacing w:before="0" w:beforeAutospacing="0" w:after="0" w:afterAutospacing="0" w:line="594" w:lineRule="exact"/>
        <w:ind w:left="0" w:leftChars="0" w:right="0"/>
        <w:textAlignment w:val="auto"/>
        <w:outlineLvl w:val="9"/>
        <w:rPr>
          <w:rStyle w:val="13"/>
          <w:rFonts w:hint="eastAsia" w:ascii="方正黑体_GBK" w:hAnsi="方正黑体_GBK" w:eastAsia="方正黑体_GBK" w:cs="方正黑体_GBK"/>
          <w:b w:val="0"/>
          <w:bCs/>
          <w:sz w:val="32"/>
          <w:szCs w:val="32"/>
          <w:shd w:val="clear" w:color="auto" w:fill="FFFFFF"/>
        </w:rPr>
      </w:pPr>
      <w:r>
        <w:rPr>
          <w:rStyle w:val="13"/>
          <w:rFonts w:hint="eastAsia" w:ascii="方正黑体_GBK" w:hAnsi="方正黑体_GBK" w:eastAsia="方正黑体_GBK" w:cs="方正黑体_GBK"/>
          <w:b w:val="0"/>
          <w:bCs/>
          <w:sz w:val="32"/>
          <w:szCs w:val="32"/>
          <w:shd w:val="clear" w:color="auto" w:fill="FFFFFF"/>
        </w:rPr>
        <w:t xml:space="preserve">  </w:t>
      </w:r>
      <w:r>
        <w:rPr>
          <w:rStyle w:val="13"/>
          <w:rFonts w:hint="eastAsia" w:ascii="方正黑体_GBK" w:hAnsi="方正黑体_GBK" w:eastAsia="方正黑体_GBK" w:cs="方正黑体_GBK"/>
          <w:b w:val="0"/>
          <w:bCs/>
          <w:sz w:val="32"/>
          <w:szCs w:val="32"/>
          <w:shd w:val="clear" w:color="auto" w:fill="FFFFFF"/>
          <w:lang w:val="en-US" w:eastAsia="zh-CN"/>
        </w:rPr>
        <w:t xml:space="preserve">  </w:t>
      </w:r>
      <w:r>
        <w:rPr>
          <w:rStyle w:val="13"/>
          <w:rFonts w:hint="eastAsia" w:ascii="方正黑体_GBK" w:hAnsi="方正黑体_GBK" w:eastAsia="方正黑体_GBK" w:cs="方正黑体_GBK"/>
          <w:b w:val="0"/>
          <w:bCs/>
          <w:sz w:val="32"/>
          <w:szCs w:val="32"/>
          <w:shd w:val="clear" w:color="auto" w:fill="FFFFFF"/>
        </w:rPr>
        <w:t>七、决算公开联系方式及信息反馈渠道</w:t>
      </w:r>
    </w:p>
    <w:p>
      <w:pPr>
        <w:pStyle w:val="14"/>
        <w:autoSpaceDE w:val="0"/>
        <w:ind w:firstLine="0" w:firstLineChars="0"/>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val="en-US" w:eastAsia="zh-CN"/>
        </w:rPr>
        <w:t xml:space="preserve">    </w:t>
      </w:r>
      <w:r>
        <w:rPr>
          <w:rFonts w:hint="eastAsia" w:ascii="方正仿宋_GBK" w:hAnsi="方正仿宋_GBK" w:eastAsia="方正仿宋_GBK" w:cs="方正仿宋_GBK"/>
          <w:sz w:val="32"/>
          <w:szCs w:val="32"/>
          <w:shd w:val="clear" w:color="auto" w:fill="FFFFFF"/>
        </w:rPr>
        <w:t>本单位决算公开信息反馈和联系方式：023-74552700。</w:t>
      </w:r>
    </w:p>
    <w:p>
      <w:pPr>
        <w:pStyle w:val="14"/>
        <w:widowControl/>
        <w:wordWrap/>
        <w:autoSpaceDE w:val="0"/>
        <w:adjustRightInd/>
        <w:spacing w:beforeAutospacing="0" w:afterAutospacing="0" w:line="594" w:lineRule="exact"/>
        <w:ind w:left="0" w:leftChars="0" w:right="0" w:firstLine="0" w:firstLineChars="0"/>
        <w:textAlignment w:val="auto"/>
        <w:outlineLvl w:val="9"/>
        <w:rPr>
          <w:rStyle w:val="13"/>
          <w:rFonts w:ascii="方正仿宋_GBK" w:hAnsi="方正仿宋_GBK" w:eastAsia="方正仿宋_GBK" w:cs="方正仿宋_GBK"/>
          <w:sz w:val="32"/>
          <w:szCs w:val="32"/>
          <w:shd w:val="clear" w:color="auto" w:fill="FFFF00"/>
        </w:rPr>
      </w:pPr>
    </w:p>
    <w:p>
      <w:pPr>
        <w:pStyle w:val="14"/>
        <w:widowControl/>
        <w:wordWrap/>
        <w:autoSpaceDE w:val="0"/>
        <w:adjustRightInd/>
        <w:spacing w:beforeAutospacing="0" w:afterAutospacing="0" w:line="594" w:lineRule="exact"/>
        <w:ind w:left="0" w:leftChars="0" w:right="0" w:firstLine="0" w:firstLineChars="0"/>
        <w:textAlignment w:val="auto"/>
        <w:outlineLvl w:val="9"/>
        <w:rPr>
          <w:rStyle w:val="13"/>
          <w:rFonts w:ascii="方正仿宋_GBK" w:hAnsi="方正仿宋_GBK" w:eastAsia="方正仿宋_GBK" w:cs="方正仿宋_GBK"/>
          <w:sz w:val="32"/>
          <w:szCs w:val="32"/>
          <w:shd w:val="clear" w:color="auto" w:fill="FFFF00"/>
        </w:rPr>
      </w:pP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Chars="0" w:right="0" w:rightChars="0" w:firstLine="643" w:firstLineChars="200"/>
        <w:jc w:val="left"/>
        <w:rPr>
          <w:rStyle w:val="13"/>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10"/>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cs="宋体"/>
                <w:sz w:val="20"/>
                <w:szCs w:val="20"/>
              </w:rPr>
              <w:t>单位：</w:t>
            </w:r>
            <w:r>
              <w:rPr>
                <w:sz w:val="20"/>
                <w:u w:color="auto"/>
              </w:rPr>
              <w:t>垫江县高安镇城镇管理服务中心</w:t>
            </w: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31.41</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23.38</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3.83</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31.41</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31.41</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31.41</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31.41</w:t>
            </w:r>
            <w:r>
              <w:rPr>
                <w:rFonts w:ascii="Times New Roman" w:hAnsi="Times New Roman"/>
                <w:color w:val="000000"/>
                <w:sz w:val="20"/>
                <w:u w:color="auto"/>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0"/>
        <w:tblW w:w="5059" w:type="pct"/>
        <w:tblInd w:w="0" w:type="dxa"/>
        <w:tblLayout w:type="fixed"/>
        <w:tblCellMar>
          <w:top w:w="0" w:type="dxa"/>
          <w:left w:w="0" w:type="dxa"/>
          <w:bottom w:w="0" w:type="dxa"/>
          <w:right w:w="0" w:type="dxa"/>
        </w:tblCellMar>
      </w:tblPr>
      <w:tblGrid>
        <w:gridCol w:w="1430"/>
        <w:gridCol w:w="2919"/>
        <w:gridCol w:w="1582"/>
        <w:gridCol w:w="1451"/>
        <w:gridCol w:w="1256"/>
        <w:gridCol w:w="1438"/>
        <w:gridCol w:w="1459"/>
        <w:gridCol w:w="1296"/>
        <w:gridCol w:w="1350"/>
        <w:gridCol w:w="1322"/>
      </w:tblGrid>
      <w:tr>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CellMar>
            <w:top w:w="0" w:type="dxa"/>
            <w:left w:w="0" w:type="dxa"/>
            <w:bottom w:w="0" w:type="dxa"/>
            <w:right w:w="0" w:type="dxa"/>
          </w:tblCellMar>
        </w:tblPrEx>
        <w:trPr>
          <w:trHeight w:val="328"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sz w:val="20"/>
                <w:u w:color="auto"/>
              </w:rPr>
              <w:t>垫江县高安镇城镇管理服务中心</w:t>
            </w:r>
          </w:p>
        </w:tc>
        <w:tc>
          <w:tcPr>
            <w:tcW w:w="46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tblPrEx>
          <w:tblCellMar>
            <w:top w:w="0" w:type="dxa"/>
            <w:left w:w="0" w:type="dxa"/>
            <w:bottom w:w="0" w:type="dxa"/>
            <w:right w:w="0" w:type="dxa"/>
          </w:tblCellMar>
        </w:tblPrEx>
        <w:trPr>
          <w:trHeight w:val="328"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31" w:hRule="atLeast"/>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CellMar>
            <w:top w:w="0" w:type="dxa"/>
            <w:left w:w="0" w:type="dxa"/>
            <w:bottom w:w="0" w:type="dxa"/>
            <w:right w:w="0" w:type="dxa"/>
          </w:tblCellMar>
        </w:tblPrEx>
        <w:trPr>
          <w:trHeight w:val="334"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31.41</w:t>
            </w:r>
            <w:r>
              <w:rPr>
                <w:rFonts w:ascii="Times New Roman" w:hAnsi="Times New Roman"/>
                <w:b/>
                <w:color w:val="000000"/>
                <w:sz w:val="20"/>
                <w:u w:color="auto"/>
              </w:rPr>
              <w:t xml:space="preserve"> </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31.41</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23.38</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23.38</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市场监督管理事务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23.38</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23.38</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2013850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23.38</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23.38</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3.83</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3.83</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3.83</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3.83</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2.55</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2.55</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1.28</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1.28</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10"/>
        <w:tblW w:w="5000" w:type="pct"/>
        <w:tblInd w:w="0" w:type="dxa"/>
        <w:tblLayout w:type="fixed"/>
        <w:tblCellMar>
          <w:top w:w="0" w:type="dxa"/>
          <w:left w:w="0" w:type="dxa"/>
          <w:bottom w:w="0" w:type="dxa"/>
          <w:right w:w="0" w:type="dxa"/>
        </w:tblCellMar>
      </w:tblPr>
      <w:tblGrid>
        <w:gridCol w:w="1292"/>
        <w:gridCol w:w="3602"/>
        <w:gridCol w:w="1841"/>
        <w:gridCol w:w="1765"/>
        <w:gridCol w:w="1624"/>
        <w:gridCol w:w="1557"/>
        <w:gridCol w:w="1692"/>
        <w:gridCol w:w="1949"/>
      </w:tblGrid>
      <w:tr>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垫江县高安镇城镇管理服务中心 </w:t>
            </w: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31.41</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31.41</w:t>
            </w:r>
            <w:r>
              <w:rPr>
                <w:rFonts w:ascii="Times New Roman" w:hAnsi="Times New Roman"/>
                <w:b/>
                <w:color w:val="000000"/>
                <w:sz w:val="20"/>
                <w:u w:color="auto"/>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23.38</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23.38</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市场监督管理事务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23.38</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23.38</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2013850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23.38</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23.38</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3.83</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3.83</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3.83</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3.83</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2.55</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2.55</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1.28</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1.28</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10"/>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垫江县高安镇城镇管理服务中心</w:t>
            </w: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31.41</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23.38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23.38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31.41</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31.41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31.41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31.41</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31.41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31.41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305"/>
        <w:gridCol w:w="4073"/>
        <w:gridCol w:w="3306"/>
        <w:gridCol w:w="3297"/>
        <w:gridCol w:w="3341"/>
      </w:tblGrid>
      <w:tr>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垫江县高安镇城镇管理服务中心</w:t>
            </w: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31.41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31.41</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23.38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23.38</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市场监督管理事务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23.38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23.38</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2013850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23.38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23.38</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3.83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3.83</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3.83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3.83</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2.55</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1.28</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10"/>
        <w:tblW w:w="4994" w:type="pct"/>
        <w:tblInd w:w="0" w:type="dxa"/>
        <w:tblLayout w:type="fixed"/>
        <w:tblCellMar>
          <w:top w:w="0" w:type="dxa"/>
          <w:left w:w="0" w:type="dxa"/>
          <w:bottom w:w="0" w:type="dxa"/>
          <w:right w:w="0" w:type="dxa"/>
        </w:tblCellMar>
      </w:tblPr>
      <w:tblGrid>
        <w:gridCol w:w="803"/>
        <w:gridCol w:w="2809"/>
        <w:gridCol w:w="1541"/>
        <w:gridCol w:w="873"/>
        <w:gridCol w:w="2032"/>
        <w:gridCol w:w="1418"/>
        <w:gridCol w:w="873"/>
        <w:gridCol w:w="3463"/>
        <w:gridCol w:w="1492"/>
      </w:tblGrid>
      <w:tr>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垫江县高安镇城镇管理服务中心</w:t>
            </w:r>
          </w:p>
        </w:tc>
        <w:tc>
          <w:tcPr>
            <w:tcW w:w="4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31.09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7.53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14.07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31.09</w:t>
            </w:r>
            <w:r>
              <w:rPr>
                <w:rFonts w:ascii="Times New Roman" w:hAnsi="Times New Roman"/>
                <w:color w:val="000000"/>
                <w:sz w:val="18"/>
                <w:u w:color="auto"/>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0.32</w:t>
            </w:r>
            <w:r>
              <w:rPr>
                <w:rFonts w:ascii="Times New Roman" w:hAnsi="Times New Roman"/>
                <w:color w:val="000000"/>
                <w:sz w:val="18"/>
                <w:u w:color="auto"/>
              </w:rPr>
              <w:t xml:space="preserve"> </w:t>
            </w:r>
          </w:p>
        </w:tc>
      </w:tr>
    </w:tbl>
    <w:p>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垫江县高安镇城镇管理服务中心</w:t>
            </w: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垫江县高安镇城镇管理服务中心</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10"/>
        <w:tblW w:w="4611" w:type="pct"/>
        <w:tblInd w:w="0" w:type="dxa"/>
        <w:tblLayout w:type="fixed"/>
        <w:tblCellMar>
          <w:top w:w="0" w:type="dxa"/>
          <w:left w:w="170" w:type="dxa"/>
          <w:bottom w:w="0" w:type="dxa"/>
          <w:right w:w="170" w:type="dxa"/>
        </w:tblCellMar>
      </w:tblPr>
      <w:tblGrid>
        <w:gridCol w:w="3179"/>
        <w:gridCol w:w="2416"/>
        <w:gridCol w:w="2375"/>
        <w:gridCol w:w="3674"/>
        <w:gridCol w:w="2487"/>
      </w:tblGrid>
      <w:tr>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垫江县高安镇城镇管理服务中心</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0.02</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pPr>
        <w:rPr>
          <w:rFonts w:hint="default"/>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楷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default"/>
      </w:rPr>
    </w:pPr>
    <w:r>
      <w:rPr>
        <w:rFonts w:hint="default"/>
      </w:rPr>
      <w:pict>
        <v:shape id="文本框 2" o:spid="_x0000_s4097"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path/>
          <v:fill on="f" focussize="0,0"/>
          <v:stroke on="f" weight="0.5pt"/>
          <v:imagedata o:title=""/>
          <o:lock v:ext="edit" aspectratio="f"/>
          <v:textbox inset="0mm,0mm,0mm,0mm" style="mso-fit-shape-to-text:t;">
            <w:txbxContent>
              <w:p>
                <w:pPr>
                  <w:pStyle w:val="6"/>
                  <w:rPr>
                    <w:rFonts w:hint="default"/>
                  </w:rPr>
                </w:pPr>
                <w:r>
                  <w:fldChar w:fldCharType="begin"/>
                </w:r>
                <w:r>
                  <w:instrText xml:space="preserve"> PAGE  \* MERGEFORMAT </w:instrText>
                </w:r>
                <w:r>
                  <w:fldChar w:fldCharType="separate"/>
                </w:r>
                <w:r>
                  <w:rPr>
                    <w:rFonts w:hint="default"/>
                  </w:rPr>
                  <w:t>- 23 -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rPr>
        <w:rFonts w:hint="default"/>
      </w:rPr>
    </w:pPr>
    <w:r>
      <w:rPr>
        <w:rFonts w:hint="default" w:ascii="宋体" w:hAnsi="宋体" w:eastAsia="宋体" w:cs="Times New Roman"/>
        <w:sz w:val="18"/>
        <w:szCs w:val="18"/>
        <w:lang w:val="en-US" w:eastAsia="zh-CN" w:bidi="ar-SA"/>
      </w:rPr>
      <w:pict>
        <v:rect id="文本框 127" o:spid="_x0000_s4098" o:spt="1" style="position:absolute;left:0pt;margin-top:0pt;height:144pt;width:144pt;mso-position-horizontal:center;mso-position-horizontal-relative:margin;mso-wrap-style:none;z-index:251660288;mso-width-relative:page;mso-height-relative:page;" fillcolor="#FFFFFF" filled="f" o:preferrelative="t" stroked="f" coordsize="21600,21600" o:allowoverlap="f">
          <v:path/>
          <v:fill on="f" color2="#FFFFFF" focussize="0,0"/>
          <v:stroke on="f"/>
          <v:imagedata gain="65536f" blacklevel="0f" gamma="0" o:title=""/>
          <o:lock v:ext="edit" position="f" selection="f" grouping="f" rotation="f" cropping="f" text="f" aspectratio="f"/>
          <v:textbox inset="0mm,0mm,0mm,0mm" style="mso-fit-shape-to-text:t;">
            <w:txbxContent>
              <w:p>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33 -</w:t>
                </w:r>
                <w:r>
                  <w:fldChar w:fldCharType="end"/>
                </w:r>
                <w:r>
                  <w:t xml:space="preserve"> </w:t>
                </w:r>
              </w:p>
            </w:txbxContent>
          </v:textbox>
        </v:rect>
      </w:pict>
    </w:r>
    <w:r>
      <w:rPr>
        <w:rFonts w:hint="default" w:ascii="宋体" w:hAnsi="宋体" w:eastAsia="宋体" w:cs="Times New Roman"/>
        <w:sz w:val="18"/>
        <w:szCs w:val="18"/>
        <w:lang w:val="en-US" w:eastAsia="zh-CN" w:bidi="ar-SA"/>
      </w:rPr>
      <w:pict>
        <v:rect id="文本框 126" o:spid="_x0000_s4099" o:spt="1" style="position:absolute;left:0pt;margin-top:1160.4pt;height:17.4pt;width:144pt;mso-position-horizontal:center;mso-position-horizontal-relative:margin;mso-position-vertical-relative:page;mso-wrap-style:none;z-index:251659264;mso-width-relative:page;mso-height-relative:page;" fillcolor="#FFFFFF" filled="f" o:preferrelative="t" stroked="f" coordsize="21600,21600" o:allowoverlap="f">
          <v:path/>
          <v:fill on="f" color2="#FFFFFF" focussize="0,0"/>
          <v:stroke on="f"/>
          <v:imagedata gain="65536f" blacklevel="0f" gamma="0" o:title=""/>
          <o:lock v:ext="edit" position="f" selection="f" grouping="f" rotation="f" cropping="f" text="f" aspectratio="f"/>
          <v:textbox inset="0mm,0mm,0mm,0mm">
            <w:txbxContent>
              <w:p>
                <w:pPr>
                  <w:pStyle w:val="6"/>
                  <w:jc w:val="both"/>
                  <w:rPr>
                    <w:rFonts w:hint="default" w:cs="宋体"/>
                  </w:rPr>
                </w:pPr>
                <w:r>
                  <w:rPr>
                    <w:rFonts w:cs="宋体"/>
                  </w:rPr>
                  <w:t>— 27.1 —</w:t>
                </w:r>
              </w:p>
            </w:txbxContent>
          </v:textbox>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20"/>
  <w:drawingGridVerticalSpacing w:val="165"/>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M2IwOTdhODNkZWZiMWQzYjRhMWRiMDM2MTBlZTVlZDUifQ=="/>
  </w:docVars>
  <w:rsids>
    <w:rsidRoot w:val="00B03CCD"/>
    <w:rsid w:val="000C01CC"/>
    <w:rsid w:val="000D7702"/>
    <w:rsid w:val="00261065"/>
    <w:rsid w:val="002D0E5A"/>
    <w:rsid w:val="002E5443"/>
    <w:rsid w:val="0032196C"/>
    <w:rsid w:val="004C12FF"/>
    <w:rsid w:val="00550ABE"/>
    <w:rsid w:val="005B023C"/>
    <w:rsid w:val="00600322"/>
    <w:rsid w:val="006137D7"/>
    <w:rsid w:val="00634FA8"/>
    <w:rsid w:val="0063613A"/>
    <w:rsid w:val="006E2034"/>
    <w:rsid w:val="00732392"/>
    <w:rsid w:val="00792285"/>
    <w:rsid w:val="007A0D2E"/>
    <w:rsid w:val="007A3314"/>
    <w:rsid w:val="007B419D"/>
    <w:rsid w:val="00810F13"/>
    <w:rsid w:val="00944711"/>
    <w:rsid w:val="009821E3"/>
    <w:rsid w:val="00984852"/>
    <w:rsid w:val="009B67B8"/>
    <w:rsid w:val="00A03B1E"/>
    <w:rsid w:val="00A67739"/>
    <w:rsid w:val="00A820B7"/>
    <w:rsid w:val="00AC5566"/>
    <w:rsid w:val="00B03CCD"/>
    <w:rsid w:val="00B40138"/>
    <w:rsid w:val="00BF5A85"/>
    <w:rsid w:val="00C307F6"/>
    <w:rsid w:val="00C96B11"/>
    <w:rsid w:val="00CC6B99"/>
    <w:rsid w:val="00DF7706"/>
    <w:rsid w:val="00E05175"/>
    <w:rsid w:val="00E654E2"/>
    <w:rsid w:val="00E76362"/>
    <w:rsid w:val="00F137D3"/>
    <w:rsid w:val="00F13C36"/>
    <w:rsid w:val="00F23C68"/>
    <w:rsid w:val="00F32C53"/>
    <w:rsid w:val="00F73F90"/>
    <w:rsid w:val="00F7623D"/>
    <w:rsid w:val="00F8598B"/>
    <w:rsid w:val="00FA0819"/>
    <w:rsid w:val="01474EBF"/>
    <w:rsid w:val="01F3521E"/>
    <w:rsid w:val="025D709C"/>
    <w:rsid w:val="03B87EA0"/>
    <w:rsid w:val="03E3214F"/>
    <w:rsid w:val="044C50BA"/>
    <w:rsid w:val="05BC6D49"/>
    <w:rsid w:val="06194FF1"/>
    <w:rsid w:val="06A2550B"/>
    <w:rsid w:val="06F80EE2"/>
    <w:rsid w:val="07001CCA"/>
    <w:rsid w:val="075678DB"/>
    <w:rsid w:val="079D7CC7"/>
    <w:rsid w:val="08051BCA"/>
    <w:rsid w:val="086C12F4"/>
    <w:rsid w:val="08BA052C"/>
    <w:rsid w:val="08DB07BA"/>
    <w:rsid w:val="0969353F"/>
    <w:rsid w:val="098305D0"/>
    <w:rsid w:val="098A0877"/>
    <w:rsid w:val="09D53DBE"/>
    <w:rsid w:val="0A5C4B69"/>
    <w:rsid w:val="0A86124A"/>
    <w:rsid w:val="0AB54CC0"/>
    <w:rsid w:val="0B9335CE"/>
    <w:rsid w:val="0C7927C4"/>
    <w:rsid w:val="0C9B098C"/>
    <w:rsid w:val="0D673E11"/>
    <w:rsid w:val="0D9651C4"/>
    <w:rsid w:val="0DDA54E4"/>
    <w:rsid w:val="0E3A5F83"/>
    <w:rsid w:val="0E74421A"/>
    <w:rsid w:val="0F836721"/>
    <w:rsid w:val="0FA25D96"/>
    <w:rsid w:val="0FC75402"/>
    <w:rsid w:val="107B59E5"/>
    <w:rsid w:val="10EC0126"/>
    <w:rsid w:val="10F70B9A"/>
    <w:rsid w:val="111445C7"/>
    <w:rsid w:val="114278C6"/>
    <w:rsid w:val="1158083A"/>
    <w:rsid w:val="11643A4B"/>
    <w:rsid w:val="11ED0F98"/>
    <w:rsid w:val="11F03528"/>
    <w:rsid w:val="12452777"/>
    <w:rsid w:val="12C921C4"/>
    <w:rsid w:val="13871C70"/>
    <w:rsid w:val="13A71CB4"/>
    <w:rsid w:val="13AF1D43"/>
    <w:rsid w:val="13CE1647"/>
    <w:rsid w:val="13FD55AB"/>
    <w:rsid w:val="14063EC3"/>
    <w:rsid w:val="14200702"/>
    <w:rsid w:val="163A6CEE"/>
    <w:rsid w:val="173708E3"/>
    <w:rsid w:val="17C374FC"/>
    <w:rsid w:val="17CD1772"/>
    <w:rsid w:val="18710BCD"/>
    <w:rsid w:val="189079DC"/>
    <w:rsid w:val="189B0D0B"/>
    <w:rsid w:val="18B43F7C"/>
    <w:rsid w:val="194A1770"/>
    <w:rsid w:val="19B906A4"/>
    <w:rsid w:val="1B6F15B6"/>
    <w:rsid w:val="1BAA2EDC"/>
    <w:rsid w:val="1C5C0973"/>
    <w:rsid w:val="1CA55E64"/>
    <w:rsid w:val="1D014A01"/>
    <w:rsid w:val="1D022362"/>
    <w:rsid w:val="1D1B04B0"/>
    <w:rsid w:val="1DBD6767"/>
    <w:rsid w:val="1DC52125"/>
    <w:rsid w:val="1DD26311"/>
    <w:rsid w:val="1E374ACB"/>
    <w:rsid w:val="1E5E27E3"/>
    <w:rsid w:val="1ECF0A66"/>
    <w:rsid w:val="1EF67CA4"/>
    <w:rsid w:val="1F020D3A"/>
    <w:rsid w:val="1F2C5189"/>
    <w:rsid w:val="1F4B0B02"/>
    <w:rsid w:val="1FBB35CD"/>
    <w:rsid w:val="1FCD26AF"/>
    <w:rsid w:val="20642787"/>
    <w:rsid w:val="21556F04"/>
    <w:rsid w:val="22403BD3"/>
    <w:rsid w:val="230C323D"/>
    <w:rsid w:val="23DA37D9"/>
    <w:rsid w:val="24B92327"/>
    <w:rsid w:val="24C14514"/>
    <w:rsid w:val="2533755C"/>
    <w:rsid w:val="25791755"/>
    <w:rsid w:val="26396DF4"/>
    <w:rsid w:val="27167136"/>
    <w:rsid w:val="27B23302"/>
    <w:rsid w:val="29310A5F"/>
    <w:rsid w:val="29C37A35"/>
    <w:rsid w:val="2A076083"/>
    <w:rsid w:val="2A73162E"/>
    <w:rsid w:val="2B167953"/>
    <w:rsid w:val="2B200583"/>
    <w:rsid w:val="2B8209DE"/>
    <w:rsid w:val="2C6762A3"/>
    <w:rsid w:val="2EBF7B3E"/>
    <w:rsid w:val="2EDE1934"/>
    <w:rsid w:val="2FCA4B37"/>
    <w:rsid w:val="2FE029D7"/>
    <w:rsid w:val="2FF06E00"/>
    <w:rsid w:val="30562E26"/>
    <w:rsid w:val="30586FEC"/>
    <w:rsid w:val="30EC7046"/>
    <w:rsid w:val="315F0B22"/>
    <w:rsid w:val="319D022C"/>
    <w:rsid w:val="31C90022"/>
    <w:rsid w:val="31D84415"/>
    <w:rsid w:val="32285F6F"/>
    <w:rsid w:val="326E2C14"/>
    <w:rsid w:val="32770556"/>
    <w:rsid w:val="329C0913"/>
    <w:rsid w:val="32AA0460"/>
    <w:rsid w:val="3337290D"/>
    <w:rsid w:val="33E31118"/>
    <w:rsid w:val="33EF7674"/>
    <w:rsid w:val="342D7BC6"/>
    <w:rsid w:val="352930DB"/>
    <w:rsid w:val="35573069"/>
    <w:rsid w:val="355F6038"/>
    <w:rsid w:val="358C217E"/>
    <w:rsid w:val="35937598"/>
    <w:rsid w:val="36C9128A"/>
    <w:rsid w:val="372E3953"/>
    <w:rsid w:val="37841E99"/>
    <w:rsid w:val="37BF1123"/>
    <w:rsid w:val="383C3F15"/>
    <w:rsid w:val="38BE4696"/>
    <w:rsid w:val="3939115E"/>
    <w:rsid w:val="39B82A39"/>
    <w:rsid w:val="39C42CA8"/>
    <w:rsid w:val="39DC4FD6"/>
    <w:rsid w:val="39F03D7A"/>
    <w:rsid w:val="39F33306"/>
    <w:rsid w:val="3A2C1C67"/>
    <w:rsid w:val="3B1705E5"/>
    <w:rsid w:val="3B18334B"/>
    <w:rsid w:val="3B36794F"/>
    <w:rsid w:val="3C5011E5"/>
    <w:rsid w:val="3C566AD6"/>
    <w:rsid w:val="3C6A5B02"/>
    <w:rsid w:val="3D2757A1"/>
    <w:rsid w:val="3D3D4FC4"/>
    <w:rsid w:val="3DDF3AB1"/>
    <w:rsid w:val="3E1D0952"/>
    <w:rsid w:val="3E42660A"/>
    <w:rsid w:val="3E7555B1"/>
    <w:rsid w:val="3E787ED9"/>
    <w:rsid w:val="3EEC37F3"/>
    <w:rsid w:val="3F032E93"/>
    <w:rsid w:val="3F0527E5"/>
    <w:rsid w:val="3F694D83"/>
    <w:rsid w:val="3F885DCC"/>
    <w:rsid w:val="3FA622AF"/>
    <w:rsid w:val="3FCD675E"/>
    <w:rsid w:val="4004000C"/>
    <w:rsid w:val="411B6CE5"/>
    <w:rsid w:val="412070D7"/>
    <w:rsid w:val="41314E40"/>
    <w:rsid w:val="41E0734B"/>
    <w:rsid w:val="426554D0"/>
    <w:rsid w:val="426C1EA8"/>
    <w:rsid w:val="42736402"/>
    <w:rsid w:val="42D77229"/>
    <w:rsid w:val="42E86A87"/>
    <w:rsid w:val="43307B09"/>
    <w:rsid w:val="438D0E97"/>
    <w:rsid w:val="43BB152F"/>
    <w:rsid w:val="44C37687"/>
    <w:rsid w:val="45CB699A"/>
    <w:rsid w:val="465B470D"/>
    <w:rsid w:val="469D6AD4"/>
    <w:rsid w:val="471A65D2"/>
    <w:rsid w:val="471E6C84"/>
    <w:rsid w:val="4748792B"/>
    <w:rsid w:val="475D719D"/>
    <w:rsid w:val="47674801"/>
    <w:rsid w:val="48225EF7"/>
    <w:rsid w:val="488F422B"/>
    <w:rsid w:val="48E36915"/>
    <w:rsid w:val="495C4A24"/>
    <w:rsid w:val="497135DF"/>
    <w:rsid w:val="4A263DF2"/>
    <w:rsid w:val="4A6F6675"/>
    <w:rsid w:val="4B0502DF"/>
    <w:rsid w:val="4B135857"/>
    <w:rsid w:val="4B7951CB"/>
    <w:rsid w:val="4B7C315C"/>
    <w:rsid w:val="4DAC4ACA"/>
    <w:rsid w:val="4DBE01D2"/>
    <w:rsid w:val="4ED91C4B"/>
    <w:rsid w:val="4EFC6D10"/>
    <w:rsid w:val="4F0C6BA3"/>
    <w:rsid w:val="4F10477D"/>
    <w:rsid w:val="4F186D58"/>
    <w:rsid w:val="4FEA65B7"/>
    <w:rsid w:val="4FF4660A"/>
    <w:rsid w:val="50F06B6E"/>
    <w:rsid w:val="511C4FE5"/>
    <w:rsid w:val="52234D33"/>
    <w:rsid w:val="522F6E0C"/>
    <w:rsid w:val="52463BA1"/>
    <w:rsid w:val="52EE5785"/>
    <w:rsid w:val="52F163D4"/>
    <w:rsid w:val="531A2DB4"/>
    <w:rsid w:val="53C0244D"/>
    <w:rsid w:val="53DD4D4E"/>
    <w:rsid w:val="53E578CE"/>
    <w:rsid w:val="541330F0"/>
    <w:rsid w:val="54272666"/>
    <w:rsid w:val="543B029D"/>
    <w:rsid w:val="54861779"/>
    <w:rsid w:val="552256E1"/>
    <w:rsid w:val="554E5773"/>
    <w:rsid w:val="555A3CBC"/>
    <w:rsid w:val="5582012B"/>
    <w:rsid w:val="558E4E05"/>
    <w:rsid w:val="55BE2E85"/>
    <w:rsid w:val="55DF6D8C"/>
    <w:rsid w:val="56530F5D"/>
    <w:rsid w:val="567700D3"/>
    <w:rsid w:val="56FF7E9E"/>
    <w:rsid w:val="578867FC"/>
    <w:rsid w:val="5842572D"/>
    <w:rsid w:val="5A3B59D6"/>
    <w:rsid w:val="5AD134D8"/>
    <w:rsid w:val="5B6503B1"/>
    <w:rsid w:val="5C263CE4"/>
    <w:rsid w:val="5C271E39"/>
    <w:rsid w:val="5C5D2777"/>
    <w:rsid w:val="5CF66BF3"/>
    <w:rsid w:val="5D290C69"/>
    <w:rsid w:val="5DBE29F3"/>
    <w:rsid w:val="5F2D4A41"/>
    <w:rsid w:val="60C74F6C"/>
    <w:rsid w:val="61025A59"/>
    <w:rsid w:val="613D5BBC"/>
    <w:rsid w:val="61536C39"/>
    <w:rsid w:val="62944DD7"/>
    <w:rsid w:val="6319381F"/>
    <w:rsid w:val="63236436"/>
    <w:rsid w:val="6366447C"/>
    <w:rsid w:val="63971723"/>
    <w:rsid w:val="63C25DC5"/>
    <w:rsid w:val="63C62057"/>
    <w:rsid w:val="64571EF5"/>
    <w:rsid w:val="64FB113D"/>
    <w:rsid w:val="656152C6"/>
    <w:rsid w:val="6587477F"/>
    <w:rsid w:val="658C3A08"/>
    <w:rsid w:val="65C031CA"/>
    <w:rsid w:val="65CE6852"/>
    <w:rsid w:val="66267C04"/>
    <w:rsid w:val="663F505A"/>
    <w:rsid w:val="66967186"/>
    <w:rsid w:val="66EE5541"/>
    <w:rsid w:val="67924660"/>
    <w:rsid w:val="68407834"/>
    <w:rsid w:val="6883293E"/>
    <w:rsid w:val="688412AD"/>
    <w:rsid w:val="68EB1B71"/>
    <w:rsid w:val="69475C96"/>
    <w:rsid w:val="69A43809"/>
    <w:rsid w:val="6AAD2300"/>
    <w:rsid w:val="6B474EF5"/>
    <w:rsid w:val="6BBF53FD"/>
    <w:rsid w:val="6C560CAE"/>
    <w:rsid w:val="6C576495"/>
    <w:rsid w:val="6C635A0A"/>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6650B0"/>
    <w:rsid w:val="73934AD2"/>
    <w:rsid w:val="750837F0"/>
    <w:rsid w:val="754758CF"/>
    <w:rsid w:val="764F62AB"/>
    <w:rsid w:val="765C45EC"/>
    <w:rsid w:val="768A7619"/>
    <w:rsid w:val="772E1EBA"/>
    <w:rsid w:val="77EB79F7"/>
    <w:rsid w:val="796D60A4"/>
    <w:rsid w:val="79A031D5"/>
    <w:rsid w:val="7A1525F7"/>
    <w:rsid w:val="7B420052"/>
    <w:rsid w:val="7B861484"/>
    <w:rsid w:val="7BD06A28"/>
    <w:rsid w:val="7C3A7C0B"/>
    <w:rsid w:val="7C5248E4"/>
    <w:rsid w:val="7C566698"/>
    <w:rsid w:val="7C5866A3"/>
    <w:rsid w:val="7D7406BB"/>
    <w:rsid w:val="7DE94331"/>
    <w:rsid w:val="7F094A46"/>
    <w:rsid w:val="7F446A19"/>
    <w:rsid w:val="7F7452B9"/>
    <w:rsid w:val="7FA6761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paragraph" w:styleId="2">
    <w:name w:val="heading 2"/>
    <w:basedOn w:val="1"/>
    <w:next w:val="1"/>
    <w:unhideWhenUsed/>
    <w:qFormat/>
    <w:uiPriority w:val="0"/>
    <w:pPr>
      <w:keepNext/>
      <w:keepLines/>
      <w:spacing w:before="260" w:after="260" w:line="416" w:lineRule="auto"/>
      <w:outlineLvl w:val="1"/>
    </w:pPr>
    <w:rPr>
      <w:rFonts w:ascii="Arial" w:hAnsi="Arial" w:eastAsia="黑体"/>
      <w:b/>
      <w:bCs/>
      <w:sz w:val="32"/>
      <w:szCs w:val="32"/>
    </w:rPr>
  </w:style>
  <w:style w:type="paragraph" w:styleId="3">
    <w:name w:val="heading 4"/>
    <w:basedOn w:val="2"/>
    <w:next w:val="1"/>
    <w:unhideWhenUsed/>
    <w:qFormat/>
    <w:uiPriority w:val="0"/>
    <w:pPr>
      <w:keepNext/>
      <w:keepLines/>
      <w:spacing w:line="372" w:lineRule="auto"/>
      <w:outlineLvl w:val="3"/>
    </w:pPr>
    <w:rPr>
      <w:rFonts w:ascii="Arial" w:hAnsi="Arial" w:eastAsia="黑体"/>
      <w:sz w:val="28"/>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Normal Indent"/>
    <w:basedOn w:val="1"/>
    <w:next w:val="1"/>
    <w:qFormat/>
    <w:uiPriority w:val="0"/>
    <w:pPr>
      <w:ind w:firstLine="567"/>
    </w:pPr>
  </w:style>
  <w:style w:type="paragraph" w:styleId="5">
    <w:name w:val="Balloon Text"/>
    <w:basedOn w:val="1"/>
    <w:link w:val="18"/>
    <w:qFormat/>
    <w:uiPriority w:val="0"/>
    <w:rPr>
      <w:sz w:val="18"/>
      <w:szCs w:val="18"/>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qFormat/>
    <w:uiPriority w:val="0"/>
    <w:rPr>
      <w:b/>
    </w:r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paragraph" w:customStyle="1" w:styleId="16">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7">
    <w:name w:val="21"/>
    <w:qFormat/>
    <w:uiPriority w:val="0"/>
    <w:rPr>
      <w:rFonts w:hint="default" w:ascii="Wingdings" w:hAnsi="Wingdings" w:cs="Wingdings"/>
      <w:b/>
      <w:bCs/>
    </w:rPr>
  </w:style>
  <w:style w:type="character" w:customStyle="1" w:styleId="18">
    <w:name w:val="批注框文本 Char"/>
    <w:basedOn w:val="12"/>
    <w:link w:val="5"/>
    <w:qFormat/>
    <w:uiPriority w:val="0"/>
    <w:rPr>
      <w:rFonts w:ascii="宋体" w:hAnsi="宋体"/>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textRotate="1"/>
    <customShpInfo spid="_x0000_s4098" textRotate="1"/>
    <customShpInfo spid="_x0000_s409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8086</Words>
  <Characters>10027</Characters>
  <Lines>194</Lines>
  <Paragraphs>54</Paragraphs>
  <TotalTime>0</TotalTime>
  <ScaleCrop>false</ScaleCrop>
  <LinksUpToDate>false</LinksUpToDate>
  <CharactersWithSpaces>11040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扬尘</cp:lastModifiedBy>
  <dcterms:modified xsi:type="dcterms:W3CDTF">2025-12-17T07:47:50Z</dcterms:modified>
  <dc:title>垫江县高安镇城镇管理服务中心2024年度决算公开说明</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0DF320FD913E4E1BA94D8E751F1D601F_13</vt:lpwstr>
  </property>
  <property fmtid="{D5CDD505-2E9C-101B-9397-08002B2CF9AE}" pid="4" name="KSOTemplateDocerSaveRecord">
    <vt:lpwstr>eyJoZGlkIjoiNjM0Zjk5YTc4NjQ1NmYyOGViZjRkNWIzZWJhYTE3YWEiLCJ1c2VySWQiOiIzODk0NTM2OTAifQ==</vt:lpwstr>
  </property>
</Properties>
</file>