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垫江县高峰镇人民政府（本级）</w:t>
      </w:r>
      <w:r>
        <w:rPr>
          <w:rFonts w:ascii="方正小标宋_GBK" w:hAnsi="方正小标宋_GBK" w:eastAsia="方正小标宋_GBK" w:cs="方正小标宋_GBK"/>
          <w:sz w:val="36"/>
          <w:szCs w:val="36"/>
          <w:shd w:val="clear" w:color="auto" w:fill="FFFFFF"/>
        </w:rPr>
        <w:t>2023年度决算公开  说明</w:t>
      </w:r>
    </w:p>
    <w:p>
      <w:pPr>
        <w:pStyle w:val="6"/>
        <w:shd w:val="clear" w:color="auto" w:fill="FFFFFF"/>
        <w:spacing w:before="0" w:beforeAutospacing="0" w:after="0" w:afterAutospacing="0" w:line="596" w:lineRule="exact"/>
        <w:ind w:firstLine="643" w:firstLineChars="200"/>
        <w:jc w:val="both"/>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（2）负责乡人民代表大会、主席团履行法定职权的具体工作。组织人大代表视察、调研、评议等工作。完成党委、人大主席团交办的其他工作。 </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负责普法教育、防邪、禁毒、综治、信访、维稳等工作。负责基层民间矛盾纠纷调解工作。组织、指导、协调、检查、督促辖区内各基层组织和企事业单位的社会治安综合治理等工作。完成党委、政府交办的其他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负责劳动就业和社会保障、农村劳务开发管理等具体工作。负责就业培训、职业指导、就业失业登记等相关工作。负责养老、医疗、工伤、生育、失业保险具体办理工作。负责劳动关系协调、离退休人员社会管理服务等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snapToGrid w:val="0"/>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（14）负责配合综合行政执法办公室做好有关农林水利、规划建设、卫生健康、市容环卫、环境保护、文化旅游、民政管理、消防等方面的执法工作。</w:t>
      </w:r>
    </w:p>
    <w:p>
      <w:pPr>
        <w:pStyle w:val="6"/>
        <w:shd w:val="clear" w:color="auto" w:fill="FFFFFF"/>
        <w:spacing w:before="0" w:beforeAutospacing="0" w:after="0" w:afterAutospacing="0" w:line="596" w:lineRule="exact"/>
        <w:ind w:firstLine="643" w:firstLineChars="200"/>
        <w:jc w:val="both"/>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spacing w:before="0" w:beforeAutospacing="0" w:after="0" w:afterAutospacing="0" w:line="596" w:lineRule="exact"/>
        <w:ind w:firstLine="640" w:firstLineChars="200"/>
        <w:jc w:val="both"/>
        <w:rPr>
          <w:rFonts w:hint="default" w:ascii="仿宋_GB2312" w:eastAsia="仿宋_GB2312"/>
          <w:sz w:val="32"/>
          <w:szCs w:val="32"/>
        </w:rPr>
      </w:pPr>
      <w:r>
        <w:rPr>
          <w:rFonts w:ascii="方正仿宋_GBK" w:hAnsi="方正仿宋_GBK" w:eastAsia="方正仿宋_GBK" w:cs="方正仿宋_GBK"/>
          <w:sz w:val="32"/>
          <w:szCs w:val="32"/>
          <w:shd w:val="clear" w:color="auto" w:fill="FFFFFF"/>
        </w:rPr>
        <w:t>纳入本单位2023年度决算编制单位主要是垫江县高峰镇人民政府（本级），下属事业单位本年度单独编制决算。</w:t>
      </w:r>
    </w:p>
    <w:p>
      <w:pPr>
        <w:pStyle w:val="6"/>
        <w:shd w:val="clear" w:color="auto" w:fill="FFFFFF"/>
        <w:spacing w:before="0" w:beforeAutospacing="0" w:after="0" w:afterAutospacing="0" w:line="596"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2023年度收入总计3646.95万元，支出总计</w:t>
      </w:r>
      <w:r>
        <w:rPr>
          <w:rFonts w:ascii="方正仿宋_GBK" w:hAnsi="方正仿宋_GBK" w:eastAsia="方正仿宋_GBK" w:cs="方正仿宋_GBK"/>
          <w:sz w:val="32"/>
          <w:szCs w:val="32"/>
        </w:rPr>
        <w:t>3646.95</w:t>
      </w:r>
      <w:r>
        <w:rPr>
          <w:rFonts w:ascii="方正仿宋_GBK" w:hAnsi="方正仿宋_GBK" w:eastAsia="方正仿宋_GBK" w:cs="方正仿宋_GBK"/>
          <w:sz w:val="32"/>
          <w:szCs w:val="32"/>
          <w:shd w:val="clear" w:color="auto" w:fill="FFFFFF"/>
        </w:rPr>
        <w:t>万元。收支较上年决算数增加1154.92万元，增长46.34%，主要原因是基本支出减少219.37万元，项目支出增加1374.29万元。</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3628.95万元，较上年决算数增加1314.99万元，增长56.83%，主要原因是一般公共预算财政拨款收入增加464.47万元，政府性基金预算财政拨款收入增加850.46万元，国有资本经营预算财政拨款收入增加0.06万元。其中：财政拨款收入</w:t>
      </w:r>
      <w:r>
        <w:rPr>
          <w:rFonts w:ascii="方正仿宋_GBK" w:hAnsi="方正仿宋_GBK" w:eastAsia="方正仿宋_GBK" w:cs="方正仿宋_GBK"/>
          <w:sz w:val="32"/>
          <w:szCs w:val="32"/>
        </w:rPr>
        <w:t>3628.95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18.00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3646.95</w:t>
      </w:r>
      <w:r>
        <w:rPr>
          <w:rFonts w:ascii="方正仿宋_GBK" w:hAnsi="方正仿宋_GBK" w:eastAsia="方正仿宋_GBK" w:cs="方正仿宋_GBK"/>
          <w:sz w:val="32"/>
          <w:szCs w:val="32"/>
          <w:shd w:val="clear" w:color="auto" w:fill="FFFFFF"/>
        </w:rPr>
        <w:t>万元，较上年决算数增加1154.92万元，增长46.34%，主要原因是基本支出减少219.37万元，项目支出增加1374.29万元。其中：基本支出</w:t>
      </w:r>
      <w:r>
        <w:rPr>
          <w:rFonts w:ascii="方正仿宋_GBK" w:hAnsi="方正仿宋_GBK" w:eastAsia="方正仿宋_GBK" w:cs="方正仿宋_GBK"/>
          <w:sz w:val="32"/>
          <w:szCs w:val="32"/>
        </w:rPr>
        <w:t>1333.49</w:t>
      </w:r>
      <w:r>
        <w:rPr>
          <w:rFonts w:ascii="方正仿宋_GBK" w:hAnsi="方正仿宋_GBK" w:eastAsia="方正仿宋_GBK" w:cs="方正仿宋_GBK"/>
          <w:sz w:val="32"/>
          <w:szCs w:val="32"/>
          <w:shd w:val="clear" w:color="auto" w:fill="FFFFFF"/>
        </w:rPr>
        <w:t>万元，占36.56%；项目支出</w:t>
      </w:r>
      <w:r>
        <w:rPr>
          <w:rFonts w:ascii="方正仿宋_GBK" w:hAnsi="方正仿宋_GBK" w:eastAsia="方正仿宋_GBK" w:cs="方正仿宋_GBK"/>
          <w:sz w:val="32"/>
          <w:szCs w:val="32"/>
        </w:rPr>
        <w:t>2313.46</w:t>
      </w:r>
      <w:r>
        <w:rPr>
          <w:rFonts w:ascii="方正仿宋_GBK" w:hAnsi="方正仿宋_GBK" w:eastAsia="方正仿宋_GBK" w:cs="方正仿宋_GBK"/>
          <w:sz w:val="32"/>
          <w:szCs w:val="32"/>
          <w:shd w:val="clear" w:color="auto" w:fill="FFFFFF"/>
        </w:rPr>
        <w:t>万元，占63.44%；经营支出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万元，较上年决算数无增减，主要原因是本年实现收支平衡。</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3646.95万元。与2022年相比，财政拨款收、支总计各增加1154.92万元，增长46.34%。主要原因是一般公共预算财政拨款收入增加464.47万元，政府性基金预算财政拨款收入增加850.46万元，国有资本经营预算财政拨款收入增加0.06万元。基本支出减少219.37万元，项目支出增加1374.29万元。</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2770.71</w:t>
      </w:r>
      <w:r>
        <w:rPr>
          <w:rFonts w:ascii="方正仿宋_GBK" w:hAnsi="方正仿宋_GBK" w:eastAsia="方正仿宋_GBK" w:cs="方正仿宋_GBK"/>
          <w:sz w:val="32"/>
          <w:szCs w:val="32"/>
          <w:shd w:val="clear" w:color="auto" w:fill="FFFFFF"/>
        </w:rPr>
        <w:t>万元，较上年决算数增加464.47万元，增长20.14%。主要原因是一般公共预算财政拨款基本支出减少195.09万元，一般公共预算财政拨款项目支出增加659.56万元。较年初预算数增加1407.09万元，增长103.19%。主要原因是农林水、灾害防治及应急管理、支持中小企业发展等项目经费收入增加。此外，年初财政拨款结转和结余</w:t>
      </w:r>
      <w:r>
        <w:rPr>
          <w:rFonts w:ascii="方正仿宋_GBK" w:hAnsi="方正仿宋_GBK" w:eastAsia="方正仿宋_GBK" w:cs="方正仿宋_GBK"/>
          <w:sz w:val="32"/>
          <w:szCs w:val="32"/>
        </w:rPr>
        <w:t>18.00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2788.71</w:t>
      </w:r>
      <w:r>
        <w:rPr>
          <w:rFonts w:ascii="方正仿宋_GBK" w:hAnsi="方正仿宋_GBK" w:eastAsia="方正仿宋_GBK" w:cs="方正仿宋_GBK"/>
          <w:sz w:val="32"/>
          <w:szCs w:val="32"/>
          <w:shd w:val="clear" w:color="auto" w:fill="FFFFFF"/>
        </w:rPr>
        <w:t>万元，较上年决算数增加304.40万元，增长12.25%。主要原因是一般公共预算财政拨款基本支出减少-219.37万元，一般公共预算财政拨款项目支出增加523.77万元。较年初预算数增加1425.09万元，增长104.51%。主要原因是农林水、灾害防治及应急管理、支持中小企业发展等项目经费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万元，较上年决算数无增减，主要原因是本年实现收支平衡。</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1166.70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41.84</w:t>
      </w:r>
      <w:r>
        <w:rPr>
          <w:rFonts w:ascii="方正仿宋_GBK" w:hAnsi="方正仿宋_GBK" w:eastAsia="方正仿宋_GBK" w:cs="方正仿宋_GBK"/>
          <w:sz w:val="32"/>
          <w:szCs w:val="32"/>
          <w:shd w:val="clear" w:color="auto" w:fill="FFFFFF"/>
        </w:rPr>
        <w:t>%，较年初预算数增加335.50万元，增长40.36%，主要原因是商贸事务、招商引资、市场监督管理事务等支出增加。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28.19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1.01</w:t>
      </w:r>
      <w:r>
        <w:rPr>
          <w:rFonts w:ascii="方正仿宋_GBK" w:hAnsi="方正仿宋_GBK" w:eastAsia="方正仿宋_GBK" w:cs="方正仿宋_GBK"/>
          <w:sz w:val="32"/>
          <w:szCs w:val="32"/>
          <w:shd w:val="clear" w:color="auto" w:fill="FFFFFF"/>
        </w:rPr>
        <w:t>%，较年初预算数增加28.19万元，增长100.00%，主要原因是劝导站及劝导员工作补助支出增加。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0.36</w:t>
      </w:r>
      <w:r>
        <w:rPr>
          <w:rFonts w:ascii="方正仿宋_GBK" w:hAnsi="方正仿宋_GBK" w:eastAsia="方正仿宋_GBK" w:cs="方正仿宋_GBK"/>
          <w:sz w:val="32"/>
          <w:szCs w:val="32"/>
          <w:shd w:val="clear" w:color="auto" w:fill="FFFFFF"/>
        </w:rPr>
        <w:t>%，较年初预算数增加10.00万元，增长100.00%，主要原因是科普宣传栏费用支出增加。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49.41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1.77</w:t>
      </w:r>
      <w:r>
        <w:rPr>
          <w:rFonts w:ascii="方正仿宋_GBK" w:hAnsi="方正仿宋_GBK" w:eastAsia="方正仿宋_GBK" w:cs="方正仿宋_GBK"/>
          <w:sz w:val="32"/>
          <w:szCs w:val="32"/>
          <w:shd w:val="clear" w:color="auto" w:fill="FFFFFF"/>
        </w:rPr>
        <w:t>%，较年初预算数增加49.41万元，增长100.00%，主要原因是五人制足球场支出增加。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195.61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7.01</w:t>
      </w:r>
      <w:r>
        <w:rPr>
          <w:rFonts w:ascii="方正仿宋_GBK" w:hAnsi="方正仿宋_GBK" w:eastAsia="方正仿宋_GBK" w:cs="方正仿宋_GBK"/>
          <w:sz w:val="32"/>
          <w:szCs w:val="32"/>
          <w:shd w:val="clear" w:color="auto" w:fill="FFFFFF"/>
        </w:rPr>
        <w:t>%，较年初预算数增加69.22万元，增长54.77%，主要原因是社保缴费基数调增，人员新增等支出增加。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50.91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1.83</w:t>
      </w:r>
      <w:r>
        <w:rPr>
          <w:rFonts w:ascii="方正仿宋_GBK" w:hAnsi="方正仿宋_GBK" w:eastAsia="方正仿宋_GBK" w:cs="方正仿宋_GBK"/>
          <w:sz w:val="32"/>
          <w:szCs w:val="32"/>
          <w:shd w:val="clear" w:color="auto" w:fill="FFFFFF"/>
        </w:rPr>
        <w:t>%，较年初预算数增加24.02万元，增长89.33%，主要原因是社保缴费基数调增，人员新增等支出增加。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（7）城乡社区支出</w:t>
      </w:r>
      <w:r>
        <w:rPr>
          <w:rFonts w:ascii="方正仿宋_GBK" w:hAnsi="方正仿宋_GBK" w:eastAsia="方正仿宋_GBK" w:cs="方正仿宋_GBK"/>
          <w:sz w:val="32"/>
          <w:szCs w:val="32"/>
        </w:rPr>
        <w:t>28.68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1.03</w:t>
      </w:r>
      <w:r>
        <w:rPr>
          <w:rFonts w:ascii="方正仿宋_GBK" w:hAnsi="方正仿宋_GBK" w:eastAsia="方正仿宋_GBK" w:cs="方正仿宋_GBK"/>
          <w:sz w:val="32"/>
          <w:szCs w:val="32"/>
          <w:shd w:val="clear" w:color="auto" w:fill="FFFFFF"/>
        </w:rPr>
        <w:t>%，较年初预算数减少20.32万元，下降41.47%，主要原因是场镇清扫费等支出增加。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（8）农林水支出</w:t>
      </w:r>
      <w:r>
        <w:rPr>
          <w:rFonts w:ascii="方正仿宋_GBK" w:hAnsi="方正仿宋_GBK" w:eastAsia="方正仿宋_GBK" w:cs="方正仿宋_GBK"/>
          <w:sz w:val="32"/>
          <w:szCs w:val="32"/>
        </w:rPr>
        <w:t>614.32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22.03</w:t>
      </w:r>
      <w:r>
        <w:rPr>
          <w:rFonts w:ascii="方正仿宋_GBK" w:hAnsi="方正仿宋_GBK" w:eastAsia="方正仿宋_GBK" w:cs="方正仿宋_GBK"/>
          <w:sz w:val="32"/>
          <w:szCs w:val="32"/>
          <w:shd w:val="clear" w:color="auto" w:fill="FFFFFF"/>
        </w:rPr>
        <w:t>%，较年初预算数增加337.96万元，增长122.29%，主要原因是鱼菜共生补助、抗旱、巩固脱贫攻坚成果衔接乡村振兴等支出增加。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（9）交通运输支出</w:t>
      </w:r>
      <w:r>
        <w:rPr>
          <w:rFonts w:ascii="方正仿宋_GBK" w:hAnsi="方正仿宋_GBK" w:eastAsia="方正仿宋_GBK" w:cs="方正仿宋_GBK"/>
          <w:sz w:val="32"/>
          <w:szCs w:val="32"/>
        </w:rPr>
        <w:t>71.24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2.55</w:t>
      </w:r>
      <w:r>
        <w:rPr>
          <w:rFonts w:ascii="方正仿宋_GBK" w:hAnsi="方正仿宋_GBK" w:eastAsia="方正仿宋_GBK" w:cs="方正仿宋_GBK"/>
          <w:sz w:val="32"/>
          <w:szCs w:val="32"/>
          <w:shd w:val="clear" w:color="auto" w:fill="FFFFFF"/>
        </w:rPr>
        <w:t>%，较年初预算数增加71.24万元，增长100.00%，主要原因是公路养护、车辆购置税用于公路等基础设施建设支出增加。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（10）资源勘探信息等支出</w:t>
      </w:r>
      <w:r>
        <w:rPr>
          <w:rFonts w:ascii="方正仿宋_GBK" w:hAnsi="方正仿宋_GBK" w:eastAsia="方正仿宋_GBK" w:cs="方正仿宋_GBK"/>
          <w:sz w:val="32"/>
          <w:szCs w:val="32"/>
        </w:rPr>
        <w:t>496.06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17.79</w:t>
      </w:r>
      <w:r>
        <w:rPr>
          <w:rFonts w:ascii="方正仿宋_GBK" w:hAnsi="方正仿宋_GBK" w:eastAsia="方正仿宋_GBK" w:cs="方正仿宋_GBK"/>
          <w:sz w:val="32"/>
          <w:szCs w:val="32"/>
          <w:shd w:val="clear" w:color="auto" w:fill="FFFFFF"/>
        </w:rPr>
        <w:t>%，较年初预算数增加495.06万元，增长49506.00%，主要原因是支持中小企业发展和管理支出增加。</w:t>
      </w:r>
    </w:p>
    <w:p>
      <w:pPr>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住房保障支出55.60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1.99</w:t>
      </w:r>
      <w:r>
        <w:rPr>
          <w:rFonts w:ascii="方正仿宋_GBK" w:hAnsi="方正仿宋_GBK" w:eastAsia="方正仿宋_GBK" w:cs="方正仿宋_GBK"/>
          <w:sz w:val="32"/>
          <w:szCs w:val="32"/>
          <w:shd w:val="clear" w:color="auto" w:fill="FFFFFF"/>
        </w:rPr>
        <w:t>%，较年初预算数增加2.92万元，增长5.54%，主要原因是人员增加。</w:t>
      </w:r>
    </w:p>
    <w:p>
      <w:pPr>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灾害防治及应急管理支出22.00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0.79</w:t>
      </w:r>
      <w:r>
        <w:rPr>
          <w:rFonts w:ascii="方正仿宋_GBK" w:hAnsi="方正仿宋_GBK" w:eastAsia="方正仿宋_GBK" w:cs="方正仿宋_GBK"/>
          <w:sz w:val="32"/>
          <w:szCs w:val="32"/>
          <w:shd w:val="clear" w:color="auto" w:fill="FFFFFF"/>
        </w:rPr>
        <w:t>%，较年初预算数增加21.90万元，增长21900.00%，主要原因是应急救援、自然灾害救灾补助等支出增加。</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1333.49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974.34</w:t>
      </w:r>
      <w:r>
        <w:rPr>
          <w:rFonts w:ascii="方正仿宋_GBK" w:hAnsi="方正仿宋_GBK" w:eastAsia="方正仿宋_GBK" w:cs="方正仿宋_GBK"/>
          <w:sz w:val="32"/>
          <w:szCs w:val="32"/>
          <w:shd w:val="clear" w:color="auto" w:fill="FFFFFF"/>
        </w:rPr>
        <w:t>万元，较上年决算数减少370.01万元，下降27.52%，主要原因是根据预决算要求，下属5个事业单位2023年独立编制决算。人员经费用途主要包括</w:t>
      </w:r>
      <w:r>
        <w:rPr>
          <w:rFonts w:hint="default" w:ascii="方正仿宋_GBK" w:hAnsi="方正仿宋_GBK" w:eastAsia="方正仿宋_GBK" w:cs="方正仿宋_GBK"/>
          <w:kern w:val="2"/>
          <w:sz w:val="32"/>
          <w:szCs w:val="32"/>
        </w:rPr>
        <w:t>基本工资、津贴补贴、奖金、伙食补助费、绩效工资、社会保障缴费、住房公积金、医疗费、其他工资福利支出。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359.15</w:t>
      </w:r>
      <w:r>
        <w:rPr>
          <w:rFonts w:ascii="方正仿宋_GBK" w:hAnsi="方正仿宋_GBK" w:eastAsia="方正仿宋_GBK" w:cs="方正仿宋_GBK"/>
          <w:sz w:val="32"/>
          <w:szCs w:val="32"/>
          <w:shd w:val="clear" w:color="auto" w:fill="FFFFFF"/>
        </w:rPr>
        <w:t>万元，较上年决算数增加150.63万元，增长72.24%，主要原因是办公费、差旅费、其他商品和服务支出等增加。公用经费用途主要包括</w:t>
      </w:r>
      <w:r>
        <w:rPr>
          <w:rFonts w:hint="default" w:ascii="方正仿宋_GBK" w:hAnsi="方正仿宋_GBK" w:eastAsia="方正仿宋_GBK" w:cs="方正仿宋_GBK"/>
          <w:kern w:val="2"/>
          <w:sz w:val="32"/>
          <w:szCs w:val="32"/>
        </w:rPr>
        <w:t>办公费、水费、电费、邮电费、差旅费、会议费、公务接待、劳务费、工会经费、公务用车运行维护费、其他交通费用和其他商品和服务支出。</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858.18</w:t>
      </w:r>
      <w:r>
        <w:rPr>
          <w:rFonts w:ascii="方正仿宋_GBK" w:hAnsi="方正仿宋_GBK" w:eastAsia="方正仿宋_GBK" w:cs="方正仿宋_GBK"/>
          <w:sz w:val="32"/>
          <w:szCs w:val="32"/>
          <w:shd w:val="clear" w:color="auto" w:fill="FFFFFF"/>
        </w:rPr>
        <w:t>万元，较上年决算数增加850.46万元，增长11016.32%，主要原因是国有土地使用权出让、彩票公益金等收入增加。本年支出</w:t>
      </w:r>
      <w:r>
        <w:rPr>
          <w:rFonts w:ascii="方正仿宋_GBK" w:hAnsi="方正仿宋_GBK" w:eastAsia="方正仿宋_GBK" w:cs="方正仿宋_GBK"/>
          <w:sz w:val="32"/>
          <w:szCs w:val="32"/>
        </w:rPr>
        <w:t>858.18</w:t>
      </w:r>
      <w:r>
        <w:rPr>
          <w:rFonts w:ascii="方正仿宋_GBK" w:hAnsi="方正仿宋_GBK" w:eastAsia="方正仿宋_GBK" w:cs="方正仿宋_GBK"/>
          <w:sz w:val="32"/>
          <w:szCs w:val="32"/>
          <w:shd w:val="clear" w:color="auto" w:fill="FFFFFF"/>
        </w:rPr>
        <w:t>万元，较上年决算数增加850.46万元，增长11016.32%，主要原因是国有土地使用权出让、彩票公益金等支出增加。</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万元，主要用途用于国有企业退休人员社会化管理补助。</w:t>
      </w:r>
    </w:p>
    <w:p>
      <w:pPr>
        <w:pStyle w:val="6"/>
        <w:shd w:val="clear" w:color="auto" w:fill="FFFFFF"/>
        <w:spacing w:before="0" w:beforeAutospacing="0" w:after="0" w:afterAutospacing="0" w:line="596"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7.12</w:t>
      </w:r>
      <w:r>
        <w:rPr>
          <w:rFonts w:ascii="方正仿宋_GBK" w:hAnsi="方正仿宋_GBK" w:eastAsia="方正仿宋_GBK" w:cs="方正仿宋_GBK"/>
          <w:sz w:val="32"/>
          <w:szCs w:val="32"/>
          <w:shd w:val="clear" w:color="auto" w:fill="FFFFFF"/>
        </w:rPr>
        <w:t>万元，较年初预算数增加4.82万元，增长209.57%，主要原因是年初编制预算时不能超上年预算数。较上年支出数减少0.05万元，下降0.70%，主要原因是厉行节约，严格执行接待标准，严控用车次数。</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3.82</w:t>
      </w:r>
      <w:r>
        <w:rPr>
          <w:rFonts w:ascii="方正仿宋_GBK" w:hAnsi="方正仿宋_GBK" w:eastAsia="方正仿宋_GBK" w:cs="方正仿宋_GBK"/>
          <w:sz w:val="32"/>
          <w:szCs w:val="32"/>
          <w:shd w:val="clear" w:color="auto" w:fill="FFFFFF"/>
        </w:rPr>
        <w:t>万元，主要用于公务车燃油费、维修（护）费、保险费等相关支出。费用支出较年初预算数增加2.52万元，增长193.85%，主要原因是年初编制预算时不能超上年预算数。较上年支出数无增减，主要原因是加强公务车日常管理。</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3.30</w:t>
      </w:r>
      <w:r>
        <w:rPr>
          <w:rFonts w:ascii="方正仿宋_GBK" w:hAnsi="方正仿宋_GBK" w:eastAsia="方正仿宋_GBK" w:cs="方正仿宋_GBK"/>
          <w:sz w:val="32"/>
          <w:szCs w:val="32"/>
          <w:shd w:val="clear" w:color="auto" w:fill="FFFFFF"/>
        </w:rPr>
        <w:t>万元，主要用于接待招商引资、公务接待。费用支出较年初预算数增加2.30万元，增长230.00%，主要原因是年初编制预算时不能超上年预算数。较上年支出数减少0.05万元，下降1.49%，主要原因是严格控制接待标准，推动建立厉行节约反对浪费的长效机制。</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76.70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1.91</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jc w:val="both"/>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8.04</w:t>
      </w:r>
      <w:r>
        <w:rPr>
          <w:rFonts w:ascii="方正仿宋_GBK" w:hAnsi="方正仿宋_GBK" w:eastAsia="方正仿宋_GBK" w:cs="方正仿宋_GBK"/>
          <w:sz w:val="32"/>
          <w:szCs w:val="32"/>
          <w:shd w:val="clear" w:color="auto" w:fill="FFFFFF"/>
        </w:rPr>
        <w:t>万元，较上年决算数减少0.50万元，下降5.85%，主要原因是会议次数略有减少。本年度培训费支出</w:t>
      </w:r>
      <w:r>
        <w:rPr>
          <w:rFonts w:ascii="方正仿宋_GBK" w:hAnsi="方正仿宋_GBK" w:eastAsia="方正仿宋_GBK" w:cs="方正仿宋_GBK"/>
          <w:sz w:val="32"/>
          <w:szCs w:val="32"/>
        </w:rPr>
        <w:t>2.48</w:t>
      </w:r>
      <w:r>
        <w:rPr>
          <w:rFonts w:ascii="方正仿宋_GBK" w:hAnsi="方正仿宋_GBK" w:eastAsia="方正仿宋_GBK" w:cs="方正仿宋_GBK"/>
          <w:sz w:val="32"/>
          <w:szCs w:val="32"/>
          <w:shd w:val="clear" w:color="auto" w:fill="FFFFFF"/>
        </w:rPr>
        <w:t>万元，较上年决算数增加2.48万元，增长100.00%，主要原因是召开村社干部业务、新进人员培训次数增加。</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359.15</w:t>
      </w:r>
      <w:r>
        <w:rPr>
          <w:rFonts w:ascii="方正仿宋_GBK" w:hAnsi="方正仿宋_GBK" w:eastAsia="方正仿宋_GBK" w:cs="方正仿宋_GBK"/>
          <w:sz w:val="32"/>
          <w:szCs w:val="32"/>
          <w:shd w:val="clear" w:color="auto" w:fill="FFFFFF"/>
        </w:rPr>
        <w:t>万元，机关运行经费主要用于开支</w:t>
      </w:r>
      <w:r>
        <w:rPr>
          <w:rFonts w:hint="default" w:ascii="方正仿宋_GBK" w:hAnsi="方正仿宋_GBK" w:eastAsia="方正仿宋_GBK" w:cs="方正仿宋_GBK"/>
          <w:kern w:val="2"/>
          <w:sz w:val="32"/>
          <w:szCs w:val="32"/>
        </w:rPr>
        <w:t>办公费、水电费、邮电费、差旅费、维修（护）费、会议费、培训费、公务接待费、劳务费、工会经费、公务用车运行维护费、其他交通费用、其他商品和服务支出</w:t>
      </w:r>
      <w:r>
        <w:rPr>
          <w:rFonts w:ascii="方正仿宋_GBK" w:hAnsi="方正仿宋_GBK" w:eastAsia="方正仿宋_GBK" w:cs="方正仿宋_GBK"/>
          <w:sz w:val="32"/>
          <w:szCs w:val="32"/>
          <w:shd w:val="clear" w:color="auto" w:fill="FFFFFF"/>
        </w:rPr>
        <w:t>。机关运行经费较上年支出数增加196.10万元，增长120.27%，主要原因是人员增加，办公费、</w:t>
      </w:r>
      <w:r>
        <w:rPr>
          <w:rFonts w:hint="default" w:ascii="方正仿宋_GBK" w:hAnsi="方正仿宋_GBK" w:eastAsia="方正仿宋_GBK" w:cs="方正仿宋_GBK"/>
          <w:kern w:val="2"/>
          <w:sz w:val="32"/>
          <w:szCs w:val="32"/>
        </w:rPr>
        <w:t>差旅费、其他商品和服务</w:t>
      </w:r>
      <w:r>
        <w:rPr>
          <w:rFonts w:ascii="方正仿宋_GBK" w:hAnsi="方正仿宋_GBK" w:eastAsia="方正仿宋_GBK" w:cs="方正仿宋_GBK"/>
          <w:kern w:val="2"/>
          <w:sz w:val="32"/>
          <w:szCs w:val="32"/>
        </w:rPr>
        <w:t>等增加。</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19.60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19.60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19.60万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19.60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%。主要用于采购大井村、科普广场LED屏幕。</w:t>
      </w:r>
    </w:p>
    <w:p>
      <w:pPr>
        <w:pStyle w:val="6"/>
        <w:numPr>
          <w:ilvl w:val="0"/>
          <w:numId w:val="1"/>
        </w:numPr>
        <w:shd w:val="clear" w:color="auto" w:fill="FFFFFF"/>
        <w:spacing w:before="0" w:beforeAutospacing="0" w:after="0" w:afterAutospacing="0" w:line="596"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2"/>
        <w:autoSpaceDE w:val="0"/>
        <w:spacing w:before="0" w:beforeAutospacing="0" w:after="0" w:afterAutospacing="0" w:line="596" w:lineRule="exact"/>
        <w:ind w:firstLine="640" w:firstLineChars="200"/>
        <w:jc w:val="both"/>
      </w:pPr>
      <w:r>
        <w:rPr>
          <w:rFonts w:hint="eastAsia" w:ascii="方正仿宋_GBK" w:hAnsi="方正仿宋_GBK" w:eastAsia="方正仿宋_GBK" w:cs="方正仿宋_GBK"/>
          <w:sz w:val="32"/>
          <w:szCs w:val="32"/>
          <w:shd w:val="clear" w:color="auto" w:fill="FFFFFF"/>
          <w:lang w:bidi="ar"/>
        </w:rPr>
        <w:t>根据预算绩效管理要求，我单位对65个二级项目开展了绩效自评，涉及项目支出资金</w:t>
      </w:r>
      <w:r>
        <w:rPr>
          <w:rFonts w:ascii="方正仿宋_GBK" w:hAnsi="方正仿宋_GBK" w:eastAsia="方正仿宋_GBK" w:cs="方正仿宋_GBK"/>
          <w:sz w:val="32"/>
          <w:szCs w:val="32"/>
        </w:rPr>
        <w:t>2313.46</w:t>
      </w:r>
      <w:r>
        <w:rPr>
          <w:rFonts w:hint="eastAsia" w:ascii="方正仿宋_GBK" w:hAnsi="方正仿宋_GBK" w:eastAsia="方正仿宋_GBK" w:cs="方正仿宋_GBK"/>
          <w:sz w:val="32"/>
          <w:szCs w:val="32"/>
          <w:shd w:val="clear" w:color="auto" w:fill="FFFFFF"/>
          <w:lang w:bidi="ar"/>
        </w:rPr>
        <w:t>万元。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tcBorders>
              <w:top w:val="nil"/>
              <w:left w:val="nil"/>
              <w:bottom w:val="nil"/>
              <w:right w:val="nil"/>
            </w:tcBorders>
          </w:tcPr>
          <w:tbl>
            <w:tblPr>
              <w:tblStyle w:val="7"/>
              <w:tblW w:w="20836" w:type="dxa"/>
              <w:tblInd w:w="0" w:type="dxa"/>
              <w:tblLayout w:type="autofit"/>
              <w:tblCellMar>
                <w:top w:w="0" w:type="dxa"/>
                <w:left w:w="108" w:type="dxa"/>
                <w:bottom w:w="0" w:type="dxa"/>
                <w:right w:w="108" w:type="dxa"/>
              </w:tblCellMar>
            </w:tblPr>
            <w:tblGrid>
              <w:gridCol w:w="1886"/>
              <w:gridCol w:w="685"/>
              <w:gridCol w:w="685"/>
              <w:gridCol w:w="728"/>
              <w:gridCol w:w="584"/>
              <w:gridCol w:w="693"/>
              <w:gridCol w:w="692"/>
              <w:gridCol w:w="511"/>
              <w:gridCol w:w="511"/>
              <w:gridCol w:w="657"/>
              <w:gridCol w:w="678"/>
            </w:tblGrid>
            <w:tr>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计划生育特殊家庭节日走访慰问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50023122T000000099191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715-垫江县高峰镇人民政府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周良方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74566800</w:t>
                  </w:r>
                </w:p>
              </w:tc>
            </w:tr>
            <w:tr>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端午节走访慰问计划生育特殊家庭</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端午节走访慰问计划生育特殊家庭</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端午节走访慰问计划生育特殊家庭</w:t>
                  </w:r>
                </w:p>
              </w:tc>
            </w:tr>
            <w:tr>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慰问户数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慰问对象精准率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在端午节走访慰问计生特殊家庭，送温暖，送关怀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慰问支出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6500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预算调整</w:t>
                  </w:r>
                </w:p>
              </w:tc>
            </w:tr>
          </w:tbl>
          <w:p>
            <w:pPr>
              <w:pStyle w:val="11"/>
              <w:widowControl w:val="0"/>
              <w:autoSpaceDE w:val="0"/>
              <w:ind w:firstLine="643"/>
              <w:jc w:val="both"/>
              <w:rPr>
                <w:rFonts w:ascii="楷体" w:hAnsi="楷体" w:eastAsia="楷体" w:cs="楷体"/>
                <w:b/>
                <w:bCs/>
                <w:sz w:val="32"/>
                <w:szCs w:val="32"/>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tcBorders>
              <w:top w:val="nil"/>
              <w:left w:val="nil"/>
              <w:bottom w:val="nil"/>
              <w:right w:val="nil"/>
            </w:tcBorders>
          </w:tcPr>
          <w:tbl>
            <w:tblPr>
              <w:tblStyle w:val="7"/>
              <w:tblW w:w="20836" w:type="dxa"/>
              <w:tblInd w:w="0" w:type="dxa"/>
              <w:tblLayout w:type="autofit"/>
              <w:tblCellMar>
                <w:top w:w="0" w:type="dxa"/>
                <w:left w:w="108" w:type="dxa"/>
                <w:bottom w:w="0" w:type="dxa"/>
                <w:right w:w="108" w:type="dxa"/>
              </w:tblCellMar>
            </w:tblPr>
            <w:tblGrid>
              <w:gridCol w:w="1397"/>
              <w:gridCol w:w="634"/>
              <w:gridCol w:w="634"/>
              <w:gridCol w:w="812"/>
              <w:gridCol w:w="646"/>
              <w:gridCol w:w="772"/>
              <w:gridCol w:w="771"/>
              <w:gridCol w:w="602"/>
              <w:gridCol w:w="563"/>
              <w:gridCol w:w="729"/>
              <w:gridCol w:w="750"/>
            </w:tblGrid>
            <w:tr>
              <w:tblPrEx>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第五次全国经济普查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50023122T000000115875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715-垫江县高峰镇人民政府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周良方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74566800</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49,074.00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49,074.00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49,074.00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49,074.00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49,074.00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49,074.00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有效开展第五次全国经济普查</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有效开展第五次全国经济普查</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涉及村居个数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按年度任务完成率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有效开展第五次全国经济普查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经济普查相关支出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49074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49074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1"/>
              <w:widowControl w:val="0"/>
              <w:autoSpaceDE w:val="0"/>
              <w:ind w:firstLine="643"/>
              <w:jc w:val="both"/>
              <w:rPr>
                <w:rFonts w:ascii="楷体" w:hAnsi="楷体" w:eastAsia="楷体" w:cs="楷体"/>
                <w:b/>
                <w:bCs/>
                <w:sz w:val="32"/>
                <w:szCs w:val="32"/>
                <w:shd w:val="clear" w:color="auto" w:fill="FFFFFF"/>
                <w:lang w:bidi="ar"/>
              </w:rPr>
            </w:pPr>
          </w:p>
        </w:tc>
      </w:tr>
    </w:tbl>
    <w:p>
      <w:pPr>
        <w:pStyle w:val="11"/>
        <w:autoSpaceDE w:val="0"/>
        <w:spacing w:line="596" w:lineRule="exact"/>
        <w:ind w:left="0" w:leftChars="0" w:firstLine="643" w:firstLineChars="200"/>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4"/>
        <w:autoSpaceDE w:val="0"/>
        <w:spacing w:line="596"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spacing w:line="596" w:lineRule="exact"/>
        <w:ind w:firstLine="643"/>
        <w:jc w:val="both"/>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4"/>
        <w:autoSpaceDE w:val="0"/>
        <w:spacing w:line="596"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numPr>
          <w:ilvl w:val="0"/>
          <w:numId w:val="1"/>
        </w:numPr>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专业名词解释</w:t>
      </w:r>
    </w:p>
    <w:p>
      <w:pPr>
        <w:pStyle w:val="6"/>
        <w:numPr>
          <w:numId w:val="0"/>
        </w:numPr>
        <w:shd w:val="clear" w:color="auto" w:fill="FFFFFF"/>
        <w:spacing w:before="0" w:beforeAutospacing="0" w:after="0" w:afterAutospacing="0" w:line="596" w:lineRule="exact"/>
        <w:ind w:firstLine="643" w:firstLineChars="200"/>
        <w:jc w:val="both"/>
        <w:rPr>
          <w:rFonts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numPr>
          <w:numId w:val="0"/>
        </w:numPr>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bookmarkStart w:id="0" w:name="_GoBack"/>
      <w:bookmarkEnd w:id="0"/>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6" w:lineRule="exact"/>
        <w:ind w:firstLine="640" w:firstLineChars="200"/>
        <w:jc w:val="both"/>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本单位决算公开信息反馈和联系方式：023-74566800</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公开单位：垫江县高峰镇人民政府（本级）</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2,770.71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1,166.70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858.18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28.19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49.41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195.61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50.91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856.06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614.32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71.24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496.06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55.60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30.81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3,628.95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3,646.95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18.00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3,646.95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3,646.95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公开单位：垫江县高峰镇人民政府（本级）</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3,628.95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3,628.95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1,166.70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1,166.70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1,047.07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1,047.07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873.15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873.15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170.70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170.70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科学技术普及</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2060702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科普活动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49.41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49.41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体育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群众体育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195.61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195.61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社会保险经办机构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41.18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41.18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856.06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856.06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827.37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827.37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827.37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827.37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606.32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606.32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510.75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510.75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313.75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313.75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61.24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61.24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496.06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496.06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496.06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496.06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496.06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496.06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用于体育事业的彩票公益金支出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用于其他社会公益事业的彩票公益金支出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垫江县高峰镇人民政府（本级）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3,646.95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1,333.49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2,313.46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1,166.70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873.42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1,047.07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科学技术普及</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2060702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科普活动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体育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群众体育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195.61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139.35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社会保险经办机构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41.18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41.18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41.18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827.37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827.37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827.37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827.37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614.32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228.14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386.18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510.75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228.14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282.61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228.14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其他公路水路运输支出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用于体育事业的彩票公益金支出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用于其他社会公益事业的彩票公益金支出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垫江县高峰镇人民政府（本级）</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2,770.71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1,166.70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1,166.70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858.18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28.19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28.19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49.41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49.41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195.61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195.61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50.91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50.91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856.06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827.37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614.32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614.32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71.24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71.24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496.06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496.06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55.60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55.60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30.81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3,628.95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3,646.95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2,788.71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858.18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18.00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3,646.95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3,646.95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2,788.71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858.18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垫江县高峰镇人民政府（本级）</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2,788.71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1,333.49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1,455.21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1,166.70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873.42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293.29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1,047.07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873.15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173.92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873.15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873.15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170.70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170.70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13.77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9.38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9.38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15.01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0.42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0.42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0.42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0.42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62.29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62.29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8.64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8.64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28.19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28.19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8.59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科学技术普及</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2060702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科普活动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49.41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49.41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9.74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9.74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9.74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9.74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体育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39.66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39.66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群众体育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39.66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39.66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195.61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139.35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56.25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社会保险经办机构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134.20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134.20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69.35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69.35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28.47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36.38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36.38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6.93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6.93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41.18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9.72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5.85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5.85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5.85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5.85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41.18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41.18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9.14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9.14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19.54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19.54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614.32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228.14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386.18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10.67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10.67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8.17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8.17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51.89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51.89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51.89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51.89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510.75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228.14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282.61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197.00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197.00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313.75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228.14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85.61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36.26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36.26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26.26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26.26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其他公路水路运输支出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34.98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34.98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34.98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34.98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496.06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496.06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496.06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496.06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496.06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496.06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55.60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51.40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51.40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51.40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2.70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垫江县高峰镇人民政府（本级）</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698.01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359.15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127.86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81.60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110.51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228.45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69.35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55.59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20.44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18.74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276.33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260.74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83.93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36.43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39.88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974.34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359.15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垫江县高峰镇人民政府（本级）</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858.18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858.18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858.18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827.37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827.37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827.37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21208</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827.37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827.37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827.37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2120899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827.37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827.37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827.37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30.81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30.81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30.81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30.81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30.81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30.81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2296003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用于体育事业的彩票公益金支出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0.78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0.78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0.78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2296006</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0.04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2296099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用于其他社会公益事业的彩票公益金支出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垫江县高峰镇人民政府（本级）</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0.06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0.06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0.06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0.06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0.06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0.06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2230105</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0.06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0.06 </w:t>
            </w:r>
          </w:p>
        </w:tc>
      </w:tr>
    </w:tbl>
    <w:p>
      <w:pPr>
        <w:rPr>
          <w:rFonts w:hint="default" w:cs="宋体"/>
          <w:sz w:val="21"/>
          <w:szCs w:val="21"/>
          <w:lang w:bidi="ar"/>
        </w:rPr>
      </w:pPr>
      <w:r>
        <w:rPr>
          <w:rFonts w:cs="宋体"/>
          <w:sz w:val="21"/>
          <w:szCs w:val="21"/>
          <w:lang w:bidi="ar"/>
        </w:rPr>
        <w:t>备注：1.本表反映单位本年度国有资本经营预算财政拨款支出情况。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垫江县高峰镇人民政府（本级）</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359.15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7.12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7.12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359.15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3.82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3.82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3.82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3.82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3.30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3.30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3.30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19.60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19.60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430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19.60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19.60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8.04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2.48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zVjZDgxMDdiYjk5MTI3ZmYyMWEzM2I4MDRjYmIifQ=="/>
  </w:docVars>
  <w:rsids>
    <w:rsidRoot w:val="00B03CCD"/>
    <w:rsid w:val="00520A47"/>
    <w:rsid w:val="00550ABE"/>
    <w:rsid w:val="00597D33"/>
    <w:rsid w:val="00714603"/>
    <w:rsid w:val="007B419D"/>
    <w:rsid w:val="00845E41"/>
    <w:rsid w:val="009B67B8"/>
    <w:rsid w:val="00B03CCD"/>
    <w:rsid w:val="00D7312E"/>
    <w:rsid w:val="00F73F90"/>
    <w:rsid w:val="01474EBF"/>
    <w:rsid w:val="01F3521E"/>
    <w:rsid w:val="025B79EE"/>
    <w:rsid w:val="03B87EA0"/>
    <w:rsid w:val="03E3214F"/>
    <w:rsid w:val="044C50BA"/>
    <w:rsid w:val="059648AF"/>
    <w:rsid w:val="05B1372E"/>
    <w:rsid w:val="05BC6D49"/>
    <w:rsid w:val="06194FF1"/>
    <w:rsid w:val="06A2550B"/>
    <w:rsid w:val="06F80EE2"/>
    <w:rsid w:val="07001CCA"/>
    <w:rsid w:val="075678DB"/>
    <w:rsid w:val="079D7CC7"/>
    <w:rsid w:val="07DA1856"/>
    <w:rsid w:val="08051BCA"/>
    <w:rsid w:val="086C12F4"/>
    <w:rsid w:val="08705944"/>
    <w:rsid w:val="08BA052C"/>
    <w:rsid w:val="08DB07BA"/>
    <w:rsid w:val="092A2677"/>
    <w:rsid w:val="0969353F"/>
    <w:rsid w:val="098305D0"/>
    <w:rsid w:val="0A3317EA"/>
    <w:rsid w:val="0A5C4B69"/>
    <w:rsid w:val="0A86124A"/>
    <w:rsid w:val="0AB54CC0"/>
    <w:rsid w:val="0B057D70"/>
    <w:rsid w:val="0B9335CE"/>
    <w:rsid w:val="0BF2311A"/>
    <w:rsid w:val="0C7927C4"/>
    <w:rsid w:val="0C9B098C"/>
    <w:rsid w:val="0D673E11"/>
    <w:rsid w:val="0D893055"/>
    <w:rsid w:val="0DDA54E4"/>
    <w:rsid w:val="0DE67EEF"/>
    <w:rsid w:val="0E3A5F83"/>
    <w:rsid w:val="0EFD6A00"/>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C07DB6"/>
    <w:rsid w:val="163A6CEE"/>
    <w:rsid w:val="165F6ECF"/>
    <w:rsid w:val="16A14DF1"/>
    <w:rsid w:val="173708E3"/>
    <w:rsid w:val="178F10EE"/>
    <w:rsid w:val="17C374FC"/>
    <w:rsid w:val="182E4AB6"/>
    <w:rsid w:val="189079DC"/>
    <w:rsid w:val="189866C8"/>
    <w:rsid w:val="189B0D0B"/>
    <w:rsid w:val="18B43F7C"/>
    <w:rsid w:val="194A1770"/>
    <w:rsid w:val="19631E3E"/>
    <w:rsid w:val="19962458"/>
    <w:rsid w:val="19B906A4"/>
    <w:rsid w:val="1B6F15B6"/>
    <w:rsid w:val="1B917B2A"/>
    <w:rsid w:val="1BA3160C"/>
    <w:rsid w:val="1BAA2EDC"/>
    <w:rsid w:val="1BCA4DEA"/>
    <w:rsid w:val="1C1222ED"/>
    <w:rsid w:val="1C1A1F34"/>
    <w:rsid w:val="1C8837A0"/>
    <w:rsid w:val="1CA55E64"/>
    <w:rsid w:val="1CDA2E0B"/>
    <w:rsid w:val="1D014A01"/>
    <w:rsid w:val="1D022362"/>
    <w:rsid w:val="1D1B04B0"/>
    <w:rsid w:val="1DA10708"/>
    <w:rsid w:val="1DA52501"/>
    <w:rsid w:val="1DBD6767"/>
    <w:rsid w:val="1DC52125"/>
    <w:rsid w:val="1DD26311"/>
    <w:rsid w:val="1E374ACB"/>
    <w:rsid w:val="1ECF0A66"/>
    <w:rsid w:val="1EF67CA4"/>
    <w:rsid w:val="1F020D3A"/>
    <w:rsid w:val="1F2C5189"/>
    <w:rsid w:val="1F4B0B02"/>
    <w:rsid w:val="1FBB35CD"/>
    <w:rsid w:val="1FCD26AF"/>
    <w:rsid w:val="204131A1"/>
    <w:rsid w:val="20642787"/>
    <w:rsid w:val="21556F04"/>
    <w:rsid w:val="21A804AD"/>
    <w:rsid w:val="22403BD3"/>
    <w:rsid w:val="22D95B84"/>
    <w:rsid w:val="24B92327"/>
    <w:rsid w:val="24BE4011"/>
    <w:rsid w:val="24C14514"/>
    <w:rsid w:val="25000976"/>
    <w:rsid w:val="2533755C"/>
    <w:rsid w:val="25791755"/>
    <w:rsid w:val="25E17950"/>
    <w:rsid w:val="26396DF4"/>
    <w:rsid w:val="265579A6"/>
    <w:rsid w:val="27167136"/>
    <w:rsid w:val="276A3FE2"/>
    <w:rsid w:val="27B23302"/>
    <w:rsid w:val="28F95480"/>
    <w:rsid w:val="29310A5F"/>
    <w:rsid w:val="29C37A35"/>
    <w:rsid w:val="2A076083"/>
    <w:rsid w:val="2A73162E"/>
    <w:rsid w:val="2AE67E18"/>
    <w:rsid w:val="2B167953"/>
    <w:rsid w:val="2B200583"/>
    <w:rsid w:val="2B8209DE"/>
    <w:rsid w:val="2B944ACD"/>
    <w:rsid w:val="2BBB3319"/>
    <w:rsid w:val="2BF0264B"/>
    <w:rsid w:val="2C0B3E9C"/>
    <w:rsid w:val="2C636760"/>
    <w:rsid w:val="2C6762A3"/>
    <w:rsid w:val="2CF833F7"/>
    <w:rsid w:val="2D5C786C"/>
    <w:rsid w:val="2DE91C4B"/>
    <w:rsid w:val="2DFB52D7"/>
    <w:rsid w:val="2E294999"/>
    <w:rsid w:val="2E4C5FB5"/>
    <w:rsid w:val="2E5B7B24"/>
    <w:rsid w:val="2ED37BE6"/>
    <w:rsid w:val="2FCA4B37"/>
    <w:rsid w:val="2FE029D7"/>
    <w:rsid w:val="2FF06E00"/>
    <w:rsid w:val="30586FEC"/>
    <w:rsid w:val="306B04F2"/>
    <w:rsid w:val="315F0B22"/>
    <w:rsid w:val="31D84415"/>
    <w:rsid w:val="31FD6E85"/>
    <w:rsid w:val="32285F6F"/>
    <w:rsid w:val="3275602C"/>
    <w:rsid w:val="32770556"/>
    <w:rsid w:val="328B2788"/>
    <w:rsid w:val="329C0913"/>
    <w:rsid w:val="32AA0460"/>
    <w:rsid w:val="32AC39B4"/>
    <w:rsid w:val="33217E65"/>
    <w:rsid w:val="3337290D"/>
    <w:rsid w:val="339E5B0D"/>
    <w:rsid w:val="33BC3658"/>
    <w:rsid w:val="33CC0208"/>
    <w:rsid w:val="33DA0AC3"/>
    <w:rsid w:val="33E31118"/>
    <w:rsid w:val="33EF7674"/>
    <w:rsid w:val="342D7BC6"/>
    <w:rsid w:val="34D80120"/>
    <w:rsid w:val="350E769E"/>
    <w:rsid w:val="3516471E"/>
    <w:rsid w:val="352930DB"/>
    <w:rsid w:val="35573069"/>
    <w:rsid w:val="355F6038"/>
    <w:rsid w:val="358C217E"/>
    <w:rsid w:val="35BB2C63"/>
    <w:rsid w:val="36C9128A"/>
    <w:rsid w:val="36D72B72"/>
    <w:rsid w:val="37841E99"/>
    <w:rsid w:val="37B00F74"/>
    <w:rsid w:val="37BF1123"/>
    <w:rsid w:val="37F05750"/>
    <w:rsid w:val="383C3F15"/>
    <w:rsid w:val="387D5486"/>
    <w:rsid w:val="38BE4696"/>
    <w:rsid w:val="38C22C79"/>
    <w:rsid w:val="3939115E"/>
    <w:rsid w:val="39A20CFD"/>
    <w:rsid w:val="39B82A39"/>
    <w:rsid w:val="39C42CA8"/>
    <w:rsid w:val="39DC4FD6"/>
    <w:rsid w:val="39F03D7A"/>
    <w:rsid w:val="39F33306"/>
    <w:rsid w:val="39F33CF4"/>
    <w:rsid w:val="3A2C1C67"/>
    <w:rsid w:val="3ADD7F09"/>
    <w:rsid w:val="3B1705E5"/>
    <w:rsid w:val="3B18334B"/>
    <w:rsid w:val="3B36794F"/>
    <w:rsid w:val="3B6F6EE0"/>
    <w:rsid w:val="3C0623A2"/>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5968D0"/>
    <w:rsid w:val="439A3EB9"/>
    <w:rsid w:val="43BB152F"/>
    <w:rsid w:val="44C37687"/>
    <w:rsid w:val="455A28E6"/>
    <w:rsid w:val="45CB699A"/>
    <w:rsid w:val="465B470D"/>
    <w:rsid w:val="469D6AD4"/>
    <w:rsid w:val="471E6C84"/>
    <w:rsid w:val="4748792B"/>
    <w:rsid w:val="475D719D"/>
    <w:rsid w:val="47674801"/>
    <w:rsid w:val="4768702A"/>
    <w:rsid w:val="48225EF7"/>
    <w:rsid w:val="488F422B"/>
    <w:rsid w:val="48E36915"/>
    <w:rsid w:val="48EB6572"/>
    <w:rsid w:val="495C4A24"/>
    <w:rsid w:val="497135DF"/>
    <w:rsid w:val="4A263DF2"/>
    <w:rsid w:val="4A34071C"/>
    <w:rsid w:val="4A6F6675"/>
    <w:rsid w:val="4AE141D1"/>
    <w:rsid w:val="4B135857"/>
    <w:rsid w:val="4B7951CB"/>
    <w:rsid w:val="4B7C315C"/>
    <w:rsid w:val="4C5F70AB"/>
    <w:rsid w:val="4C6578A5"/>
    <w:rsid w:val="4DAC4ACA"/>
    <w:rsid w:val="4DBE01D2"/>
    <w:rsid w:val="4E5F5EFB"/>
    <w:rsid w:val="4F0C6BA3"/>
    <w:rsid w:val="4F186D58"/>
    <w:rsid w:val="500D4CCA"/>
    <w:rsid w:val="50C07F8E"/>
    <w:rsid w:val="50F06B6E"/>
    <w:rsid w:val="51202A05"/>
    <w:rsid w:val="51D21804"/>
    <w:rsid w:val="52234D33"/>
    <w:rsid w:val="522F6E0C"/>
    <w:rsid w:val="52463BA1"/>
    <w:rsid w:val="52787CDA"/>
    <w:rsid w:val="52D01FDF"/>
    <w:rsid w:val="52F163D4"/>
    <w:rsid w:val="531A2DB4"/>
    <w:rsid w:val="539A4AC7"/>
    <w:rsid w:val="53C0244D"/>
    <w:rsid w:val="53DD4D4E"/>
    <w:rsid w:val="53E578CE"/>
    <w:rsid w:val="541330F0"/>
    <w:rsid w:val="54272666"/>
    <w:rsid w:val="543B029D"/>
    <w:rsid w:val="54861779"/>
    <w:rsid w:val="54BD6DE3"/>
    <w:rsid w:val="552256E1"/>
    <w:rsid w:val="554E5773"/>
    <w:rsid w:val="555A3CBC"/>
    <w:rsid w:val="5582012B"/>
    <w:rsid w:val="558E4E05"/>
    <w:rsid w:val="55BE2E85"/>
    <w:rsid w:val="56530F5D"/>
    <w:rsid w:val="567700D3"/>
    <w:rsid w:val="5699469E"/>
    <w:rsid w:val="56FF7E9E"/>
    <w:rsid w:val="578867FC"/>
    <w:rsid w:val="5842572D"/>
    <w:rsid w:val="586E02D0"/>
    <w:rsid w:val="58AE63FA"/>
    <w:rsid w:val="59F82547"/>
    <w:rsid w:val="5A3B59D6"/>
    <w:rsid w:val="5AD134D8"/>
    <w:rsid w:val="5AD54636"/>
    <w:rsid w:val="5C263CE4"/>
    <w:rsid w:val="5C5D2777"/>
    <w:rsid w:val="5CF66BF3"/>
    <w:rsid w:val="5D290C69"/>
    <w:rsid w:val="5DF814F7"/>
    <w:rsid w:val="5E101A39"/>
    <w:rsid w:val="5F2D4A41"/>
    <w:rsid w:val="605947BE"/>
    <w:rsid w:val="60C74F6C"/>
    <w:rsid w:val="61025A59"/>
    <w:rsid w:val="610838CF"/>
    <w:rsid w:val="613D5BBC"/>
    <w:rsid w:val="61536C39"/>
    <w:rsid w:val="61A53528"/>
    <w:rsid w:val="61B01959"/>
    <w:rsid w:val="62261C1B"/>
    <w:rsid w:val="62461E6E"/>
    <w:rsid w:val="624D0F56"/>
    <w:rsid w:val="62572937"/>
    <w:rsid w:val="627A046B"/>
    <w:rsid w:val="62944DD7"/>
    <w:rsid w:val="62D13935"/>
    <w:rsid w:val="6319381F"/>
    <w:rsid w:val="63C25DC5"/>
    <w:rsid w:val="63C62057"/>
    <w:rsid w:val="6428049B"/>
    <w:rsid w:val="64571EF5"/>
    <w:rsid w:val="64FB113D"/>
    <w:rsid w:val="65063190"/>
    <w:rsid w:val="656152C6"/>
    <w:rsid w:val="6587477F"/>
    <w:rsid w:val="658C3A08"/>
    <w:rsid w:val="65BE286F"/>
    <w:rsid w:val="65C031CA"/>
    <w:rsid w:val="65CE6852"/>
    <w:rsid w:val="66267C04"/>
    <w:rsid w:val="663F505A"/>
    <w:rsid w:val="66EE5541"/>
    <w:rsid w:val="67924660"/>
    <w:rsid w:val="68407834"/>
    <w:rsid w:val="6883293E"/>
    <w:rsid w:val="688412AD"/>
    <w:rsid w:val="68EA5751"/>
    <w:rsid w:val="68EB1B71"/>
    <w:rsid w:val="69B22B05"/>
    <w:rsid w:val="6AAD2300"/>
    <w:rsid w:val="6B474EF5"/>
    <w:rsid w:val="6BA67F58"/>
    <w:rsid w:val="6BBA26E8"/>
    <w:rsid w:val="6BEC17E0"/>
    <w:rsid w:val="6C0A5AC5"/>
    <w:rsid w:val="6C172D01"/>
    <w:rsid w:val="6C560CAE"/>
    <w:rsid w:val="6C576495"/>
    <w:rsid w:val="6D903FF5"/>
    <w:rsid w:val="6DA955B8"/>
    <w:rsid w:val="6DD54C21"/>
    <w:rsid w:val="6DE346AB"/>
    <w:rsid w:val="6DE5391A"/>
    <w:rsid w:val="6EFD1324"/>
    <w:rsid w:val="6F5A53AC"/>
    <w:rsid w:val="6FAC003D"/>
    <w:rsid w:val="6FE55E12"/>
    <w:rsid w:val="6FFB2E76"/>
    <w:rsid w:val="701B16A2"/>
    <w:rsid w:val="701B6B38"/>
    <w:rsid w:val="708F6F7F"/>
    <w:rsid w:val="70D94BD3"/>
    <w:rsid w:val="71C046FA"/>
    <w:rsid w:val="71C34D91"/>
    <w:rsid w:val="723C71B1"/>
    <w:rsid w:val="72D276DF"/>
    <w:rsid w:val="72DB435C"/>
    <w:rsid w:val="72E2613A"/>
    <w:rsid w:val="72F771F4"/>
    <w:rsid w:val="73934AD2"/>
    <w:rsid w:val="739A31EC"/>
    <w:rsid w:val="750837F0"/>
    <w:rsid w:val="754758CF"/>
    <w:rsid w:val="764F62AB"/>
    <w:rsid w:val="765869B8"/>
    <w:rsid w:val="765C45EC"/>
    <w:rsid w:val="768A7619"/>
    <w:rsid w:val="772E1EBA"/>
    <w:rsid w:val="781926BC"/>
    <w:rsid w:val="78A55A83"/>
    <w:rsid w:val="796D60A4"/>
    <w:rsid w:val="79781F34"/>
    <w:rsid w:val="79A031D5"/>
    <w:rsid w:val="79F71A7C"/>
    <w:rsid w:val="7A1525F7"/>
    <w:rsid w:val="7B01324C"/>
    <w:rsid w:val="7B123A84"/>
    <w:rsid w:val="7B420052"/>
    <w:rsid w:val="7BD06A28"/>
    <w:rsid w:val="7C2044CE"/>
    <w:rsid w:val="7C3A7C0B"/>
    <w:rsid w:val="7C5248E4"/>
    <w:rsid w:val="7C566698"/>
    <w:rsid w:val="7C5866A3"/>
    <w:rsid w:val="7D7406BB"/>
    <w:rsid w:val="7DE94331"/>
    <w:rsid w:val="7EB61E0E"/>
    <w:rsid w:val="7EF51E43"/>
    <w:rsid w:val="7F333F22"/>
    <w:rsid w:val="7F446A19"/>
    <w:rsid w:val="7F7452B9"/>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2">
    <w:name w:val="heading 4"/>
    <w:basedOn w:val="1"/>
    <w:next w:val="1"/>
    <w:qFormat/>
    <w:uiPriority w:val="0"/>
    <w:pPr>
      <w:spacing w:before="280" w:after="290" w:line="376" w:lineRule="auto"/>
      <w:outlineLvl w:val="3"/>
    </w:pPr>
    <w:rPr>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15566</Words>
  <Characters>22155</Characters>
  <Lines>212</Lines>
  <Paragraphs>59</Paragraphs>
  <TotalTime>8</TotalTime>
  <ScaleCrop>false</ScaleCrop>
  <LinksUpToDate>false</LinksUpToDate>
  <CharactersWithSpaces>25015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2024-09-11T01:49:37Z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BB46EABDBB2749749395447164B066B3_12</vt:lpwstr>
  </property>
</Properties>
</file>