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垫江县高峰镇人民政府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line="596" w:lineRule="exact"/>
        <w:ind w:firstLine="643" w:firstLineChars="200"/>
        <w:jc w:val="both"/>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1.垫江县高峰镇人民政府（本级）职能职责</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（2）负责乡人民代表大会、主席团履行法定职权的具体工作。组织人大代表视察、调研、评议等工作。完成党委、人大主席团交办的其他工作。 </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普法教育、防邪、禁毒、综治、信访、维稳等工作。负责基层民间矛盾纠纷调解工作。组织、指导、协调、检查、督促辖区内各基层组织和企事业单位的社会治安综合治理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napToGrid w:val="0"/>
        <w:spacing w:line="596" w:lineRule="exact"/>
        <w:ind w:firstLine="640" w:firstLineChars="200"/>
        <w:jc w:val="both"/>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（14）负责配合综合行政执法办公室做好有关农林水利、规划建设、卫生健康、市容环卫、环境保护、文化旅游、民政管理、消防等方面的执法工作。</w:t>
      </w:r>
    </w:p>
    <w:p>
      <w:pPr>
        <w:pStyle w:val="6"/>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2.垫江县高峰镇农业服务中心职能职责</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6"/>
        <w:numPr>
          <w:numId w:val="0"/>
        </w:numPr>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3.</w:t>
      </w:r>
      <w:r>
        <w:rPr>
          <w:rStyle w:val="10"/>
          <w:rFonts w:ascii="楷体" w:hAnsi="楷体" w:eastAsia="楷体" w:cs="楷体"/>
          <w:sz w:val="32"/>
          <w:szCs w:val="32"/>
          <w:shd w:val="clear" w:color="auto" w:fill="FFFFFF"/>
        </w:rPr>
        <w:t>垫江县高峰镇文化服务中心职能职责</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 xml:space="preserve"> </w:t>
      </w:r>
      <w:r>
        <w:rPr>
          <w:rFonts w:ascii="方正仿宋_GBK" w:hAnsi="方正仿宋_GBK" w:eastAsia="方正仿宋_GBK" w:cs="方正仿宋_GBK"/>
          <w:sz w:val="32"/>
          <w:szCs w:val="32"/>
          <w:shd w:val="clear" w:color="auto" w:fill="FFFFFF"/>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6"/>
        <w:numPr>
          <w:numId w:val="0"/>
        </w:numPr>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4.</w:t>
      </w:r>
      <w:r>
        <w:rPr>
          <w:rStyle w:val="10"/>
          <w:rFonts w:ascii="楷体" w:hAnsi="楷体" w:eastAsia="楷体" w:cs="楷体"/>
          <w:sz w:val="32"/>
          <w:szCs w:val="32"/>
          <w:shd w:val="clear" w:color="auto" w:fill="FFFFFF"/>
        </w:rPr>
        <w:t>垫江县高峰镇劳动就业和社会保障服务所职能职责</w:t>
      </w:r>
    </w:p>
    <w:p>
      <w:pPr>
        <w:spacing w:line="596" w:lineRule="exact"/>
        <w:ind w:firstLine="640" w:firstLineChars="200"/>
        <w:jc w:val="both"/>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6"/>
        <w:numPr>
          <w:numId w:val="0"/>
        </w:numPr>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5.</w:t>
      </w:r>
      <w:r>
        <w:rPr>
          <w:rStyle w:val="10"/>
          <w:rFonts w:ascii="楷体" w:hAnsi="楷体" w:eastAsia="楷体" w:cs="楷体"/>
          <w:sz w:val="32"/>
          <w:szCs w:val="32"/>
          <w:shd w:val="clear" w:color="auto" w:fill="FFFFFF"/>
        </w:rPr>
        <w:t>垫江县高峰镇退役军人服务站职能职责</w:t>
      </w:r>
    </w:p>
    <w:p>
      <w:pPr>
        <w:pStyle w:val="6"/>
        <w:shd w:val="clear" w:color="auto" w:fill="FFFFFF"/>
        <w:spacing w:before="0" w:beforeAutospacing="0" w:after="0" w:afterAutospacing="0" w:line="596" w:lineRule="exact"/>
        <w:ind w:firstLine="640" w:firstLineChars="200"/>
        <w:jc w:val="both"/>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6"/>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6.垫江县高峰镇综合行政执法大队职能职责</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负责配合综合行政执法办公室做好有关农林水利、规划建设、卫生健康、市容环卫、环境保护、文化旅游、民政管理、消防等方面的执法工作。</w:t>
      </w:r>
    </w:p>
    <w:p>
      <w:pPr>
        <w:pStyle w:val="6"/>
        <w:numPr>
          <w:ilvl w:val="0"/>
          <w:numId w:val="1"/>
        </w:numPr>
        <w:shd w:val="clear" w:color="auto" w:fill="FFFFFF"/>
        <w:spacing w:before="0" w:beforeAutospacing="0" w:after="0" w:afterAutospacing="0" w:line="596"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垫江县高峰镇人民政府含1个行政单位和5个事业单位，行政年末实有人员28人，事业年末实有人员25人。</w:t>
      </w:r>
    </w:p>
    <w:p>
      <w:pPr>
        <w:pStyle w:val="6"/>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2023年度收入总计4292.46万元，支出总计</w:t>
      </w:r>
      <w:r>
        <w:rPr>
          <w:rFonts w:ascii="方正仿宋_GBK" w:hAnsi="方正仿宋_GBK" w:eastAsia="方正仿宋_GBK" w:cs="方正仿宋_GBK"/>
          <w:sz w:val="32"/>
          <w:szCs w:val="32"/>
        </w:rPr>
        <w:t>4292.46</w:t>
      </w:r>
      <w:r>
        <w:rPr>
          <w:rFonts w:ascii="方正仿宋_GBK" w:hAnsi="方正仿宋_GBK" w:eastAsia="方正仿宋_GBK" w:cs="方正仿宋_GBK"/>
          <w:sz w:val="32"/>
          <w:szCs w:val="32"/>
          <w:shd w:val="clear" w:color="auto" w:fill="FFFFFF"/>
        </w:rPr>
        <w:t>万元。收支较上年决算数增加1800.43万元，增长72.25%，主要原因是基本支出增加396.14万元，项目支出增加1404.29万元。</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4274.46万元，较上年决算数增加1960.50万元，增长84.72%，主要原因是一般公共预算财政拨款收入增加1109.98万元，政府性基金预算财政拨款收入增加850.46万元，国有资本经营预算财政拨款收入增加0.06万元。其中：财政拨款收入</w:t>
      </w:r>
      <w:r>
        <w:rPr>
          <w:rFonts w:ascii="方正仿宋_GBK" w:hAnsi="方正仿宋_GBK" w:eastAsia="方正仿宋_GBK" w:cs="方正仿宋_GBK"/>
          <w:sz w:val="32"/>
          <w:szCs w:val="32"/>
        </w:rPr>
        <w:t>4274.46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4292.46</w:t>
      </w:r>
      <w:r>
        <w:rPr>
          <w:rFonts w:ascii="方正仿宋_GBK" w:hAnsi="方正仿宋_GBK" w:eastAsia="方正仿宋_GBK" w:cs="方正仿宋_GBK"/>
          <w:sz w:val="32"/>
          <w:szCs w:val="32"/>
          <w:shd w:val="clear" w:color="auto" w:fill="FFFFFF"/>
        </w:rPr>
        <w:t>万元，较上年决算数增加1800.43万元，增长72.25%，主要原因是基本支出增加396.14万元，项目支出增加1404.29万元。其中：基本支出</w:t>
      </w:r>
      <w:r>
        <w:rPr>
          <w:rFonts w:ascii="方正仿宋_GBK" w:hAnsi="方正仿宋_GBK" w:eastAsia="方正仿宋_GBK" w:cs="方正仿宋_GBK"/>
          <w:sz w:val="32"/>
          <w:szCs w:val="32"/>
        </w:rPr>
        <w:t>1949.01</w:t>
      </w:r>
      <w:r>
        <w:rPr>
          <w:rFonts w:ascii="方正仿宋_GBK" w:hAnsi="方正仿宋_GBK" w:eastAsia="方正仿宋_GBK" w:cs="方正仿宋_GBK"/>
          <w:sz w:val="32"/>
          <w:szCs w:val="32"/>
          <w:shd w:val="clear" w:color="auto" w:fill="FFFFFF"/>
        </w:rPr>
        <w:t>万元，占45.41%；项目支出</w:t>
      </w:r>
      <w:r>
        <w:rPr>
          <w:rFonts w:ascii="方正仿宋_GBK" w:hAnsi="方正仿宋_GBK" w:eastAsia="方正仿宋_GBK" w:cs="方正仿宋_GBK"/>
          <w:sz w:val="32"/>
          <w:szCs w:val="32"/>
        </w:rPr>
        <w:t>2343.46</w:t>
      </w:r>
      <w:r>
        <w:rPr>
          <w:rFonts w:ascii="方正仿宋_GBK" w:hAnsi="方正仿宋_GBK" w:eastAsia="方正仿宋_GBK" w:cs="方正仿宋_GBK"/>
          <w:sz w:val="32"/>
          <w:szCs w:val="32"/>
          <w:shd w:val="clear" w:color="auto" w:fill="FFFFFF"/>
        </w:rPr>
        <w:t>万元，占54.59%；经营支出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万元，较上年决算数无增减，主要原因是本年实现收支平衡。</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4292.46万元。与2022年相比，财政拨款收、支总计各增加1800.43万元，增长72.25%。主要原因是一般公共预算财政拨款收入增加1109.98万元，政府性基金预算财政拨款收入增加850.46万元，国有资本经营预算财政拨款收入增加0.06万元。基本支出增加396.14万元，项目支出增加1404.29万元。</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3416.22</w:t>
      </w:r>
      <w:r>
        <w:rPr>
          <w:rFonts w:ascii="方正仿宋_GBK" w:hAnsi="方正仿宋_GBK" w:eastAsia="方正仿宋_GBK" w:cs="方正仿宋_GBK"/>
          <w:sz w:val="32"/>
          <w:szCs w:val="32"/>
          <w:shd w:val="clear" w:color="auto" w:fill="FFFFFF"/>
        </w:rPr>
        <w:t>万元，较上年决算数增加1109.98万元，增长48.13%。主要原因是一般公共预算财政拨款基本支出增加420.42万元，一般公共预算财政拨款项目支出增加689.56万元。较年初预算数增加1458.64万元，增长74.51%。主要原因是农林水、灾害防治及应急管理、支持中小企业发展等项目经费收入增加。此外，年初财政拨款结转和结余</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3434.22</w:t>
      </w:r>
      <w:r>
        <w:rPr>
          <w:rFonts w:ascii="方正仿宋_GBK" w:hAnsi="方正仿宋_GBK" w:eastAsia="方正仿宋_GBK" w:cs="方正仿宋_GBK"/>
          <w:sz w:val="32"/>
          <w:szCs w:val="32"/>
          <w:shd w:val="clear" w:color="auto" w:fill="FFFFFF"/>
        </w:rPr>
        <w:t>万元，较上年决算数增加949.91万元，增长38.24%。主要原因是一般公共预算财政拨款基本支出增加396.14万元，一般公共预算财政拨款项目支出增加553.77万元。较年初预算数增加1476.64万元，增长75.43%。主要原因是农林水、灾害防治及应急管理、支持中小企业发展等项目经费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万元，较上年决算数无增减，主要原因是本年实现收支平衡。</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1166.70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33.97</w:t>
      </w:r>
      <w:r>
        <w:rPr>
          <w:rFonts w:ascii="方正仿宋_GBK" w:hAnsi="方正仿宋_GBK" w:eastAsia="方正仿宋_GBK" w:cs="方正仿宋_GBK"/>
          <w:sz w:val="32"/>
          <w:szCs w:val="32"/>
          <w:shd w:val="clear" w:color="auto" w:fill="FFFFFF"/>
        </w:rPr>
        <w:t>%，较年初预算数增加335.50万元，增长40.36%，主要原因是商贸事务、招商引资、市场监督管理事务等支出增加。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28.19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%，较年初预算数增加28.19万元，增长100.00%，主要原因是劝导站及劝导员工作补助支出增加。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%，较年初预算数增加10.00万元，增长100.00%，主要原因是科普宣传栏费用支出增加。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103.07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%，较年初预算数增加52.30万元，增长103.01%，主要原因是五人制足球场支出增加。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398.18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11.59</w:t>
      </w:r>
      <w:r>
        <w:rPr>
          <w:rFonts w:ascii="方正仿宋_GBK" w:hAnsi="方正仿宋_GBK" w:eastAsia="方正仿宋_GBK" w:cs="方正仿宋_GBK"/>
          <w:sz w:val="32"/>
          <w:szCs w:val="32"/>
          <w:shd w:val="clear" w:color="auto" w:fill="FFFFFF"/>
        </w:rPr>
        <w:t>%，较年初预算数增加77.85万元，增长24.30%，主要原因是社保缴费基数调增，人员新增等支出增加。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69.77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%，较年初预算数增加21.48万元，增长44.48%，主要原因是社保缴费基数调增，人员新增等支出增加。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114.08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%，较年初预算数减少22.93万元，下降16.74%，主要原因是场镇清扫费等支出增加。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858.65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25.00</w:t>
      </w:r>
      <w:r>
        <w:rPr>
          <w:rFonts w:ascii="方正仿宋_GBK" w:hAnsi="方正仿宋_GBK" w:eastAsia="方正仿宋_GBK" w:cs="方正仿宋_GBK"/>
          <w:sz w:val="32"/>
          <w:szCs w:val="32"/>
          <w:shd w:val="clear" w:color="auto" w:fill="FFFFFF"/>
        </w:rPr>
        <w:t>%，较年初预算数增加368.13万元，增长75.05%，主要原因是鱼菜共生补助、抗旱、巩固脱贫攻坚成果衔接乡村振兴等支出增加。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71.24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%，较年初预算数增加71.24万元，增长100.00%，主要原因是公路养护、车辆购置税用于公路等基础设施建设支出增加。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496.06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14.44</w:t>
      </w:r>
      <w:r>
        <w:rPr>
          <w:rFonts w:ascii="方正仿宋_GBK" w:hAnsi="方正仿宋_GBK" w:eastAsia="方正仿宋_GBK" w:cs="方正仿宋_GBK"/>
          <w:sz w:val="32"/>
          <w:szCs w:val="32"/>
          <w:shd w:val="clear" w:color="auto" w:fill="FFFFFF"/>
        </w:rPr>
        <w:t>%，较年初预算数增加495.06万元，增长49506.00%，主要原因是支持中小企业发展和管理支出增加。</w:t>
      </w:r>
    </w:p>
    <w:p>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住房保障支出96.28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%，较年初预算数增加17.92万元，增长22.87%，主要原因是人员增加。</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0.64</w:t>
      </w:r>
      <w:r>
        <w:rPr>
          <w:rFonts w:ascii="方正仿宋_GBK" w:hAnsi="方正仿宋_GBK" w:eastAsia="方正仿宋_GBK" w:cs="方正仿宋_GBK"/>
          <w:sz w:val="32"/>
          <w:szCs w:val="32"/>
          <w:shd w:val="clear" w:color="auto" w:fill="FFFFFF"/>
        </w:rPr>
        <w:t>%，较年初预算数增加21.90万元，增长21900.00%，主要原因是应急救援、自然灾害救灾补助等支出增加。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1949.01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1551.85</w:t>
      </w:r>
      <w:r>
        <w:rPr>
          <w:rFonts w:ascii="方正仿宋_GBK" w:hAnsi="方正仿宋_GBK" w:eastAsia="方正仿宋_GBK" w:cs="方正仿宋_GBK"/>
          <w:sz w:val="32"/>
          <w:szCs w:val="32"/>
          <w:shd w:val="clear" w:color="auto" w:fill="FFFFFF"/>
        </w:rPr>
        <w:t>万元，较上年决算数增加207.50万元，增长15.43%，主要原因是人员增加和调资。人员经费用途主要包括</w:t>
      </w:r>
      <w:r>
        <w:rPr>
          <w:rFonts w:hint="default" w:ascii="方正仿宋_GBK" w:hAnsi="方正仿宋_GBK" w:eastAsia="方正仿宋_GBK" w:cs="方正仿宋_GBK"/>
          <w:kern w:val="2"/>
          <w:sz w:val="32"/>
          <w:szCs w:val="32"/>
        </w:rPr>
        <w:t>基本工资、津贴补贴、奖金、伙食补助费、绩效工资、社会保障缴费、住房公积金、医疗费、其他工资福利支出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397.16</w:t>
      </w:r>
      <w:r>
        <w:rPr>
          <w:rFonts w:ascii="方正仿宋_GBK" w:hAnsi="方正仿宋_GBK" w:eastAsia="方正仿宋_GBK" w:cs="方正仿宋_GBK"/>
          <w:sz w:val="32"/>
          <w:szCs w:val="32"/>
          <w:shd w:val="clear" w:color="auto" w:fill="FFFFFF"/>
        </w:rPr>
        <w:t>万元，较上年决算数增加188.64万元，增长90.47%，主要原因是办公费、差旅费、其他商品和服务支出等增加。公用经费用途主要包括</w:t>
      </w:r>
      <w:r>
        <w:rPr>
          <w:rFonts w:hint="default" w:ascii="方正仿宋_GBK" w:hAnsi="方正仿宋_GBK" w:eastAsia="方正仿宋_GBK" w:cs="方正仿宋_GBK"/>
          <w:kern w:val="2"/>
          <w:sz w:val="32"/>
          <w:szCs w:val="32"/>
        </w:rPr>
        <w:t>办公费、水费、电费、邮电费、差旅费、会议费、公务接待、劳务费、工会经费、公务用车运行维护费、其他交通费用和其他商品和服务支出。</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858.18</w:t>
      </w:r>
      <w:r>
        <w:rPr>
          <w:rFonts w:ascii="方正仿宋_GBK" w:hAnsi="方正仿宋_GBK" w:eastAsia="方正仿宋_GBK" w:cs="方正仿宋_GBK"/>
          <w:sz w:val="32"/>
          <w:szCs w:val="32"/>
          <w:shd w:val="clear" w:color="auto" w:fill="FFFFFF"/>
        </w:rPr>
        <w:t>万元，较上年决算数增加850.46万元，增长11016.32%，主要原因是国有土地使用权出让、彩票公益金等收入增加。本年支出</w:t>
      </w:r>
      <w:r>
        <w:rPr>
          <w:rFonts w:ascii="方正仿宋_GBK" w:hAnsi="方正仿宋_GBK" w:eastAsia="方正仿宋_GBK" w:cs="方正仿宋_GBK"/>
          <w:sz w:val="32"/>
          <w:szCs w:val="32"/>
        </w:rPr>
        <w:t>858.18</w:t>
      </w:r>
      <w:r>
        <w:rPr>
          <w:rFonts w:ascii="方正仿宋_GBK" w:hAnsi="方正仿宋_GBK" w:eastAsia="方正仿宋_GBK" w:cs="方正仿宋_GBK"/>
          <w:sz w:val="32"/>
          <w:szCs w:val="32"/>
          <w:shd w:val="clear" w:color="auto" w:fill="FFFFFF"/>
        </w:rPr>
        <w:t>万元，较上年决算数增加850.46万元，增长11016.32%，主要原因是国有土地使用权出让、彩票公益金等支出增加。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万元，主要用途用于国有企业退休人员社会化管理补助。</w:t>
      </w:r>
    </w:p>
    <w:p>
      <w:pPr>
        <w:pStyle w:val="6"/>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万元，较年初预算数增加4.82万元，增长209.57%，主要原因是年初编制预算时不能超上年预算数。较上年支出数减少0.05万元，下降0.70%，主要原因是厉行节约，严格执行接待标准，严控用车次数。</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万元，主要用于公务车燃油费、维修（护）费、保险费等相关支出。费用支出较年初预算数增加2.52万元，增长193.85%，主要原因是年初编制预算时不能超上年预算数。较上年支出数无增减，主要原因是加强公务车日常管理。</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万元，主要用于接待招商引资、公务接待。费用支出较年初预算数增加2.30万元，增长230.00%，主要原因是年初编制预算时不能超上年预算数。较上年支出数减少0.05万元，下降1.49%，主要原因是严格控制接待标准，推动建立厉行节约反对浪费的长效机制。</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76.70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万元，较上年决算数减少0.50万元，下降5.85%，主要原因是会议次数略有减少。本年度培训费支出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万元，较上年决算数增加2.48万元，增长100.00%，主要原因是召开村社干部业务、新进人员培训次数增加。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359.15</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kern w:val="2"/>
          <w:sz w:val="32"/>
          <w:szCs w:val="32"/>
        </w:rPr>
        <w:t>办公费、水电费、邮电费、差旅费、维修（护）费、会议费、培训费、公务接待费、劳务费、工会经费、公务用车运行维护费、其他交通费用、其他商品和服务支出</w:t>
      </w:r>
      <w:r>
        <w:rPr>
          <w:rFonts w:ascii="方正仿宋_GBK" w:hAnsi="方正仿宋_GBK" w:eastAsia="方正仿宋_GBK" w:cs="方正仿宋_GBK"/>
          <w:sz w:val="32"/>
          <w:szCs w:val="32"/>
          <w:shd w:val="clear" w:color="auto" w:fill="FFFFFF"/>
        </w:rPr>
        <w:t>。机关运行经费较上年支出数增加196.10万元，增长120.27%，主要原因是人员增加，办公费、</w:t>
      </w:r>
      <w:r>
        <w:rPr>
          <w:rFonts w:hint="default" w:ascii="方正仿宋_GBK" w:hAnsi="方正仿宋_GBK" w:eastAsia="方正仿宋_GBK" w:cs="方正仿宋_GBK"/>
          <w:kern w:val="2"/>
          <w:sz w:val="32"/>
          <w:szCs w:val="32"/>
        </w:rPr>
        <w:t>差旅费、其他商品和服务</w:t>
      </w:r>
      <w:r>
        <w:rPr>
          <w:rFonts w:ascii="方正仿宋_GBK" w:hAnsi="方正仿宋_GBK" w:eastAsia="方正仿宋_GBK" w:cs="方正仿宋_GBK"/>
          <w:kern w:val="2"/>
          <w:sz w:val="32"/>
          <w:szCs w:val="32"/>
        </w:rPr>
        <w:t>等增加。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19.60万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%。主要用于采购采购大井村、科普广场LED屏幕。</w:t>
      </w:r>
    </w:p>
    <w:p>
      <w:pPr>
        <w:pStyle w:val="6"/>
        <w:numPr>
          <w:ilvl w:val="0"/>
          <w:numId w:val="2"/>
        </w:numPr>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2"/>
        <w:autoSpaceDE w:val="0"/>
        <w:spacing w:before="0" w:beforeAutospacing="0" w:after="0" w:afterAutospacing="0" w:line="596" w:lineRule="exact"/>
        <w:ind w:firstLine="640" w:firstLineChars="200"/>
        <w:jc w:val="both"/>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根据预算绩效管理要求，我部门对部门整体和66个二级项目开展了绩效自评，涉及项目支出资金2343.46万元。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20836" w:type="dxa"/>
              <w:tblInd w:w="0" w:type="dxa"/>
              <w:tblLayout w:type="autofit"/>
              <w:tblCellMar>
                <w:top w:w="0" w:type="dxa"/>
                <w:left w:w="108" w:type="dxa"/>
                <w:bottom w:w="0" w:type="dxa"/>
                <w:right w:w="108" w:type="dxa"/>
              </w:tblCellMar>
            </w:tblPr>
            <w:tblGrid>
              <w:gridCol w:w="1347"/>
              <w:gridCol w:w="657"/>
              <w:gridCol w:w="657"/>
              <w:gridCol w:w="656"/>
              <w:gridCol w:w="530"/>
              <w:gridCol w:w="622"/>
              <w:gridCol w:w="624"/>
              <w:gridCol w:w="622"/>
              <w:gridCol w:w="467"/>
              <w:gridCol w:w="593"/>
              <w:gridCol w:w="1535"/>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垫江县高峰镇人民政府整体监控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50023100023P000075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96.40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715-垫江县高峰镇人民政府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周良方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74566800</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21,310,972.02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42,924,637.88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42,924,637.88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21,310,972.02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42,924,637.88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42,924,637.88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21,010,372.02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34,342,225.49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34,342,225.49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加强党的基层组织建设、夯实党在基层的执政根基，推动全面从严治党向基层延伸。;繁荣文化旅游事业;为退役军人提供服务;推广先进农业技术，促进农业发展;提高审批服务便民化水平。推进审批服务标准化，着力提升“互联网+政务服务”能力;集中行使依法授权或委托的农林水利、规划建设、环境保护、卫生健康、市容环卫、文化旅游、民政管理、消防等领域的行政执法权。加强综合行政执法队伍建设，实行综合行政执法。;强化企业投资、规划建设、城镇管理、环境保护、安全生产、农业发展、农村经营管理、生态建设、防灾减灾、扶贫济困等方面的服务管理职能;为辖区劳动就业和社会保障提供服务;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加强党的基层组织建设、夯实党在基层的执政根基，推动全面从严治党向基层延伸。;繁荣文化旅游事业;为退役军人提供服务;推广先进农业技术，促进农业发展;提高审批服务便民化水平。推进审批服务标准化，着力提升“互联网+政务服务”能力;集中行使依法授权或委托的农林水利、规划建设、环境保护、卫生健康、市容环卫、文化旅游、民政管理、消防等领域的行政执法权。加强综合行政执法队伍建设，实行综合行政执法。;强化企业投资、规划建设、城镇管理、环境保护、安全生产、农业发展、农村经营管理、生态建设、防灾减灾、扶贫济困等方面的服务管理职能;为辖区劳动就业和社会保障提供服务;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残疾人就业服务、家庭康复类培训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较大森林火险发生次数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农村党员培训人次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农村卫生厕所改厕数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社区治安巡逻覆盖率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生活垃圾处理量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1269.42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辖区居民人均纯收入增长量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应公开的政务信息公开率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优抚、民政、计生等困难群众补助人数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征兵完成率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送兵双合格完成任务，上级武装部门差额选拔</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重大安全事故发生次数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自然灾害应急处置率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辖区河道水质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部门预决算按时公开率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推动辖区经济社会全面发展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一般公共预算收入完成率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290.89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190.89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加大了招商引资力度</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辖区干部、群众满意度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widowControl w:val="0"/>
              <w:spacing w:before="0" w:beforeAutospacing="0"/>
              <w:jc w:val="both"/>
            </w:pPr>
          </w:p>
        </w:tc>
      </w:tr>
    </w:tbl>
    <w:p>
      <w:pPr>
        <w:pStyle w:val="12"/>
        <w:spacing w:before="0" w:beforeAutospacing="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20836" w:type="dxa"/>
              <w:tblInd w:w="0" w:type="dxa"/>
              <w:tblLayout w:type="autofit"/>
              <w:tblCellMar>
                <w:top w:w="0" w:type="dxa"/>
                <w:left w:w="108" w:type="dxa"/>
                <w:bottom w:w="0" w:type="dxa"/>
                <w:right w:w="108" w:type="dxa"/>
              </w:tblCellMar>
            </w:tblPr>
            <w:tblGrid>
              <w:gridCol w:w="1330"/>
              <w:gridCol w:w="635"/>
              <w:gridCol w:w="635"/>
              <w:gridCol w:w="822"/>
              <w:gridCol w:w="653"/>
              <w:gridCol w:w="781"/>
              <w:gridCol w:w="780"/>
              <w:gridCol w:w="609"/>
              <w:gridCol w:w="569"/>
              <w:gridCol w:w="737"/>
              <w:gridCol w:w="759"/>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居民医保参保工作经费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50023122T000000111618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715-垫江县高峰镇人民政府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周良方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74566800</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12,689.00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居民医保参保工作经费</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居民医保参保工作经费</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居民医保参保工作经费</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涉及村居个数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有效开展居民医保参保工作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工作开展支出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widowControl w:val="0"/>
              <w:spacing w:before="0" w:beforeAutospacing="0"/>
              <w:jc w:val="both"/>
            </w:pPr>
          </w:p>
        </w:tc>
      </w:tr>
    </w:tbl>
    <w:p>
      <w:pPr>
        <w:pStyle w:val="12"/>
        <w:spacing w:before="0" w:beforeAutospacing="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20836" w:type="dxa"/>
              <w:tblInd w:w="0" w:type="dxa"/>
              <w:tblLayout w:type="autofit"/>
              <w:tblCellMar>
                <w:top w:w="0" w:type="dxa"/>
                <w:left w:w="108" w:type="dxa"/>
                <w:bottom w:w="0" w:type="dxa"/>
                <w:right w:w="108" w:type="dxa"/>
              </w:tblCellMar>
            </w:tblPr>
            <w:tblGrid>
              <w:gridCol w:w="1339"/>
              <w:gridCol w:w="635"/>
              <w:gridCol w:w="635"/>
              <w:gridCol w:w="827"/>
              <w:gridCol w:w="657"/>
              <w:gridCol w:w="785"/>
              <w:gridCol w:w="784"/>
              <w:gridCol w:w="571"/>
              <w:gridCol w:w="571"/>
              <w:gridCol w:w="742"/>
              <w:gridCol w:w="764"/>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企业退休管理活动经费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50023122T000000094068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715-垫江县高峰镇人民政府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周良方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74566800</w:t>
                  </w:r>
                </w:p>
              </w:tc>
            </w:tr>
            <w:tr>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企业退休职工活动开展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企业退休职工活动开展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企业退休职工活动开展</w:t>
                  </w:r>
                </w:p>
              </w:tc>
            </w:tr>
            <w:tr>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企业退休职工开展活动次数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企业退休职工活动开展效果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活动成本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widowControl w:val="0"/>
              <w:spacing w:before="0" w:beforeAutospacing="0"/>
              <w:jc w:val="both"/>
              <w:rPr>
                <w:rFonts w:ascii="方正仿宋_GBK" w:hAnsi="方正仿宋_GBK" w:eastAsia="方正仿宋_GBK" w:cs="方正仿宋_GBK"/>
                <w:sz w:val="32"/>
                <w:szCs w:val="32"/>
              </w:rPr>
            </w:pPr>
          </w:p>
        </w:tc>
      </w:tr>
    </w:tbl>
    <w:p>
      <w:pPr>
        <w:pStyle w:val="12"/>
        <w:spacing w:before="0" w:beforeAutospacing="0" w:after="0" w:afterAutospacing="0" w:line="596" w:lineRule="exact"/>
        <w:ind w:firstLine="643" w:firstLineChars="200"/>
        <w:jc w:val="both"/>
        <w:rPr>
          <w:rFonts w:ascii="楷体" w:hAnsi="楷体" w:eastAsia="楷体" w:cs="楷体"/>
          <w:b/>
          <w:bCs/>
          <w:sz w:val="32"/>
          <w:szCs w:val="32"/>
          <w:shd w:val="clear" w:color="auto" w:fill="FFFFFF"/>
          <w:lang w:bidi="ar"/>
        </w:rPr>
      </w:pPr>
      <w:bookmarkStart w:id="0" w:name="_GoBack"/>
      <w:bookmarkEnd w:id="0"/>
      <w:r>
        <w:rPr>
          <w:rFonts w:hint="eastAsia" w:ascii="楷体" w:hAnsi="楷体" w:eastAsia="楷体" w:cs="楷体"/>
          <w:b/>
          <w:bCs/>
          <w:sz w:val="32"/>
          <w:szCs w:val="32"/>
          <w:shd w:val="clear" w:color="auto" w:fill="FFFFFF"/>
          <w:lang w:bidi="ar"/>
        </w:rPr>
        <w:t>（二）部门绩效评价情况</w:t>
      </w:r>
    </w:p>
    <w:p>
      <w:pPr>
        <w:pStyle w:val="14"/>
        <w:autoSpaceDE w:val="0"/>
        <w:spacing w:line="596"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4"/>
        <w:autoSpaceDE w:val="0"/>
        <w:spacing w:line="596" w:lineRule="exact"/>
        <w:ind w:firstLine="480"/>
        <w:jc w:val="both"/>
        <w:rPr>
          <w:rFonts w:ascii="楷体" w:hAnsi="楷体" w:eastAsia="楷体" w:cs="楷体"/>
          <w:b/>
          <w:bCs/>
          <w:sz w:val="32"/>
          <w:szCs w:val="32"/>
          <w:shd w:val="clear" w:color="auto" w:fill="FFFFFF"/>
          <w:lang w:bidi="ar"/>
        </w:rPr>
      </w:pPr>
      <w:r>
        <w:rPr>
          <w:rFonts w:hint="eastAsia"/>
        </w:rPr>
        <w:t xml:space="preserve">  </w:t>
      </w:r>
      <w:r>
        <w:rPr>
          <w:rFonts w:hint="eastAsia" w:ascii="楷体" w:hAnsi="楷体" w:eastAsia="楷体" w:cs="楷体"/>
          <w:b/>
          <w:bCs/>
          <w:sz w:val="32"/>
          <w:szCs w:val="32"/>
          <w:shd w:val="clear" w:color="auto" w:fill="FFFFFF"/>
          <w:lang w:bidi="ar"/>
        </w:rPr>
        <w:t>（三）财政绩效评价情况</w:t>
      </w:r>
    </w:p>
    <w:p>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6"/>
        <w:shd w:val="clear" w:color="auto" w:fill="FFFFFF"/>
        <w:spacing w:beforeAutospacing="0" w:after="0" w:afterAutospacing="0" w:line="596" w:lineRule="exact"/>
        <w:ind w:firstLine="640"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line="596"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本部门决算公开信息反馈和联系方式：023-74566800</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公开部门：垫江县高峰镇人民政府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3,416.22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69.77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941.45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858.65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4,274.46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4,292.46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4,292.46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4,292.46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公开部门：垫江县高峰镇人民政府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4,274.46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4,274.46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103.07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103.07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217.67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217.67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103.28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103.28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850.65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850.65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61.24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61.24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垫江县高峰镇人民政府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4,292.46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1,949.01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2,343.46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873.42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103.07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217.67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217.67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103.28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103.28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442.47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其他公路水路运输支出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3,416.22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941.45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827.37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4,274.46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4,292.46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3,434.22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4,292.46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4,292.46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3,434.22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858.18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3,434.22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1,949.01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1,485.21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1,166.70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873.42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103.07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49.41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63.41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398.18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341.92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217.67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217.67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103.28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103.28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18.87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858.65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442.47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416.18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214.34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214.34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214.34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510.75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228.14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228.14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其他公路水路运输支出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96.28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1,242.97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397.16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84.76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290.30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290.89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83.93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1,551.85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397.16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0.06 </w:t>
            </w:r>
          </w:p>
        </w:tc>
      </w:tr>
    </w:tbl>
    <w:p>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垫江县高峰镇人民政府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359.15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7.12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7.12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359.15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8.04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5A41899"/>
    <w:multiLevelType w:val="singleLevel"/>
    <w:tmpl w:val="65A418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6058"/>
    <w:rsid w:val="001C2BD7"/>
    <w:rsid w:val="002E5443"/>
    <w:rsid w:val="00550ABE"/>
    <w:rsid w:val="007B419D"/>
    <w:rsid w:val="00920B26"/>
    <w:rsid w:val="009B67B8"/>
    <w:rsid w:val="00B03CCD"/>
    <w:rsid w:val="00E76362"/>
    <w:rsid w:val="00ED6734"/>
    <w:rsid w:val="00F73F90"/>
    <w:rsid w:val="01474EBF"/>
    <w:rsid w:val="01F3521E"/>
    <w:rsid w:val="03B87EA0"/>
    <w:rsid w:val="03E3214F"/>
    <w:rsid w:val="040B175C"/>
    <w:rsid w:val="044C50BA"/>
    <w:rsid w:val="04612035"/>
    <w:rsid w:val="05BC6D49"/>
    <w:rsid w:val="06194FF1"/>
    <w:rsid w:val="06A2550B"/>
    <w:rsid w:val="06F80EE2"/>
    <w:rsid w:val="07001CCA"/>
    <w:rsid w:val="075678DB"/>
    <w:rsid w:val="079D7CC7"/>
    <w:rsid w:val="08051BCA"/>
    <w:rsid w:val="086C12F4"/>
    <w:rsid w:val="08BA052C"/>
    <w:rsid w:val="08DB07BA"/>
    <w:rsid w:val="08EB25FC"/>
    <w:rsid w:val="0969353F"/>
    <w:rsid w:val="098305D0"/>
    <w:rsid w:val="099F319F"/>
    <w:rsid w:val="0A5C4B69"/>
    <w:rsid w:val="0A86124A"/>
    <w:rsid w:val="0AB54CC0"/>
    <w:rsid w:val="0B771256"/>
    <w:rsid w:val="0B9335CE"/>
    <w:rsid w:val="0C0C797D"/>
    <w:rsid w:val="0C7927C4"/>
    <w:rsid w:val="0C9B098C"/>
    <w:rsid w:val="0D673E11"/>
    <w:rsid w:val="0DDA54E4"/>
    <w:rsid w:val="0E3A5F83"/>
    <w:rsid w:val="0E9B0F2A"/>
    <w:rsid w:val="0F836721"/>
    <w:rsid w:val="0FA25D96"/>
    <w:rsid w:val="0FAC685D"/>
    <w:rsid w:val="107B59E5"/>
    <w:rsid w:val="10EC0126"/>
    <w:rsid w:val="10F70B9A"/>
    <w:rsid w:val="111445C7"/>
    <w:rsid w:val="114278C6"/>
    <w:rsid w:val="1158083A"/>
    <w:rsid w:val="11643A4B"/>
    <w:rsid w:val="11ED0F98"/>
    <w:rsid w:val="11F03528"/>
    <w:rsid w:val="12C921C4"/>
    <w:rsid w:val="13871C70"/>
    <w:rsid w:val="13A71CB4"/>
    <w:rsid w:val="13A80C27"/>
    <w:rsid w:val="13AF1D43"/>
    <w:rsid w:val="13CE1647"/>
    <w:rsid w:val="13FD55AB"/>
    <w:rsid w:val="14200702"/>
    <w:rsid w:val="144B05EB"/>
    <w:rsid w:val="14F73201"/>
    <w:rsid w:val="163A6CEE"/>
    <w:rsid w:val="173708E3"/>
    <w:rsid w:val="17914E66"/>
    <w:rsid w:val="17C374FC"/>
    <w:rsid w:val="189079DC"/>
    <w:rsid w:val="189B0D0B"/>
    <w:rsid w:val="18B43F7C"/>
    <w:rsid w:val="194A1770"/>
    <w:rsid w:val="19B906A4"/>
    <w:rsid w:val="1B6F15B6"/>
    <w:rsid w:val="1BAA2EDC"/>
    <w:rsid w:val="1C0E503C"/>
    <w:rsid w:val="1C5C0973"/>
    <w:rsid w:val="1CA55E64"/>
    <w:rsid w:val="1D014A01"/>
    <w:rsid w:val="1D022362"/>
    <w:rsid w:val="1D1B04B0"/>
    <w:rsid w:val="1DBD6767"/>
    <w:rsid w:val="1DC52125"/>
    <w:rsid w:val="1DD26311"/>
    <w:rsid w:val="1E374ACB"/>
    <w:rsid w:val="1EA21315"/>
    <w:rsid w:val="1ECF0A66"/>
    <w:rsid w:val="1EF67CA4"/>
    <w:rsid w:val="1F020D3A"/>
    <w:rsid w:val="1F2C5189"/>
    <w:rsid w:val="1F4B0B02"/>
    <w:rsid w:val="1F8D0609"/>
    <w:rsid w:val="1F9D0487"/>
    <w:rsid w:val="1FBB35CD"/>
    <w:rsid w:val="1FCD26AF"/>
    <w:rsid w:val="20642787"/>
    <w:rsid w:val="21556F04"/>
    <w:rsid w:val="22403BD3"/>
    <w:rsid w:val="23C77A80"/>
    <w:rsid w:val="24B92327"/>
    <w:rsid w:val="24C14514"/>
    <w:rsid w:val="2533755C"/>
    <w:rsid w:val="25791755"/>
    <w:rsid w:val="261966C8"/>
    <w:rsid w:val="26396DF4"/>
    <w:rsid w:val="27167136"/>
    <w:rsid w:val="27B23302"/>
    <w:rsid w:val="29310A5F"/>
    <w:rsid w:val="296F2ACE"/>
    <w:rsid w:val="297736EF"/>
    <w:rsid w:val="29C37A35"/>
    <w:rsid w:val="2A076083"/>
    <w:rsid w:val="2A73162E"/>
    <w:rsid w:val="2B167953"/>
    <w:rsid w:val="2B200583"/>
    <w:rsid w:val="2B5A2DEB"/>
    <w:rsid w:val="2B8209DE"/>
    <w:rsid w:val="2BAB6B14"/>
    <w:rsid w:val="2C6762A3"/>
    <w:rsid w:val="2EBF7B3E"/>
    <w:rsid w:val="2FCA4B37"/>
    <w:rsid w:val="2FDE27BA"/>
    <w:rsid w:val="2FE029D7"/>
    <w:rsid w:val="2FF06E00"/>
    <w:rsid w:val="30562E26"/>
    <w:rsid w:val="30586FEC"/>
    <w:rsid w:val="315F0B22"/>
    <w:rsid w:val="319D022C"/>
    <w:rsid w:val="31C90022"/>
    <w:rsid w:val="31D84415"/>
    <w:rsid w:val="32285F6F"/>
    <w:rsid w:val="32770556"/>
    <w:rsid w:val="329C0913"/>
    <w:rsid w:val="32AA0460"/>
    <w:rsid w:val="3337290D"/>
    <w:rsid w:val="337B3A92"/>
    <w:rsid w:val="33E31118"/>
    <w:rsid w:val="33EF7674"/>
    <w:rsid w:val="34160775"/>
    <w:rsid w:val="342D7BC6"/>
    <w:rsid w:val="352930DB"/>
    <w:rsid w:val="35573069"/>
    <w:rsid w:val="355F6038"/>
    <w:rsid w:val="358C217E"/>
    <w:rsid w:val="36581519"/>
    <w:rsid w:val="36C9128A"/>
    <w:rsid w:val="37841E99"/>
    <w:rsid w:val="37B02C8E"/>
    <w:rsid w:val="37BF1123"/>
    <w:rsid w:val="383C3F15"/>
    <w:rsid w:val="38BE4696"/>
    <w:rsid w:val="3939115E"/>
    <w:rsid w:val="39B82A39"/>
    <w:rsid w:val="39C42CA8"/>
    <w:rsid w:val="39DC4FD6"/>
    <w:rsid w:val="39F03D7A"/>
    <w:rsid w:val="39F33306"/>
    <w:rsid w:val="3A2C1C67"/>
    <w:rsid w:val="3B1705E5"/>
    <w:rsid w:val="3B18334B"/>
    <w:rsid w:val="3B1B038C"/>
    <w:rsid w:val="3B36794F"/>
    <w:rsid w:val="3B8F727B"/>
    <w:rsid w:val="3C566AD6"/>
    <w:rsid w:val="3C6A5B02"/>
    <w:rsid w:val="3D2757A1"/>
    <w:rsid w:val="3D3D4FC4"/>
    <w:rsid w:val="3DDF3AB1"/>
    <w:rsid w:val="3E087340"/>
    <w:rsid w:val="3E1D0952"/>
    <w:rsid w:val="3E42660A"/>
    <w:rsid w:val="3E7555B1"/>
    <w:rsid w:val="3E787ED9"/>
    <w:rsid w:val="3E9D3428"/>
    <w:rsid w:val="3EEC37F3"/>
    <w:rsid w:val="3F032E93"/>
    <w:rsid w:val="3F0527E5"/>
    <w:rsid w:val="3F694D83"/>
    <w:rsid w:val="3F885DCC"/>
    <w:rsid w:val="3FCD675E"/>
    <w:rsid w:val="4004000C"/>
    <w:rsid w:val="4079507E"/>
    <w:rsid w:val="411B6CE5"/>
    <w:rsid w:val="412070D7"/>
    <w:rsid w:val="41314E40"/>
    <w:rsid w:val="41E0734B"/>
    <w:rsid w:val="426554D0"/>
    <w:rsid w:val="426C1EA8"/>
    <w:rsid w:val="42736402"/>
    <w:rsid w:val="42E86A87"/>
    <w:rsid w:val="43307B09"/>
    <w:rsid w:val="43977424"/>
    <w:rsid w:val="43BB152F"/>
    <w:rsid w:val="43C24EDA"/>
    <w:rsid w:val="44781E36"/>
    <w:rsid w:val="44C37687"/>
    <w:rsid w:val="45CB699A"/>
    <w:rsid w:val="465B470D"/>
    <w:rsid w:val="469D6AD4"/>
    <w:rsid w:val="471E6C84"/>
    <w:rsid w:val="4748792B"/>
    <w:rsid w:val="475D719D"/>
    <w:rsid w:val="47674801"/>
    <w:rsid w:val="48225EF7"/>
    <w:rsid w:val="488F422B"/>
    <w:rsid w:val="48E36915"/>
    <w:rsid w:val="495C4A24"/>
    <w:rsid w:val="497135DF"/>
    <w:rsid w:val="4A263DF2"/>
    <w:rsid w:val="4A425984"/>
    <w:rsid w:val="4A6F6675"/>
    <w:rsid w:val="4B135857"/>
    <w:rsid w:val="4B7951CB"/>
    <w:rsid w:val="4B7C315C"/>
    <w:rsid w:val="4BB5666E"/>
    <w:rsid w:val="4DAC4ACA"/>
    <w:rsid w:val="4DBE01D2"/>
    <w:rsid w:val="4F0C6BA3"/>
    <w:rsid w:val="4F186D58"/>
    <w:rsid w:val="4FEA65B7"/>
    <w:rsid w:val="50F06B6E"/>
    <w:rsid w:val="51275D81"/>
    <w:rsid w:val="51A12147"/>
    <w:rsid w:val="52234D33"/>
    <w:rsid w:val="522F6E0C"/>
    <w:rsid w:val="52463BA1"/>
    <w:rsid w:val="52546AF3"/>
    <w:rsid w:val="52F163D4"/>
    <w:rsid w:val="531A2DB4"/>
    <w:rsid w:val="53C0244D"/>
    <w:rsid w:val="53DD4D4E"/>
    <w:rsid w:val="53E578CE"/>
    <w:rsid w:val="53EE0073"/>
    <w:rsid w:val="541330F0"/>
    <w:rsid w:val="54272666"/>
    <w:rsid w:val="543A3BB4"/>
    <w:rsid w:val="543B029D"/>
    <w:rsid w:val="546A6251"/>
    <w:rsid w:val="54861779"/>
    <w:rsid w:val="54FB4092"/>
    <w:rsid w:val="552256E1"/>
    <w:rsid w:val="554E5773"/>
    <w:rsid w:val="55564A1D"/>
    <w:rsid w:val="555A3CBC"/>
    <w:rsid w:val="557F3487"/>
    <w:rsid w:val="5582012B"/>
    <w:rsid w:val="558E4E05"/>
    <w:rsid w:val="55BE2E85"/>
    <w:rsid w:val="56476126"/>
    <w:rsid w:val="56530F5D"/>
    <w:rsid w:val="567700D3"/>
    <w:rsid w:val="567D348C"/>
    <w:rsid w:val="56FF7E9E"/>
    <w:rsid w:val="578867FC"/>
    <w:rsid w:val="57F5095E"/>
    <w:rsid w:val="5842572D"/>
    <w:rsid w:val="5A3B59D6"/>
    <w:rsid w:val="5AD134D8"/>
    <w:rsid w:val="5B1A7FC3"/>
    <w:rsid w:val="5C263CE4"/>
    <w:rsid w:val="5C5D2777"/>
    <w:rsid w:val="5CCB7A9F"/>
    <w:rsid w:val="5CF66BF3"/>
    <w:rsid w:val="5D290C69"/>
    <w:rsid w:val="5F2D4A41"/>
    <w:rsid w:val="5F3A57DD"/>
    <w:rsid w:val="602064BD"/>
    <w:rsid w:val="60C74F6C"/>
    <w:rsid w:val="61025A59"/>
    <w:rsid w:val="613D5BBC"/>
    <w:rsid w:val="61536C39"/>
    <w:rsid w:val="621B316D"/>
    <w:rsid w:val="62571DD5"/>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6323BF"/>
    <w:rsid w:val="6883293E"/>
    <w:rsid w:val="688412AD"/>
    <w:rsid w:val="68EB1B71"/>
    <w:rsid w:val="69475C96"/>
    <w:rsid w:val="69955974"/>
    <w:rsid w:val="6AAD2300"/>
    <w:rsid w:val="6B37116C"/>
    <w:rsid w:val="6B474EF5"/>
    <w:rsid w:val="6BBF53FD"/>
    <w:rsid w:val="6C4B054D"/>
    <w:rsid w:val="6C560CAE"/>
    <w:rsid w:val="6C576495"/>
    <w:rsid w:val="6D903FF5"/>
    <w:rsid w:val="6DA955B8"/>
    <w:rsid w:val="6DE346AB"/>
    <w:rsid w:val="6DE5391A"/>
    <w:rsid w:val="6EFD1324"/>
    <w:rsid w:val="6F5A53AC"/>
    <w:rsid w:val="6FAC003D"/>
    <w:rsid w:val="6FE55E12"/>
    <w:rsid w:val="6FFB2E76"/>
    <w:rsid w:val="708F6F7F"/>
    <w:rsid w:val="70D94BD3"/>
    <w:rsid w:val="71C34D91"/>
    <w:rsid w:val="71FF259D"/>
    <w:rsid w:val="72670D41"/>
    <w:rsid w:val="72DB435C"/>
    <w:rsid w:val="72E2613A"/>
    <w:rsid w:val="72F771F4"/>
    <w:rsid w:val="736650B0"/>
    <w:rsid w:val="73934AD2"/>
    <w:rsid w:val="74DB0643"/>
    <w:rsid w:val="750837F0"/>
    <w:rsid w:val="75196591"/>
    <w:rsid w:val="754758CF"/>
    <w:rsid w:val="762D2754"/>
    <w:rsid w:val="764F62AB"/>
    <w:rsid w:val="765C45EC"/>
    <w:rsid w:val="768A7619"/>
    <w:rsid w:val="772E1EBA"/>
    <w:rsid w:val="77E63791"/>
    <w:rsid w:val="77EB79F7"/>
    <w:rsid w:val="78A73B55"/>
    <w:rsid w:val="79654E8C"/>
    <w:rsid w:val="796D60A4"/>
    <w:rsid w:val="79A031D5"/>
    <w:rsid w:val="7A1525F7"/>
    <w:rsid w:val="7A580CA9"/>
    <w:rsid w:val="7B420052"/>
    <w:rsid w:val="7B451DEC"/>
    <w:rsid w:val="7B861484"/>
    <w:rsid w:val="7BD06A28"/>
    <w:rsid w:val="7C380EB7"/>
    <w:rsid w:val="7C3A7C0B"/>
    <w:rsid w:val="7C5248E4"/>
    <w:rsid w:val="7C566698"/>
    <w:rsid w:val="7C5866A3"/>
    <w:rsid w:val="7C7A00DC"/>
    <w:rsid w:val="7D7406BB"/>
    <w:rsid w:val="7DB217BE"/>
    <w:rsid w:val="7DE94331"/>
    <w:rsid w:val="7F34727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4"/>
    <w:basedOn w:val="1"/>
    <w:next w:val="1"/>
    <w:qFormat/>
    <w:uiPriority w:val="0"/>
    <w:pPr>
      <w:spacing w:before="280" w:after="290" w:line="376" w:lineRule="auto"/>
      <w:outlineLvl w:val="3"/>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17981</Words>
  <Characters>25274</Characters>
  <Lines>239</Lines>
  <Paragraphs>67</Paragraphs>
  <TotalTime>25</TotalTime>
  <ScaleCrop>false</ScaleCrop>
  <LinksUpToDate>false</LinksUpToDate>
  <CharactersWithSpaces>28282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2024-09-11T01:52:31Z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