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垫江县高峰镇文化服务中心</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spacing w:before="0" w:beforeAutospacing="0" w:after="0" w:afterAutospacing="0" w:line="596" w:lineRule="exact"/>
        <w:ind w:firstLine="642" w:firstLineChars="200"/>
        <w:jc w:val="both"/>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6"/>
        <w:shd w:val="clear" w:color="auto" w:fill="FFFFFF"/>
        <w:spacing w:before="0" w:beforeAutospacing="0" w:after="0" w:afterAutospacing="0" w:line="596" w:lineRule="exact"/>
        <w:ind w:firstLine="642" w:firstLineChars="200"/>
        <w:jc w:val="both"/>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本事业单位为高峰镇人民政府的下属事业单位，本年新增单位,上年度无数据。</w:t>
      </w:r>
    </w:p>
    <w:p>
      <w:pPr>
        <w:pStyle w:val="6"/>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二、部门决算情况说明</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6"/>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2023年度收入总计68.79万元，支出总计</w:t>
      </w:r>
      <w:r>
        <w:rPr>
          <w:rFonts w:ascii="方正仿宋_GBK" w:hAnsi="方正仿宋_GBK" w:eastAsia="方正仿宋_GBK" w:cs="方正仿宋_GBK"/>
          <w:sz w:val="32"/>
          <w:szCs w:val="32"/>
        </w:rPr>
        <w:t>68.79</w:t>
      </w:r>
      <w:r>
        <w:rPr>
          <w:rFonts w:ascii="方正仿宋_GBK" w:hAnsi="方正仿宋_GBK" w:eastAsia="方正仿宋_GBK" w:cs="方正仿宋_GBK"/>
          <w:sz w:val="32"/>
          <w:szCs w:val="32"/>
          <w:shd w:val="clear" w:color="auto" w:fill="FFFFFF"/>
        </w:rPr>
        <w:t>万元。收支较上年决算数增加68.79万元，增长100.00%，主要原因是根据预决算管理要求，垫江县高峰镇文化服务中心独立决算，基本支出增加68.79万元。</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2023年度收入合计68.79万元，较上年决算数增加68.79万元，增长100.00%，主要原因是根据预决算管理要求，垫江县高峰镇文化服务中心独立决算，收入增加68.79万元。其中：财政拨款收入</w:t>
      </w:r>
      <w:r>
        <w:rPr>
          <w:rFonts w:ascii="方正仿宋_GBK" w:hAnsi="方正仿宋_GBK" w:eastAsia="方正仿宋_GBK" w:cs="方正仿宋_GBK"/>
          <w:sz w:val="32"/>
          <w:szCs w:val="32"/>
        </w:rPr>
        <w:t>68.79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68.79</w:t>
      </w:r>
      <w:r>
        <w:rPr>
          <w:rFonts w:ascii="方正仿宋_GBK" w:hAnsi="方正仿宋_GBK" w:eastAsia="方正仿宋_GBK" w:cs="方正仿宋_GBK"/>
          <w:sz w:val="32"/>
          <w:szCs w:val="32"/>
          <w:shd w:val="clear" w:color="auto" w:fill="FFFFFF"/>
        </w:rPr>
        <w:t>万元，较上年决算数增加68.79万元，增长100.00%，主要原因是</w:t>
      </w:r>
      <w:bookmarkStart w:id="0" w:name="_GoBack"/>
      <w:bookmarkEnd w:id="0"/>
      <w:r>
        <w:rPr>
          <w:rFonts w:ascii="方正仿宋_GBK" w:hAnsi="方正仿宋_GBK" w:eastAsia="方正仿宋_GBK" w:cs="方正仿宋_GBK"/>
          <w:sz w:val="32"/>
          <w:szCs w:val="32"/>
          <w:shd w:val="clear" w:color="auto" w:fill="FFFFFF"/>
        </w:rPr>
        <w:t>根据预决算管理要求，垫江县高峰镇文化服务中心独立决算，支出增加68.79万元。其中：基本支出</w:t>
      </w:r>
      <w:r>
        <w:rPr>
          <w:rFonts w:ascii="方正仿宋_GBK" w:hAnsi="方正仿宋_GBK" w:eastAsia="方正仿宋_GBK" w:cs="方正仿宋_GBK"/>
          <w:sz w:val="32"/>
          <w:szCs w:val="32"/>
        </w:rPr>
        <w:t>68.79</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万元，较上年决算数无增减，主要原因是本年实现收支平衡。</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68.79万元。与2022年相比，财政拨款收、支总计各增加68.79万元，增长100.00%。主要原因是根据预决算管理要求，垫江县高峰镇文化服务中心独立决算，财政拨款收、支总计各增加68.79万元。</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68.79</w:t>
      </w:r>
      <w:r>
        <w:rPr>
          <w:rFonts w:ascii="方正仿宋_GBK" w:hAnsi="方正仿宋_GBK" w:eastAsia="方正仿宋_GBK" w:cs="方正仿宋_GBK"/>
          <w:sz w:val="32"/>
          <w:szCs w:val="32"/>
          <w:shd w:val="clear" w:color="auto" w:fill="FFFFFF"/>
        </w:rPr>
        <w:t>万元，较上年决算数增加68.79万元，增长100.00%。主要原因是根据预决算管理要求，垫江县高峰镇文化服务中心独立决算，一般公共预算财政拨款收入增加</w:t>
      </w:r>
      <w:r>
        <w:rPr>
          <w:rFonts w:ascii="方正仿宋_GBK" w:hAnsi="方正仿宋_GBK" w:eastAsia="方正仿宋_GBK" w:cs="方正仿宋_GBK"/>
          <w:sz w:val="32"/>
          <w:szCs w:val="32"/>
        </w:rPr>
        <w:t>68.79</w:t>
      </w:r>
      <w:r>
        <w:rPr>
          <w:rFonts w:ascii="方正仿宋_GBK" w:hAnsi="方正仿宋_GBK" w:eastAsia="方正仿宋_GBK" w:cs="方正仿宋_GBK"/>
          <w:sz w:val="32"/>
          <w:szCs w:val="32"/>
          <w:shd w:val="clear" w:color="auto" w:fill="FFFFFF"/>
        </w:rPr>
        <w:t>万元。较年初预算数增加4.18万元，增长6.47%。主要原因是部分项目经费调剂和人员经费增加。此外，年初财政拨款结转和结余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68.79</w:t>
      </w:r>
      <w:r>
        <w:rPr>
          <w:rFonts w:ascii="方正仿宋_GBK" w:hAnsi="方正仿宋_GBK" w:eastAsia="方正仿宋_GBK" w:cs="方正仿宋_GBK"/>
          <w:sz w:val="32"/>
          <w:szCs w:val="32"/>
          <w:shd w:val="clear" w:color="auto" w:fill="FFFFFF"/>
        </w:rPr>
        <w:t>万元，较上年决算数增加68.79万元，增长100.00%。主要原因是根据预决算管理要求，垫江县高峰镇文化服务中心独立决算，一般公共预算财政拨款支出增加</w:t>
      </w:r>
      <w:r>
        <w:rPr>
          <w:rFonts w:ascii="方正仿宋_GBK" w:hAnsi="方正仿宋_GBK" w:eastAsia="方正仿宋_GBK" w:cs="方正仿宋_GBK"/>
          <w:sz w:val="32"/>
          <w:szCs w:val="32"/>
        </w:rPr>
        <w:t>68.79</w:t>
      </w:r>
      <w:r>
        <w:rPr>
          <w:rFonts w:ascii="方正仿宋_GBK" w:hAnsi="方正仿宋_GBK" w:eastAsia="方正仿宋_GBK" w:cs="方正仿宋_GBK"/>
          <w:sz w:val="32"/>
          <w:szCs w:val="32"/>
          <w:shd w:val="clear" w:color="auto" w:fill="FFFFFF"/>
        </w:rPr>
        <w:t>万元。较年初预算数增加4.18万元，增长6.47%。主要原因是部分项目经费调剂和人员经费增加。</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万元，较上年决算数无增减，主要原因是本年实现收支平衡。</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（1）文化旅游体育与传媒支出</w:t>
      </w:r>
      <w:r>
        <w:rPr>
          <w:rFonts w:ascii="方正仿宋_GBK" w:hAnsi="方正仿宋_GBK" w:eastAsia="方正仿宋_GBK" w:cs="方正仿宋_GBK"/>
          <w:sz w:val="32"/>
          <w:szCs w:val="32"/>
        </w:rPr>
        <w:t>53.66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78.01</w:t>
      </w:r>
      <w:r>
        <w:rPr>
          <w:rFonts w:ascii="方正仿宋_GBK" w:hAnsi="方正仿宋_GBK" w:eastAsia="方正仿宋_GBK" w:cs="方正仿宋_GBK"/>
          <w:sz w:val="32"/>
          <w:szCs w:val="32"/>
          <w:shd w:val="clear" w:color="auto" w:fill="FFFFFF"/>
        </w:rPr>
        <w:t>%，较年初预算数增加2.89万元，增长5.69%，主要原因是人员经费调整。</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8.47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12.31</w:t>
      </w:r>
      <w:r>
        <w:rPr>
          <w:rFonts w:ascii="方正仿宋_GBK" w:hAnsi="方正仿宋_GBK" w:eastAsia="方正仿宋_GBK" w:cs="方正仿宋_GBK"/>
          <w:sz w:val="32"/>
          <w:szCs w:val="32"/>
          <w:shd w:val="clear" w:color="auto" w:fill="FFFFFF"/>
        </w:rPr>
        <w:t xml:space="preserve">%，较年初预算数减少0.12万元，下降1.40%，主要原因是人员经费调整。 </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3.17</w:t>
      </w:r>
      <w:r>
        <w:rPr>
          <w:rFonts w:ascii="方正仿宋_GBK" w:hAnsi="方正仿宋_GBK" w:eastAsia="方正仿宋_GBK" w:cs="方正仿宋_GBK"/>
          <w:sz w:val="32"/>
          <w:szCs w:val="32"/>
          <w:shd w:val="clear" w:color="auto" w:fill="FFFFFF"/>
        </w:rPr>
        <w:t xml:space="preserve">%，较年初预算数减少0.21万元，下降8.79%，主要原因是人员经费调整。 </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6.51</w:t>
      </w:r>
      <w:r>
        <w:rPr>
          <w:rFonts w:ascii="方正仿宋_GBK" w:hAnsi="方正仿宋_GBK" w:eastAsia="方正仿宋_GBK" w:cs="方正仿宋_GBK"/>
          <w:sz w:val="32"/>
          <w:szCs w:val="32"/>
          <w:shd w:val="clear" w:color="auto" w:fill="FFFFFF"/>
        </w:rPr>
        <w:t xml:space="preserve">%，较年初预算数增加1.61万元，增长56.10%，主要原因是人员经费调整。 </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68.79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63.58</w:t>
      </w:r>
      <w:r>
        <w:rPr>
          <w:rFonts w:ascii="方正仿宋_GBK" w:hAnsi="方正仿宋_GBK" w:eastAsia="方正仿宋_GBK" w:cs="方正仿宋_GBK"/>
          <w:sz w:val="32"/>
          <w:szCs w:val="32"/>
          <w:shd w:val="clear" w:color="auto" w:fill="FFFFFF"/>
        </w:rPr>
        <w:t>万元，较上年决算数增加63.58万元，增长100.00%，主要原因是根据预决算管理要求，垫江县高峰镇文化服务中心独立决算。人员经费用途主要包括基本工资、津贴补贴、绩效工资、社会保障缴费、其他工资福利支出等。公用经费</w:t>
      </w:r>
      <w:r>
        <w:rPr>
          <w:rFonts w:ascii="方正仿宋_GBK" w:hAnsi="方正仿宋_GBK" w:eastAsia="方正仿宋_GBK" w:cs="方正仿宋_GBK"/>
          <w:sz w:val="32"/>
          <w:szCs w:val="32"/>
        </w:rPr>
        <w:t>5.21</w:t>
      </w:r>
      <w:r>
        <w:rPr>
          <w:rFonts w:ascii="方正仿宋_GBK" w:hAnsi="方正仿宋_GBK" w:eastAsia="方正仿宋_GBK" w:cs="方正仿宋_GBK"/>
          <w:sz w:val="32"/>
          <w:szCs w:val="32"/>
          <w:shd w:val="clear" w:color="auto" w:fill="FFFFFF"/>
        </w:rPr>
        <w:t>万元，较上年决算数增加5.21万元，增长100.00%，主要原因是根据预决算管理要求，垫江县高峰镇退役军人服务站独立决算。公用经费用途主要包括办公费、工会经费、差旅费等。</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万元，较上年决算数无增减，主要原因是本单位2023年度无政府性基金预算财政拨款收支。本年支出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万元，较上年决算数无增减，主要原因是本单位2023年度无政府性基金预算财政拨款收支。</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万元，主要用途用于本单位2023年度无国有资本经营预算财政拨款支出</w:t>
      </w:r>
    </w:p>
    <w:p>
      <w:pPr>
        <w:pStyle w:val="6"/>
        <w:shd w:val="clear" w:color="auto" w:fill="FFFFFF"/>
        <w:spacing w:before="0" w:beforeAutospacing="0" w:after="0" w:afterAutospacing="0" w:line="596" w:lineRule="exact"/>
        <w:ind w:firstLine="642"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2" w:firstLineChars="200"/>
        <w:jc w:val="both"/>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方正楷体_GBK" w:hAnsi="楷体" w:eastAsia="方正楷体_GBK" w:cs="楷体"/>
          <w:b/>
          <w:bCs/>
          <w:sz w:val="32"/>
          <w:szCs w:val="32"/>
          <w:shd w:val="clear" w:color="auto" w:fill="FFFFFF"/>
          <w:lang w:bidi="ar"/>
        </w:rPr>
      </w:pPr>
      <w:r>
        <w:rPr>
          <w:rFonts w:ascii="Calibri" w:hAnsi="Calibri" w:eastAsia="楷体" w:cs="Calibri"/>
          <w:b/>
          <w:bCs/>
          <w:sz w:val="32"/>
          <w:szCs w:val="32"/>
          <w:shd w:val="clear" w:color="auto" w:fill="FFFFFF"/>
          <w:lang w:bidi="ar"/>
        </w:rPr>
        <w:t> </w:t>
      </w:r>
      <w:r>
        <w:rPr>
          <w:rFonts w:hint="eastAsia" w:ascii="方正楷体_GBK" w:hAnsi="楷体" w:eastAsia="方正楷体_GBK" w:cs="楷体"/>
          <w:b/>
          <w:bCs/>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hint="default"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主要原因是上年和本年均未发生培训费支出</w:t>
      </w:r>
      <w:r>
        <w:rPr>
          <w:rFonts w:ascii="方正仿宋_GBK" w:hAnsi="方正仿宋_GBK" w:eastAsia="方正仿宋_GBK" w:cs="方正仿宋_GBK"/>
          <w:sz w:val="32"/>
          <w:szCs w:val="32"/>
          <w:shd w:val="clear" w:color="auto" w:fill="FFFFFF"/>
        </w:rPr>
        <w:t>。</w:t>
      </w:r>
    </w:p>
    <w:p>
      <w:pPr>
        <w:pStyle w:val="11"/>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（四）政府采购支出情况说明</w:t>
      </w:r>
    </w:p>
    <w:p>
      <w:pPr>
        <w:pStyle w:val="11"/>
        <w:autoSpaceDE w:val="0"/>
        <w:spacing w:line="596" w:lineRule="exact"/>
        <w:ind w:firstLine="64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6"/>
        <w:numPr>
          <w:ilvl w:val="0"/>
          <w:numId w:val="1"/>
        </w:numPr>
        <w:shd w:val="clear" w:color="auto" w:fill="FFFFFF"/>
        <w:spacing w:before="0" w:beforeAutospacing="0" w:after="0" w:afterAutospacing="0" w:line="596" w:lineRule="exact"/>
        <w:ind w:firstLine="642"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12"/>
        <w:autoSpaceDE w:val="0"/>
        <w:spacing w:before="0" w:beforeAutospacing="0" w:after="0" w:afterAutospacing="0" w:line="596" w:lineRule="exact"/>
        <w:ind w:firstLine="640" w:firstLineChars="200"/>
        <w:jc w:val="both"/>
        <w:rPr>
          <w:rFonts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根据预算绩效管理要求，我单位对0个二级项目开展了绩效自评，涉及财政拨款项目资金0万元。</w:t>
      </w:r>
    </w:p>
    <w:p>
      <w:pPr>
        <w:pStyle w:val="11"/>
        <w:numPr>
          <w:ilvl w:val="0"/>
          <w:numId w:val="2"/>
        </w:numPr>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单位绩效评价情况</w:t>
      </w:r>
    </w:p>
    <w:p>
      <w:pPr>
        <w:pStyle w:val="11"/>
        <w:autoSpaceDE w:val="0"/>
        <w:spacing w:line="596" w:lineRule="exact"/>
        <w:ind w:firstLine="640"/>
        <w:jc w:val="both"/>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1"/>
        <w:autoSpaceDE w:val="0"/>
        <w:spacing w:line="596" w:lineRule="exact"/>
        <w:ind w:firstLine="643"/>
        <w:jc w:val="both"/>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1"/>
        <w:autoSpaceDE w:val="0"/>
        <w:spacing w:line="596" w:lineRule="exact"/>
        <w:ind w:firstLine="640"/>
        <w:jc w:val="both"/>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FF"/>
        </w:rPr>
      </w:pPr>
      <w:r>
        <w:rPr>
          <w:rStyle w:val="10"/>
          <w:rFonts w:hint="eastAsia" w:ascii="黑体" w:hAnsi="黑体" w:eastAsia="黑体" w:cs="黑体"/>
          <w:sz w:val="32"/>
          <w:szCs w:val="32"/>
          <w:shd w:val="clear" w:color="auto" w:fill="FFFFFF"/>
        </w:rPr>
        <w:t>六、专业名词解释</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96" w:lineRule="exact"/>
        <w:ind w:firstLine="642" w:firstLineChars="200"/>
        <w:jc w:val="both"/>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本单位决算公开信息反馈和联系方式：023-74566800</w:t>
      </w: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公开单位：垫江县高峰镇文化服务中心</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68.79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53.66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8.47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4.48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68.79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68.79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68.79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68.79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公开单位：垫江县高峰镇文化服务中心</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68.79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68.79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垫江县高峰镇文化服务中心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68.79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68.79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垫江县高峰镇文化服务中心</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68.79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53.66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53.66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8.47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8.47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68.79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68.79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68.79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68.79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垫江县高峰镇文化服务中心</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68.79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68.79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53.66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53.66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群众文化</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53.66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53.66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8.47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8.47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3.74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3.74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1.87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2.18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2.18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4.48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4.48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垫江县高峰镇文化服务中心</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60.72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5.21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11.89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32.84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1.87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3.65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4.48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0.88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0.50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2.86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63.58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5.21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垫江县高峰镇文化服务中心</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rPr>
      </w:pPr>
      <w:r>
        <w:rPr>
          <w:rFonts w:cs="宋体"/>
          <w:sz w:val="21"/>
          <w:szCs w:val="21"/>
          <w:lang w:bidi="ar"/>
        </w:rPr>
        <w:t>备注：本表反映单位本年度政府性基金预算财政拨款收入支出及结转和结余情况。本单位无政府性基金收支，故本表无数据。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垫江县高峰镇文化服务中心</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垫江县高峰镇文化服务中心</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1B334100"/>
    <w:multiLevelType w:val="singleLevel"/>
    <w:tmpl w:val="1B33410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VjZDgxMDdiYjk5MTI3ZmYyMWEzM2I4MDRjYmIifQ=="/>
  </w:docVars>
  <w:rsids>
    <w:rsidRoot w:val="00B03CCD"/>
    <w:rsid w:val="00550ABE"/>
    <w:rsid w:val="007B419D"/>
    <w:rsid w:val="007D17A5"/>
    <w:rsid w:val="008A4B53"/>
    <w:rsid w:val="009B67B8"/>
    <w:rsid w:val="00B03CCD"/>
    <w:rsid w:val="00C663A7"/>
    <w:rsid w:val="00F73F90"/>
    <w:rsid w:val="01474EBF"/>
    <w:rsid w:val="01F3521E"/>
    <w:rsid w:val="03B87EA0"/>
    <w:rsid w:val="03E3214F"/>
    <w:rsid w:val="044C50BA"/>
    <w:rsid w:val="05547A9B"/>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AD169DA"/>
    <w:rsid w:val="0B9335CE"/>
    <w:rsid w:val="0BF2311A"/>
    <w:rsid w:val="0C7927C4"/>
    <w:rsid w:val="0C9B098C"/>
    <w:rsid w:val="0D673E11"/>
    <w:rsid w:val="0DDA54E4"/>
    <w:rsid w:val="0E3A5F83"/>
    <w:rsid w:val="0ED55256"/>
    <w:rsid w:val="0F836721"/>
    <w:rsid w:val="0FA25D96"/>
    <w:rsid w:val="107B59E5"/>
    <w:rsid w:val="10E809B0"/>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412DC0"/>
    <w:rsid w:val="173708E3"/>
    <w:rsid w:val="17693902"/>
    <w:rsid w:val="17C374FC"/>
    <w:rsid w:val="182E4AB6"/>
    <w:rsid w:val="189079DC"/>
    <w:rsid w:val="189B0D0B"/>
    <w:rsid w:val="18B43F7C"/>
    <w:rsid w:val="190D2F2B"/>
    <w:rsid w:val="194A1770"/>
    <w:rsid w:val="19B906A4"/>
    <w:rsid w:val="1AB9066E"/>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567D0"/>
    <w:rsid w:val="1FBB35CD"/>
    <w:rsid w:val="1FCD26AF"/>
    <w:rsid w:val="20642787"/>
    <w:rsid w:val="20FB4076"/>
    <w:rsid w:val="21556F04"/>
    <w:rsid w:val="22403BD3"/>
    <w:rsid w:val="2342795C"/>
    <w:rsid w:val="23DF65C7"/>
    <w:rsid w:val="24B311E6"/>
    <w:rsid w:val="24B92327"/>
    <w:rsid w:val="24C14514"/>
    <w:rsid w:val="2533755C"/>
    <w:rsid w:val="25791755"/>
    <w:rsid w:val="26396DF4"/>
    <w:rsid w:val="27167136"/>
    <w:rsid w:val="27B23302"/>
    <w:rsid w:val="29310A5F"/>
    <w:rsid w:val="29C37A35"/>
    <w:rsid w:val="2A076083"/>
    <w:rsid w:val="2A73162E"/>
    <w:rsid w:val="2B167953"/>
    <w:rsid w:val="2B200583"/>
    <w:rsid w:val="2B8209DE"/>
    <w:rsid w:val="2BF76F9D"/>
    <w:rsid w:val="2C636760"/>
    <w:rsid w:val="2C6762A3"/>
    <w:rsid w:val="2CE27734"/>
    <w:rsid w:val="2FCA4B37"/>
    <w:rsid w:val="2FE029D7"/>
    <w:rsid w:val="2FF06E00"/>
    <w:rsid w:val="30586FEC"/>
    <w:rsid w:val="315F0B22"/>
    <w:rsid w:val="31D84415"/>
    <w:rsid w:val="32285F6F"/>
    <w:rsid w:val="32770556"/>
    <w:rsid w:val="329C0913"/>
    <w:rsid w:val="32AA0460"/>
    <w:rsid w:val="3337290D"/>
    <w:rsid w:val="33E31118"/>
    <w:rsid w:val="33EF7674"/>
    <w:rsid w:val="342D7BC6"/>
    <w:rsid w:val="34391304"/>
    <w:rsid w:val="352930DB"/>
    <w:rsid w:val="35573069"/>
    <w:rsid w:val="355F6038"/>
    <w:rsid w:val="358C217E"/>
    <w:rsid w:val="35CC0D3E"/>
    <w:rsid w:val="36C9128A"/>
    <w:rsid w:val="37841E99"/>
    <w:rsid w:val="37BF1123"/>
    <w:rsid w:val="37E33064"/>
    <w:rsid w:val="383C3F15"/>
    <w:rsid w:val="38BE4696"/>
    <w:rsid w:val="3939115E"/>
    <w:rsid w:val="39B82A39"/>
    <w:rsid w:val="39C42CA8"/>
    <w:rsid w:val="39DC4FD6"/>
    <w:rsid w:val="39F03D7A"/>
    <w:rsid w:val="39F33306"/>
    <w:rsid w:val="3A2C1C67"/>
    <w:rsid w:val="3ABD3ACA"/>
    <w:rsid w:val="3ADD7F09"/>
    <w:rsid w:val="3B1705E5"/>
    <w:rsid w:val="3B18334B"/>
    <w:rsid w:val="3B36794F"/>
    <w:rsid w:val="3B6F6EE0"/>
    <w:rsid w:val="3C566AD6"/>
    <w:rsid w:val="3C594871"/>
    <w:rsid w:val="3C6A5B02"/>
    <w:rsid w:val="3CA34D4F"/>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282273"/>
    <w:rsid w:val="43307B09"/>
    <w:rsid w:val="439A3EB9"/>
    <w:rsid w:val="43BB152F"/>
    <w:rsid w:val="44B32566"/>
    <w:rsid w:val="44C37687"/>
    <w:rsid w:val="45CB699A"/>
    <w:rsid w:val="465B470D"/>
    <w:rsid w:val="469D6AD4"/>
    <w:rsid w:val="471E6C84"/>
    <w:rsid w:val="4748792B"/>
    <w:rsid w:val="475D719D"/>
    <w:rsid w:val="47674801"/>
    <w:rsid w:val="48225EF7"/>
    <w:rsid w:val="488F422B"/>
    <w:rsid w:val="48E36915"/>
    <w:rsid w:val="48EB6572"/>
    <w:rsid w:val="495C4A24"/>
    <w:rsid w:val="497135DF"/>
    <w:rsid w:val="4A1B518F"/>
    <w:rsid w:val="4A263DF2"/>
    <w:rsid w:val="4A6F6675"/>
    <w:rsid w:val="4B135857"/>
    <w:rsid w:val="4B183CC8"/>
    <w:rsid w:val="4B7951CB"/>
    <w:rsid w:val="4B7C315C"/>
    <w:rsid w:val="4DAC4ACA"/>
    <w:rsid w:val="4DBE01D2"/>
    <w:rsid w:val="4F0C6BA3"/>
    <w:rsid w:val="4F186D58"/>
    <w:rsid w:val="50F06B6E"/>
    <w:rsid w:val="51D21804"/>
    <w:rsid w:val="52234D33"/>
    <w:rsid w:val="522F6E0C"/>
    <w:rsid w:val="52463BA1"/>
    <w:rsid w:val="52550D5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437264"/>
    <w:rsid w:val="5C263CE4"/>
    <w:rsid w:val="5C5D2777"/>
    <w:rsid w:val="5CF66BF3"/>
    <w:rsid w:val="5D290C69"/>
    <w:rsid w:val="5F2D4A41"/>
    <w:rsid w:val="5FE05BA9"/>
    <w:rsid w:val="60C74F6C"/>
    <w:rsid w:val="60EE6C94"/>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716CF5"/>
    <w:rsid w:val="6D903FF5"/>
    <w:rsid w:val="6DA955B8"/>
    <w:rsid w:val="6DE346AB"/>
    <w:rsid w:val="6DE5391A"/>
    <w:rsid w:val="6EFD1324"/>
    <w:rsid w:val="6F5A53AC"/>
    <w:rsid w:val="6FAC003D"/>
    <w:rsid w:val="6FE55E12"/>
    <w:rsid w:val="6FFB2E76"/>
    <w:rsid w:val="708F6F7F"/>
    <w:rsid w:val="70D94BD3"/>
    <w:rsid w:val="70FF1FB5"/>
    <w:rsid w:val="71C34D91"/>
    <w:rsid w:val="72DB435C"/>
    <w:rsid w:val="72E2613A"/>
    <w:rsid w:val="72F771F4"/>
    <w:rsid w:val="73934AD2"/>
    <w:rsid w:val="73BB1CFD"/>
    <w:rsid w:val="750837F0"/>
    <w:rsid w:val="754758CF"/>
    <w:rsid w:val="764F62AB"/>
    <w:rsid w:val="765C45EC"/>
    <w:rsid w:val="768A7619"/>
    <w:rsid w:val="76A66DD2"/>
    <w:rsid w:val="76E063E5"/>
    <w:rsid w:val="772E1EBA"/>
    <w:rsid w:val="77413B19"/>
    <w:rsid w:val="781926BC"/>
    <w:rsid w:val="796D60A4"/>
    <w:rsid w:val="79A031D5"/>
    <w:rsid w:val="7A1525F7"/>
    <w:rsid w:val="7B420052"/>
    <w:rsid w:val="7BD06A28"/>
    <w:rsid w:val="7C3A7C0B"/>
    <w:rsid w:val="7C5248E4"/>
    <w:rsid w:val="7C566698"/>
    <w:rsid w:val="7C5866A3"/>
    <w:rsid w:val="7D7406BB"/>
    <w:rsid w:val="7DE94331"/>
    <w:rsid w:val="7F446A19"/>
    <w:rsid w:val="7F7452B9"/>
    <w:rsid w:val="BFFA7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link w:val="16"/>
    <w:qFormat/>
    <w:uiPriority w:val="99"/>
    <w:pPr>
      <w:tabs>
        <w:tab w:val="center" w:pos="4153"/>
        <w:tab w:val="right" w:pos="8306"/>
      </w:tabs>
      <w:snapToGrid w:val="0"/>
    </w:pPr>
    <w:rPr>
      <w:sz w:val="18"/>
      <w:szCs w:val="18"/>
    </w:rPr>
  </w:style>
  <w:style w:type="paragraph" w:styleId="4">
    <w:name w:val="header"/>
    <w:basedOn w:val="1"/>
    <w:link w:val="15"/>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页眉 字符"/>
    <w:basedOn w:val="9"/>
    <w:link w:val="4"/>
    <w:qFormat/>
    <w:uiPriority w:val="99"/>
    <w:rPr>
      <w:rFonts w:ascii="宋体" w:hAnsi="宋体"/>
      <w:sz w:val="18"/>
      <w:szCs w:val="18"/>
    </w:rPr>
  </w:style>
  <w:style w:type="character" w:customStyle="1" w:styleId="16">
    <w:name w:val="页脚 字符"/>
    <w:basedOn w:val="9"/>
    <w:link w:val="3"/>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1853</Words>
  <Characters>10565</Characters>
  <Lines>88</Lines>
  <Paragraphs>24</Paragraphs>
  <TotalTime>2</TotalTime>
  <ScaleCrop>false</ScaleCrop>
  <LinksUpToDate>false</LinksUpToDate>
  <CharactersWithSpaces>12394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2025-12-19T16:25:45Z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