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垫江县高峰镇人民政府</w:t>
      </w:r>
    </w:p>
    <w:p>
      <w:pPr>
        <w:pStyle w:val="6"/>
        <w:keepNext w:val="0"/>
        <w:keepLines w:val="0"/>
        <w:pageBreakBefore w:val="0"/>
        <w:widowControl/>
        <w:kinsoku/>
        <w:overflowPunct/>
        <w:topLinePunct w:val="0"/>
        <w:autoSpaceDN/>
        <w:bidi w:val="0"/>
        <w:adjustRightInd w:val="0"/>
        <w:snapToGrid w:val="0"/>
        <w:spacing w:before="0" w:beforeAutospacing="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2"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1.垫江县高峰镇人民政府（本级）职能职责</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（2）负责乡人民代表大会、主席团履行法定职权的具体工作。组织人大代表视察、调研、评议等工作。完成党委、人大主席团交办的其他工作。 </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负责普法教育、防邪、禁毒、综治、信访、维稳等工作。负责基层民间矛盾纠纷调解工作。组织、指导、协调、检查、督促辖区内各基层组织和企事业单位的社会治安综合治理等工作。完成党委、政府交办的其他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Style w:val="10"/>
          <w:rFonts w:hint="eastAsia" w:ascii="楷体" w:hAnsi="楷体" w:eastAsia="楷体" w:cs="楷体"/>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（14）负责配合综合行政执法办公室做好有关农林水利、规划建设、卫生健康、市容环卫、环境保护、文化旅游、民政管理、消防等方面的执法工作。</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2"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2.垫江县高峰镇农业服务中心职能职责</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pStyle w:val="6"/>
        <w:keepNext w:val="0"/>
        <w:keepLines w:val="0"/>
        <w:pageBreakBefore w:val="0"/>
        <w:widowControl/>
        <w:numPr>
          <w:ilvl w:val="0"/>
          <w:numId w:val="1"/>
        </w:numPr>
        <w:shd w:val="clear" w:color="auto" w:fill="FFFFFF"/>
        <w:kinsoku/>
        <w:wordWrap/>
        <w:overflowPunct/>
        <w:topLinePunct w:val="0"/>
        <w:autoSpaceDN/>
        <w:bidi w:val="0"/>
        <w:adjustRightInd w:val="0"/>
        <w:snapToGrid w:val="0"/>
        <w:spacing w:before="0" w:beforeAutospacing="0" w:after="0" w:afterAutospacing="0" w:line="594" w:lineRule="exact"/>
        <w:ind w:firstLine="642"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垫江县高峰镇文化服务中心职能职责</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10"/>
          <w:rFonts w:hint="eastAsia" w:ascii="楷体" w:hAnsi="楷体" w:eastAsia="楷体" w:cs="楷体"/>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6"/>
        <w:keepNext w:val="0"/>
        <w:keepLines w:val="0"/>
        <w:pageBreakBefore w:val="0"/>
        <w:widowControl/>
        <w:numPr>
          <w:ilvl w:val="0"/>
          <w:numId w:val="1"/>
        </w:numPr>
        <w:shd w:val="clear" w:color="auto" w:fill="FFFFFF"/>
        <w:kinsoku/>
        <w:wordWrap/>
        <w:overflowPunct/>
        <w:topLinePunct w:val="0"/>
        <w:autoSpaceDN/>
        <w:bidi w:val="0"/>
        <w:adjustRightInd w:val="0"/>
        <w:snapToGrid w:val="0"/>
        <w:spacing w:before="0" w:beforeAutospacing="0" w:after="0" w:afterAutospacing="0" w:line="594" w:lineRule="exact"/>
        <w:ind w:left="0" w:leftChars="0" w:firstLine="642"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垫江县高峰镇劳动就业和社会保障服务所职能职责</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Style w:val="10"/>
          <w:rFonts w:hint="eastAsia" w:ascii="楷体" w:hAnsi="楷体" w:eastAsia="楷体" w:cs="楷体"/>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6"/>
        <w:keepNext w:val="0"/>
        <w:keepLines w:val="0"/>
        <w:pageBreakBefore w:val="0"/>
        <w:widowControl/>
        <w:numPr>
          <w:ilvl w:val="0"/>
          <w:numId w:val="1"/>
        </w:numPr>
        <w:shd w:val="clear" w:color="auto" w:fill="FFFFFF"/>
        <w:kinsoku/>
        <w:wordWrap/>
        <w:overflowPunct/>
        <w:topLinePunct w:val="0"/>
        <w:autoSpaceDN/>
        <w:bidi w:val="0"/>
        <w:adjustRightInd w:val="0"/>
        <w:snapToGrid w:val="0"/>
        <w:spacing w:before="0" w:beforeAutospacing="0" w:after="0" w:afterAutospacing="0" w:line="594" w:lineRule="exact"/>
        <w:ind w:left="0" w:leftChars="0" w:firstLine="642" w:firstLineChars="200"/>
        <w:jc w:val="both"/>
        <w:textAlignment w:val="auto"/>
        <w:rPr>
          <w:rStyle w:val="10"/>
          <w:rFonts w:hint="eastAsia"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垫江县高峰镇退役军人服务站职能职责</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Style w:val="10"/>
          <w:rFonts w:hint="eastAsia" w:ascii="楷体" w:hAnsi="楷体" w:eastAsia="楷体" w:cs="楷体"/>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2" w:firstLineChars="200"/>
        <w:jc w:val="both"/>
        <w:textAlignment w:val="auto"/>
        <w:rPr>
          <w:rStyle w:val="10"/>
          <w:rFonts w:hint="default" w:ascii="楷体" w:hAnsi="楷体" w:eastAsia="楷体" w:cs="楷体"/>
          <w:sz w:val="32"/>
          <w:szCs w:val="32"/>
          <w:shd w:val="clear" w:color="auto" w:fill="FFFFFF"/>
          <w:lang w:val="en-US" w:eastAsia="zh-CN"/>
        </w:rPr>
      </w:pPr>
      <w:r>
        <w:rPr>
          <w:rStyle w:val="10"/>
          <w:rFonts w:hint="eastAsia" w:ascii="楷体" w:hAnsi="楷体" w:eastAsia="楷体" w:cs="楷体"/>
          <w:sz w:val="32"/>
          <w:szCs w:val="32"/>
          <w:shd w:val="clear" w:color="auto" w:fill="FFFFFF"/>
          <w:lang w:val="en-US" w:eastAsia="zh-CN"/>
        </w:rPr>
        <w:t>6.垫江县高峰镇综合行政执法大队职能职责</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负责配合综合行政执法办公室做好有关农林水利、规划建设、卫生健康、市容环卫、环境保护、文化旅游、民政管理、消防等方面的执法工作。</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垫江县高峰镇人民政府含1个行政单位和5个事业单位，行政年末实有人员29人，事业年末实有人员24人。</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度收入总计4621.81万元，支出总计</w:t>
      </w:r>
      <w:r>
        <w:rPr>
          <w:rFonts w:ascii="方正仿宋_GBK" w:hAnsi="方正仿宋_GBK" w:eastAsia="方正仿宋_GBK" w:cs="方正仿宋_GBK"/>
          <w:sz w:val="32"/>
          <w:szCs w:val="32"/>
        </w:rPr>
        <w:t>4621.81</w:t>
      </w:r>
      <w:r>
        <w:rPr>
          <w:rFonts w:ascii="方正仿宋_GBK" w:hAnsi="方正仿宋_GBK" w:eastAsia="方正仿宋_GBK" w:cs="方正仿宋_GBK"/>
          <w:sz w:val="32"/>
          <w:szCs w:val="32"/>
          <w:shd w:val="clear" w:color="auto" w:fill="FFFFFF"/>
        </w:rPr>
        <w:t>万元。收、支与2023年度相比，增加329.35万元，增长7.67%，主要原因是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2024年因自然灾害等原因，森林防火、自然灾害、农业救灾等收入增加，导致收、支增加。</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度收入合计4587.68万元，与2023年度相比，增加313.22万元，增长7.33%，主要原因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2024年因自然灾害等原因，森林防火、自然灾害、农业救灾等收入增加，导致</w:t>
      </w:r>
      <w:r>
        <w:rPr>
          <w:rFonts w:ascii="方正仿宋_GBK" w:hAnsi="方正仿宋_GBK" w:eastAsia="方正仿宋_GBK" w:cs="方正仿宋_GBK"/>
          <w:sz w:val="32"/>
          <w:szCs w:val="32"/>
          <w:shd w:val="clear" w:color="auto" w:fill="FFFFFF"/>
        </w:rPr>
        <w:t>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4587.68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34.13</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4621.81</w:t>
      </w:r>
      <w:r>
        <w:rPr>
          <w:rFonts w:ascii="方正仿宋_GBK" w:hAnsi="方正仿宋_GBK" w:eastAsia="方正仿宋_GBK" w:cs="方正仿宋_GBK"/>
          <w:sz w:val="32"/>
          <w:szCs w:val="32"/>
          <w:shd w:val="clear" w:color="auto" w:fill="FFFFFF"/>
        </w:rPr>
        <w:t>万元，与2023年度相比，增加329.35万元，增长7.67%，主要原因是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2024年因自然灾害等原因，森林防火、自然灾害、农业救灾等支出增加，导致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1850.35</w:t>
      </w:r>
      <w:r>
        <w:rPr>
          <w:rFonts w:ascii="方正仿宋_GBK" w:hAnsi="方正仿宋_GBK" w:eastAsia="方正仿宋_GBK" w:cs="方正仿宋_GBK"/>
          <w:sz w:val="32"/>
          <w:szCs w:val="32"/>
          <w:shd w:val="clear" w:color="auto" w:fill="FFFFFF"/>
        </w:rPr>
        <w:t>万元，占40.04%；项目支出</w:t>
      </w:r>
      <w:r>
        <w:rPr>
          <w:rFonts w:ascii="方正仿宋_GBK" w:hAnsi="方正仿宋_GBK" w:eastAsia="方正仿宋_GBK" w:cs="方正仿宋_GBK"/>
          <w:sz w:val="32"/>
          <w:szCs w:val="32"/>
        </w:rPr>
        <w:t>2771.47</w:t>
      </w:r>
      <w:r>
        <w:rPr>
          <w:rFonts w:ascii="方正仿宋_GBK" w:hAnsi="方正仿宋_GBK" w:eastAsia="方正仿宋_GBK" w:cs="方正仿宋_GBK"/>
          <w:sz w:val="32"/>
          <w:szCs w:val="32"/>
          <w:shd w:val="clear" w:color="auto" w:fill="FFFFFF"/>
        </w:rPr>
        <w:t>万元，占59.96%；经营支出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left="0" w:leftChars="0"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度财政拨款收、支总计4621.81万元。与202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年相比，财政拨款收、支总计各增加329.35万元，增长7.67%。主要原因是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2024年因自然灾害等原因，导致森林防火、自然灾害、农业救灾等收、支增加。</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3730.87</w:t>
      </w:r>
      <w:r>
        <w:rPr>
          <w:rFonts w:ascii="方正仿宋_GBK" w:hAnsi="方正仿宋_GBK" w:eastAsia="方正仿宋_GBK" w:cs="方正仿宋_GBK"/>
          <w:sz w:val="32"/>
          <w:szCs w:val="32"/>
          <w:shd w:val="clear" w:color="auto" w:fill="FFFFFF"/>
        </w:rPr>
        <w:t>万元，与2023年度相比，增加314.65万元，增长9.21%。主要原因是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较年初预算数增加719.67万元，增长23.90%。主要原因是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34.13</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3765.00</w:t>
      </w:r>
      <w:r>
        <w:rPr>
          <w:rFonts w:ascii="方正仿宋_GBK" w:hAnsi="方正仿宋_GBK" w:eastAsia="方正仿宋_GBK" w:cs="方正仿宋_GBK"/>
          <w:sz w:val="32"/>
          <w:szCs w:val="32"/>
          <w:shd w:val="clear" w:color="auto" w:fill="FFFFFF"/>
        </w:rPr>
        <w:t>万元，与2023年度相比，增加330.78万元，增长9.63%。主要原因是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较年初预算数增加753.80万元，增长25.03%。主要原因是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sz w:val="32"/>
          <w:szCs w:val="32"/>
          <w:shd w:val="clear" w:color="auto" w:fill="FFFFFF"/>
          <w:lang w:val="en-US" w:eastAsia="zh-CN"/>
        </w:rPr>
        <w:t>增加。</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1025.01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27.22</w:t>
      </w:r>
      <w:r>
        <w:rPr>
          <w:rFonts w:ascii="方正仿宋_GBK" w:hAnsi="方正仿宋_GBK" w:eastAsia="方正仿宋_GBK" w:cs="方正仿宋_GBK"/>
          <w:sz w:val="32"/>
          <w:szCs w:val="32"/>
          <w:shd w:val="clear" w:color="auto" w:fill="FFFFFF"/>
        </w:rPr>
        <w:t>%，较年初预算数减少405.96万元，下降28.37%，主要原因是</w:t>
      </w:r>
      <w:r>
        <w:rPr>
          <w:rFonts w:hint="eastAsia" w:ascii="方正仿宋_GBK" w:hAnsi="方正仿宋_GBK" w:eastAsia="方正仿宋_GBK" w:cs="方正仿宋_GBK"/>
          <w:sz w:val="32"/>
          <w:szCs w:val="32"/>
          <w:shd w:val="clear" w:color="auto" w:fill="FFFFFF"/>
          <w:lang w:val="en-US" w:eastAsia="zh-CN"/>
        </w:rPr>
        <w:t>2024年7月停止报销县内差旅费，公用经费减少，导致一般公共服务支出减少。</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8.96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%，较年初预算数增加8.96万元，增长100.00%，主要原因是</w:t>
      </w:r>
      <w:r>
        <w:rPr>
          <w:rFonts w:hint="eastAsia" w:ascii="方正仿宋_GBK" w:hAnsi="方正仿宋_GBK" w:eastAsia="方正仿宋_GBK" w:cs="方正仿宋_GBK"/>
          <w:sz w:val="32"/>
          <w:szCs w:val="32"/>
          <w:shd w:val="clear" w:color="auto" w:fill="FFFFFF"/>
          <w:lang w:eastAsia="zh-CN"/>
        </w:rPr>
        <w:t>劝</w:t>
      </w:r>
      <w:r>
        <w:rPr>
          <w:rFonts w:hint="eastAsia" w:ascii="方正仿宋_GBK" w:hAnsi="方正仿宋_GBK" w:eastAsia="方正仿宋_GBK" w:cs="方正仿宋_GBK"/>
          <w:color w:val="auto"/>
          <w:sz w:val="32"/>
          <w:szCs w:val="32"/>
          <w:shd w:val="clear" w:color="auto" w:fill="FFFFFF"/>
          <w:lang w:eastAsia="zh-CN"/>
        </w:rPr>
        <w:t>导站及劝导员工作补助支出增加，导致公共安全支出增加。</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63.83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%，较年初预算数增加3.19万元，增长5.26%，主要原因是</w:t>
      </w:r>
      <w:r>
        <w:rPr>
          <w:rFonts w:hint="eastAsia" w:ascii="方正仿宋_GBK" w:hAnsi="方正仿宋_GBK" w:eastAsia="方正仿宋_GBK" w:cs="方正仿宋_GBK"/>
          <w:color w:val="auto"/>
          <w:sz w:val="32"/>
          <w:szCs w:val="32"/>
          <w:shd w:val="clear" w:color="auto" w:fill="FFFFFF"/>
          <w:lang w:eastAsia="zh-CN"/>
        </w:rPr>
        <w:t>五人制足球场尾款支出增加，导致文化旅游体育与传媒支出增加。</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409.26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10.87</w:t>
      </w:r>
      <w:r>
        <w:rPr>
          <w:rFonts w:ascii="方正仿宋_GBK" w:hAnsi="方正仿宋_GBK" w:eastAsia="方正仿宋_GBK" w:cs="方正仿宋_GBK"/>
          <w:sz w:val="32"/>
          <w:szCs w:val="32"/>
          <w:shd w:val="clear" w:color="auto" w:fill="FFFFFF"/>
        </w:rPr>
        <w:t>%，较年初预算数增加86.64万元，增长26.86%，主要原因是</w:t>
      </w:r>
      <w:r>
        <w:rPr>
          <w:rFonts w:hint="eastAsia" w:ascii="方正仿宋_GBK" w:hAnsi="方正仿宋_GBK" w:eastAsia="方正仿宋_GBK" w:cs="方正仿宋_GBK"/>
          <w:color w:val="auto"/>
          <w:sz w:val="32"/>
          <w:szCs w:val="32"/>
          <w:shd w:val="clear" w:color="auto" w:fill="FFFFFF"/>
          <w:lang w:eastAsia="zh-CN"/>
        </w:rPr>
        <w:t>社保缴费基数调增，人员新增等支出增加，导致</w:t>
      </w:r>
      <w:r>
        <w:rPr>
          <w:rFonts w:ascii="方正仿宋_GBK" w:hAnsi="方正仿宋_GBK" w:eastAsia="方正仿宋_GBK" w:cs="方正仿宋_GBK"/>
          <w:color w:val="auto"/>
          <w:sz w:val="32"/>
          <w:szCs w:val="32"/>
          <w:shd w:val="clear" w:color="auto" w:fill="FFFFFF"/>
        </w:rPr>
        <w:t>社会保障与就业支出</w:t>
      </w:r>
      <w:r>
        <w:rPr>
          <w:rFonts w:hint="eastAsia" w:ascii="方正仿宋_GBK" w:hAnsi="方正仿宋_GBK" w:eastAsia="方正仿宋_GBK" w:cs="方正仿宋_GBK"/>
          <w:color w:val="auto"/>
          <w:sz w:val="32"/>
          <w:szCs w:val="32"/>
          <w:shd w:val="clear" w:color="auto" w:fill="FFFFFF"/>
          <w:lang w:eastAsia="zh-CN"/>
        </w:rPr>
        <w:t>增加。</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62.74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1.67</w:t>
      </w:r>
      <w:r>
        <w:rPr>
          <w:rFonts w:ascii="方正仿宋_GBK" w:hAnsi="方正仿宋_GBK" w:eastAsia="方正仿宋_GBK" w:cs="方正仿宋_GBK"/>
          <w:sz w:val="32"/>
          <w:szCs w:val="32"/>
          <w:shd w:val="clear" w:color="auto" w:fill="FFFFFF"/>
        </w:rPr>
        <w:t>%，较年初预算数增加4.02万元，增长6.85%，主要原因是</w:t>
      </w:r>
      <w:r>
        <w:rPr>
          <w:rFonts w:hint="eastAsia" w:ascii="方正仿宋_GBK" w:hAnsi="方正仿宋_GBK" w:eastAsia="方正仿宋_GBK" w:cs="方正仿宋_GBK"/>
          <w:color w:val="auto"/>
          <w:sz w:val="32"/>
          <w:szCs w:val="32"/>
          <w:shd w:val="clear" w:color="auto" w:fill="FFFFFF"/>
          <w:lang w:eastAsia="zh-CN"/>
        </w:rPr>
        <w:t>社保缴费基数调增，人员新增等支出增加，导致</w:t>
      </w:r>
      <w:r>
        <w:rPr>
          <w:rFonts w:ascii="方正仿宋_GBK" w:hAnsi="方正仿宋_GBK" w:eastAsia="方正仿宋_GBK" w:cs="方正仿宋_GBK"/>
          <w:color w:val="auto"/>
          <w:sz w:val="32"/>
          <w:szCs w:val="32"/>
          <w:shd w:val="clear" w:color="auto" w:fill="FFFFFF"/>
        </w:rPr>
        <w:t>卫生健康支出</w:t>
      </w:r>
      <w:r>
        <w:rPr>
          <w:rFonts w:hint="eastAsia" w:ascii="方正仿宋_GBK" w:hAnsi="方正仿宋_GBK" w:eastAsia="方正仿宋_GBK" w:cs="方正仿宋_GBK"/>
          <w:color w:val="auto"/>
          <w:sz w:val="32"/>
          <w:szCs w:val="32"/>
          <w:shd w:val="clear" w:color="auto" w:fill="FFFFFF"/>
          <w:lang w:eastAsia="zh-CN"/>
        </w:rPr>
        <w:t>增加。</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0.60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%，较年初预算数增加0.60万元，增长100.00%，主要原因是</w:t>
      </w:r>
      <w:r>
        <w:rPr>
          <w:rFonts w:hint="eastAsia" w:ascii="方正仿宋_GBK" w:hAnsi="方正仿宋_GBK" w:eastAsia="方正仿宋_GBK" w:cs="方正仿宋_GBK"/>
          <w:color w:val="auto"/>
          <w:sz w:val="32"/>
          <w:szCs w:val="32"/>
          <w:shd w:val="clear" w:color="auto" w:fill="FFFFFF"/>
          <w:lang w:eastAsia="zh-CN"/>
        </w:rPr>
        <w:t>生态护林员支出增加，导致</w:t>
      </w:r>
      <w:r>
        <w:rPr>
          <w:rFonts w:ascii="方正仿宋_GBK" w:hAnsi="方正仿宋_GBK" w:eastAsia="方正仿宋_GBK" w:cs="方正仿宋_GBK"/>
          <w:color w:val="auto"/>
          <w:sz w:val="32"/>
          <w:szCs w:val="32"/>
          <w:shd w:val="clear" w:color="auto" w:fill="FFFFFF"/>
        </w:rPr>
        <w:t>节能环保支出</w:t>
      </w:r>
      <w:r>
        <w:rPr>
          <w:rFonts w:hint="eastAsia" w:ascii="方正仿宋_GBK" w:hAnsi="方正仿宋_GBK" w:eastAsia="方正仿宋_GBK" w:cs="方正仿宋_GBK"/>
          <w:color w:val="auto"/>
          <w:sz w:val="32"/>
          <w:szCs w:val="32"/>
          <w:shd w:val="clear" w:color="auto" w:fill="FFFFFF"/>
          <w:lang w:eastAsia="zh-CN"/>
        </w:rPr>
        <w:t>增加。</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150.88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4.01</w:t>
      </w:r>
      <w:r>
        <w:rPr>
          <w:rFonts w:ascii="方正仿宋_GBK" w:hAnsi="方正仿宋_GBK" w:eastAsia="方正仿宋_GBK" w:cs="方正仿宋_GBK"/>
          <w:sz w:val="32"/>
          <w:szCs w:val="32"/>
          <w:shd w:val="clear" w:color="auto" w:fill="FFFFFF"/>
        </w:rPr>
        <w:t>%，较年初预算数增加18.41万元，增长13.90%，主要原因是</w:t>
      </w:r>
      <w:r>
        <w:rPr>
          <w:rFonts w:hint="eastAsia" w:ascii="方正仿宋_GBK" w:hAnsi="方正仿宋_GBK" w:eastAsia="方正仿宋_GBK" w:cs="方正仿宋_GBK"/>
          <w:color w:val="auto"/>
          <w:sz w:val="32"/>
          <w:szCs w:val="32"/>
          <w:shd w:val="clear" w:color="auto" w:fill="FFFFFF"/>
          <w:lang w:eastAsia="zh-CN"/>
        </w:rPr>
        <w:t>场镇清扫费等支出增加，导致</w:t>
      </w:r>
      <w:r>
        <w:rPr>
          <w:rFonts w:ascii="方正仿宋_GBK" w:hAnsi="方正仿宋_GBK" w:eastAsia="方正仿宋_GBK" w:cs="方正仿宋_GBK"/>
          <w:color w:val="auto"/>
          <w:sz w:val="32"/>
          <w:szCs w:val="32"/>
          <w:shd w:val="clear" w:color="auto" w:fill="FFFFFF"/>
        </w:rPr>
        <w:t>城乡社区支出</w:t>
      </w:r>
      <w:r>
        <w:rPr>
          <w:rFonts w:hint="eastAsia" w:ascii="方正仿宋_GBK" w:hAnsi="方正仿宋_GBK" w:eastAsia="方正仿宋_GBK" w:cs="方正仿宋_GBK"/>
          <w:color w:val="auto"/>
          <w:sz w:val="32"/>
          <w:szCs w:val="32"/>
          <w:shd w:val="clear" w:color="auto" w:fill="FFFFFF"/>
          <w:lang w:eastAsia="zh-CN"/>
        </w:rPr>
        <w:t>增加。</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752.74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19.99</w:t>
      </w:r>
      <w:r>
        <w:rPr>
          <w:rFonts w:ascii="方正仿宋_GBK" w:hAnsi="方正仿宋_GBK" w:eastAsia="方正仿宋_GBK" w:cs="方正仿宋_GBK"/>
          <w:sz w:val="32"/>
          <w:szCs w:val="32"/>
          <w:shd w:val="clear" w:color="auto" w:fill="FFFFFF"/>
        </w:rPr>
        <w:t>%，较年初预算数增加222.48万元，增长41.96%，主要原因是</w:t>
      </w:r>
      <w:r>
        <w:rPr>
          <w:rFonts w:hint="eastAsia" w:ascii="方正仿宋_GBK" w:hAnsi="方正仿宋_GBK" w:eastAsia="方正仿宋_GBK" w:cs="方正仿宋_GBK"/>
          <w:color w:val="auto"/>
          <w:sz w:val="32"/>
          <w:szCs w:val="32"/>
          <w:shd w:val="clear" w:color="auto" w:fill="FFFFFF"/>
          <w:lang w:eastAsia="zh-CN"/>
        </w:rPr>
        <w:t>森林防火、病虫害控制、巩固脱贫攻坚成果衔接乡村振兴等支出增加，导致</w:t>
      </w:r>
      <w:r>
        <w:rPr>
          <w:rFonts w:ascii="方正仿宋_GBK" w:hAnsi="方正仿宋_GBK" w:eastAsia="方正仿宋_GBK" w:cs="方正仿宋_GBK"/>
          <w:color w:val="auto"/>
          <w:sz w:val="32"/>
          <w:szCs w:val="32"/>
          <w:shd w:val="clear" w:color="auto" w:fill="FFFFFF"/>
        </w:rPr>
        <w:t>农林水支出</w:t>
      </w:r>
      <w:r>
        <w:rPr>
          <w:rFonts w:hint="eastAsia" w:ascii="方正仿宋_GBK" w:hAnsi="方正仿宋_GBK" w:eastAsia="方正仿宋_GBK" w:cs="方正仿宋_GBK"/>
          <w:color w:val="auto"/>
          <w:sz w:val="32"/>
          <w:szCs w:val="32"/>
          <w:shd w:val="clear" w:color="auto" w:fill="FFFFFF"/>
          <w:lang w:eastAsia="zh-CN"/>
        </w:rPr>
        <w:t>增加。</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264.41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7.02</w:t>
      </w:r>
      <w:r>
        <w:rPr>
          <w:rFonts w:ascii="方正仿宋_GBK" w:hAnsi="方正仿宋_GBK" w:eastAsia="方正仿宋_GBK" w:cs="方正仿宋_GBK"/>
          <w:sz w:val="32"/>
          <w:szCs w:val="32"/>
          <w:shd w:val="clear" w:color="auto" w:fill="FFFFFF"/>
        </w:rPr>
        <w:t>%，较年初预算数增加264.41万元，增长100.00%，主要原因是</w:t>
      </w:r>
      <w:r>
        <w:rPr>
          <w:rFonts w:hint="eastAsia" w:ascii="方正仿宋_GBK" w:hAnsi="方正仿宋_GBK" w:eastAsia="方正仿宋_GBK" w:cs="方正仿宋_GBK"/>
          <w:color w:val="auto"/>
          <w:sz w:val="32"/>
          <w:szCs w:val="32"/>
          <w:shd w:val="clear" w:color="auto" w:fill="FFFFFF"/>
        </w:rPr>
        <w:t>公路养护</w:t>
      </w:r>
      <w:r>
        <w:rPr>
          <w:rFonts w:hint="eastAsia" w:ascii="方正仿宋_GBK" w:hAnsi="方正仿宋_GBK" w:eastAsia="方正仿宋_GBK" w:cs="方正仿宋_GBK"/>
          <w:color w:val="auto"/>
          <w:sz w:val="32"/>
          <w:szCs w:val="32"/>
          <w:shd w:val="clear" w:color="auto" w:fill="FFFFFF"/>
          <w:lang w:eastAsia="zh-CN"/>
        </w:rPr>
        <w:t>、车辆购置税用于公路等基础设施建设支出增加，导致</w:t>
      </w:r>
      <w:r>
        <w:rPr>
          <w:rFonts w:ascii="方正仿宋_GBK" w:hAnsi="方正仿宋_GBK" w:eastAsia="方正仿宋_GBK" w:cs="方正仿宋_GBK"/>
          <w:color w:val="auto"/>
          <w:sz w:val="32"/>
          <w:szCs w:val="32"/>
          <w:shd w:val="clear" w:color="auto" w:fill="FFFFFF"/>
        </w:rPr>
        <w:t>交通运输支出</w:t>
      </w:r>
      <w:r>
        <w:rPr>
          <w:rFonts w:hint="eastAsia" w:ascii="方正仿宋_GBK" w:hAnsi="方正仿宋_GBK" w:eastAsia="方正仿宋_GBK" w:cs="方正仿宋_GBK"/>
          <w:color w:val="auto"/>
          <w:sz w:val="32"/>
          <w:szCs w:val="32"/>
          <w:shd w:val="clear" w:color="auto" w:fill="FFFFFF"/>
          <w:lang w:eastAsia="zh-CN"/>
        </w:rPr>
        <w:t>增加。</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）资源勘探信息等支出800.80万元，占21.27%，较年初预算数增加450.80万元，增长128.80%，主要原因</w:t>
      </w:r>
      <w:r>
        <w:rPr>
          <w:rFonts w:hint="eastAsia" w:ascii="方正仿宋_GBK" w:hAnsi="方正仿宋_GBK" w:eastAsia="方正仿宋_GBK" w:cs="方正仿宋_GBK"/>
          <w:color w:val="auto"/>
          <w:sz w:val="32"/>
          <w:szCs w:val="32"/>
          <w:shd w:val="clear" w:color="auto" w:fill="FFFFFF"/>
        </w:rPr>
        <w:t>支持中小企业发展和管理支出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资源勘探信息等支出</w:t>
      </w:r>
      <w:r>
        <w:rPr>
          <w:rFonts w:hint="eastAsia" w:ascii="方正仿宋_GBK" w:hAnsi="方正仿宋_GBK" w:eastAsia="方正仿宋_GBK" w:cs="方正仿宋_GBK"/>
          <w:color w:val="auto"/>
          <w:sz w:val="32"/>
          <w:szCs w:val="32"/>
          <w:shd w:val="clear" w:color="auto" w:fill="FFFFFF"/>
          <w:lang w:eastAsia="zh-CN"/>
        </w:rPr>
        <w:t>增加。</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）商业服务业等支出105.88万元，占2.81%，较年初预算数增加55.88万元，增长111.76%，主要原因是</w:t>
      </w:r>
      <w:r>
        <w:rPr>
          <w:rFonts w:hint="eastAsia" w:ascii="方正仿宋_GBK" w:hAnsi="方正仿宋_GBK" w:eastAsia="方正仿宋_GBK" w:cs="方正仿宋_GBK"/>
          <w:color w:val="auto"/>
          <w:sz w:val="32"/>
          <w:szCs w:val="32"/>
          <w:shd w:val="clear" w:color="auto" w:fill="FFFFFF"/>
          <w:lang w:eastAsia="zh-CN"/>
        </w:rPr>
        <w:t>限上商贸等</w:t>
      </w:r>
      <w:r>
        <w:rPr>
          <w:rFonts w:hint="eastAsia" w:ascii="方正仿宋_GBK" w:hAnsi="方正仿宋_GBK" w:eastAsia="方正仿宋_GBK" w:cs="方正仿宋_GBK"/>
          <w:color w:val="auto"/>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商业服务业等支出</w:t>
      </w:r>
      <w:r>
        <w:rPr>
          <w:rFonts w:hint="eastAsia" w:ascii="方正仿宋_GBK" w:hAnsi="方正仿宋_GBK" w:eastAsia="方正仿宋_GBK" w:cs="方正仿宋_GBK"/>
          <w:color w:val="auto"/>
          <w:sz w:val="32"/>
          <w:szCs w:val="32"/>
          <w:shd w:val="clear" w:color="auto" w:fill="FFFFFF"/>
          <w:lang w:eastAsia="zh-CN"/>
        </w:rPr>
        <w:t>增加。</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）自然资源海洋气象等支出0.12万元，占0.00%，较年初预算数增加0.12万元，增长100.00%，主要原因是</w:t>
      </w:r>
      <w:r>
        <w:rPr>
          <w:rFonts w:hint="eastAsia" w:ascii="方正仿宋_GBK" w:hAnsi="方正仿宋_GBK" w:eastAsia="方正仿宋_GBK" w:cs="方正仿宋_GBK"/>
          <w:color w:val="auto"/>
          <w:sz w:val="32"/>
          <w:szCs w:val="32"/>
          <w:shd w:val="clear" w:color="auto" w:fill="FFFFFF"/>
        </w:rPr>
        <w:t>灾害防治及应急管理支出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自然资源海洋气象等支出</w:t>
      </w:r>
      <w:r>
        <w:rPr>
          <w:rFonts w:hint="eastAsia" w:ascii="方正仿宋_GBK" w:hAnsi="方正仿宋_GBK" w:eastAsia="方正仿宋_GBK" w:cs="方正仿宋_GBK"/>
          <w:color w:val="auto"/>
          <w:sz w:val="32"/>
          <w:szCs w:val="32"/>
          <w:shd w:val="clear" w:color="auto" w:fill="FFFFFF"/>
          <w:lang w:eastAsia="zh-CN"/>
        </w:rPr>
        <w:t>增加。</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）住房保障支出83.90万元，占2.23%，较年初预算数增加8.40万元，增长11.13%，主要原因是</w:t>
      </w:r>
      <w:r>
        <w:rPr>
          <w:rFonts w:hint="eastAsia" w:ascii="方正仿宋_GBK" w:hAnsi="方正仿宋_GBK" w:eastAsia="方正仿宋_GBK" w:cs="方正仿宋_GBK"/>
          <w:color w:val="auto"/>
          <w:sz w:val="32"/>
          <w:szCs w:val="32"/>
          <w:shd w:val="clear" w:color="auto" w:fill="FFFFFF"/>
          <w:lang w:eastAsia="zh-CN"/>
        </w:rPr>
        <w:t>行政人员公积金调整等原因，导致</w:t>
      </w:r>
      <w:r>
        <w:rPr>
          <w:rFonts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lang w:eastAsia="zh-CN"/>
        </w:rPr>
        <w:t>减少</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灾害防治及应急管理支出35.86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0.95</w:t>
      </w:r>
      <w:r>
        <w:rPr>
          <w:rFonts w:ascii="方正仿宋_GBK" w:hAnsi="方正仿宋_GBK" w:eastAsia="方正仿宋_GBK" w:cs="方正仿宋_GBK"/>
          <w:sz w:val="32"/>
          <w:szCs w:val="32"/>
          <w:shd w:val="clear" w:color="auto" w:fill="FFFFFF"/>
        </w:rPr>
        <w:t>%，较年初预算数增加35.86万元，增长100.00%，主要原因是</w:t>
      </w:r>
      <w:r>
        <w:rPr>
          <w:rFonts w:hint="eastAsia" w:ascii="方正仿宋_GBK" w:hAnsi="方正仿宋_GBK" w:eastAsia="方正仿宋_GBK" w:cs="方正仿宋_GBK"/>
          <w:color w:val="auto"/>
          <w:sz w:val="32"/>
          <w:szCs w:val="32"/>
          <w:shd w:val="clear" w:color="auto" w:fill="FFFFFF"/>
        </w:rPr>
        <w:t>应急救援</w:t>
      </w:r>
      <w:r>
        <w:rPr>
          <w:rFonts w:hint="eastAsia" w:ascii="方正仿宋_GBK" w:hAnsi="方正仿宋_GBK" w:eastAsia="方正仿宋_GBK" w:cs="方正仿宋_GBK"/>
          <w:color w:val="auto"/>
          <w:sz w:val="32"/>
          <w:szCs w:val="32"/>
          <w:shd w:val="clear" w:color="auto" w:fill="FFFFFF"/>
          <w:lang w:eastAsia="zh-CN"/>
        </w:rPr>
        <w:t>、自然灾害救灾补助等支出增加，导致</w:t>
      </w:r>
      <w:r>
        <w:rPr>
          <w:rFonts w:ascii="方正仿宋_GBK" w:hAnsi="方正仿宋_GBK" w:eastAsia="方正仿宋_GBK" w:cs="方正仿宋_GBK"/>
          <w:color w:val="auto"/>
          <w:sz w:val="32"/>
          <w:szCs w:val="32"/>
        </w:rPr>
        <w:t>灾害防治及应急管理支出</w:t>
      </w:r>
      <w:r>
        <w:rPr>
          <w:rFonts w:hint="eastAsia" w:ascii="方正仿宋_GBK" w:hAnsi="方正仿宋_GBK" w:eastAsia="方正仿宋_GBK" w:cs="方正仿宋_GBK"/>
          <w:color w:val="auto"/>
          <w:sz w:val="32"/>
          <w:szCs w:val="32"/>
          <w:lang w:eastAsia="zh-CN"/>
        </w:rPr>
        <w:t>增加</w:t>
      </w:r>
      <w:r>
        <w:rPr>
          <w:rFonts w:hint="eastAsia" w:ascii="方正仿宋_GBK" w:hAnsi="方正仿宋_GBK" w:eastAsia="方正仿宋_GBK" w:cs="方正仿宋_GBK"/>
          <w:color w:val="auto"/>
          <w:sz w:val="32"/>
          <w:szCs w:val="32"/>
          <w:shd w:val="clear" w:color="auto" w:fill="FFFFFF"/>
          <w:lang w:eastAsia="zh-CN"/>
        </w:rPr>
        <w:t>。</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1850.35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1519.56</w:t>
      </w:r>
      <w:r>
        <w:rPr>
          <w:rFonts w:ascii="方正仿宋_GBK" w:hAnsi="方正仿宋_GBK" w:eastAsia="方正仿宋_GBK" w:cs="方正仿宋_GBK"/>
          <w:sz w:val="32"/>
          <w:szCs w:val="32"/>
          <w:shd w:val="clear" w:color="auto" w:fill="FFFFFF"/>
        </w:rPr>
        <w:t>万元，与2023年度相比，减少32.29万元，下降2.08%，主要原因是</w:t>
      </w:r>
      <w:r>
        <w:rPr>
          <w:rFonts w:hint="eastAsia" w:ascii="方正仿宋_GBK" w:hAnsi="方正仿宋_GBK" w:eastAsia="方正仿宋_GBK" w:cs="方正仿宋_GBK"/>
          <w:color w:val="auto"/>
          <w:sz w:val="32"/>
          <w:szCs w:val="32"/>
          <w:shd w:val="clear" w:color="auto" w:fill="FFFFFF"/>
          <w:lang w:eastAsia="zh-CN"/>
        </w:rPr>
        <w:t>行政人员公积金调整等原因，导致人员经费减少。</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kern w:val="2"/>
          <w:sz w:val="32"/>
          <w:szCs w:val="32"/>
        </w:rPr>
        <w:t>基本工资、津贴补贴、奖金、伙食补助费、绩效工资、社会保障缴费、住房公积金、医疗费、其他工资福利支出。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330.78</w:t>
      </w:r>
      <w:r>
        <w:rPr>
          <w:rFonts w:ascii="方正仿宋_GBK" w:hAnsi="方正仿宋_GBK" w:eastAsia="方正仿宋_GBK" w:cs="方正仿宋_GBK"/>
          <w:sz w:val="32"/>
          <w:szCs w:val="32"/>
          <w:shd w:val="clear" w:color="auto" w:fill="FFFFFF"/>
        </w:rPr>
        <w:t>万元，与2023年度相比，减少66.38万元，下降16.71%，主要原因是</w:t>
      </w:r>
      <w:r>
        <w:rPr>
          <w:rFonts w:hint="eastAsia" w:ascii="方正仿宋_GBK" w:hAnsi="方正仿宋_GBK" w:eastAsia="方正仿宋_GBK" w:cs="方正仿宋_GBK"/>
          <w:color w:val="auto"/>
          <w:sz w:val="32"/>
          <w:szCs w:val="32"/>
          <w:shd w:val="clear" w:color="auto" w:fill="FFFFFF"/>
          <w:lang w:eastAsia="zh-CN"/>
        </w:rPr>
        <w:t>严格落实过紧日子要求，导致公用经费减少。</w:t>
      </w:r>
      <w:r>
        <w:rPr>
          <w:rFonts w:ascii="方正仿宋_GBK" w:hAnsi="方正仿宋_GBK" w:eastAsia="方正仿宋_GBK" w:cs="方正仿宋_GBK"/>
          <w:sz w:val="32"/>
          <w:szCs w:val="32"/>
          <w:shd w:val="clear" w:color="auto" w:fill="FFFFFF"/>
        </w:rPr>
        <w:t>公用经费用途主要包括</w:t>
      </w:r>
      <w:r>
        <w:rPr>
          <w:rFonts w:hint="default" w:ascii="方正仿宋_GBK" w:hAnsi="方正仿宋_GBK" w:eastAsia="方正仿宋_GBK" w:cs="方正仿宋_GBK"/>
          <w:color w:val="auto"/>
          <w:kern w:val="2"/>
          <w:sz w:val="32"/>
          <w:szCs w:val="32"/>
        </w:rPr>
        <w:t>办公费、水费、电费、邮电费、差旅费、会议费、公务接待、劳务费、工会经费、公务用车运行维护费、其他交通费用和其他商品和服务支出。</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856.81</w:t>
      </w:r>
      <w:r>
        <w:rPr>
          <w:rFonts w:ascii="方正仿宋_GBK" w:hAnsi="方正仿宋_GBK" w:eastAsia="方正仿宋_GBK" w:cs="方正仿宋_GBK"/>
          <w:sz w:val="32"/>
          <w:szCs w:val="32"/>
          <w:shd w:val="clear" w:color="auto" w:fill="FFFFFF"/>
        </w:rPr>
        <w:t>万元，与2023年度相比，减少1.37万元，下降0.16%，主要原因是</w:t>
      </w:r>
      <w:r>
        <w:rPr>
          <w:rFonts w:hint="eastAsia" w:ascii="方正仿宋_GBK" w:hAnsi="方正仿宋_GBK" w:eastAsia="方正仿宋_GBK" w:cs="方正仿宋_GBK"/>
          <w:color w:val="auto"/>
          <w:sz w:val="32"/>
          <w:szCs w:val="32"/>
          <w:shd w:val="clear" w:color="auto" w:fill="FFFFFF"/>
        </w:rPr>
        <w:t>土地使用权出让</w:t>
      </w:r>
      <w:r>
        <w:rPr>
          <w:rFonts w:hint="eastAsia" w:ascii="方正仿宋_GBK" w:hAnsi="方正仿宋_GBK" w:eastAsia="方正仿宋_GBK" w:cs="方正仿宋_GBK"/>
          <w:color w:val="auto"/>
          <w:sz w:val="32"/>
          <w:szCs w:val="32"/>
          <w:shd w:val="clear" w:color="auto" w:fill="FFFFFF"/>
          <w:lang w:eastAsia="zh-CN"/>
        </w:rPr>
        <w:t>、彩票公益金等收入减少。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856.81</w:t>
      </w:r>
      <w:r>
        <w:rPr>
          <w:rFonts w:ascii="方正仿宋_GBK" w:hAnsi="方正仿宋_GBK" w:eastAsia="方正仿宋_GBK" w:cs="方正仿宋_GBK"/>
          <w:sz w:val="32"/>
          <w:szCs w:val="32"/>
          <w:shd w:val="clear" w:color="auto" w:fill="FFFFFF"/>
        </w:rPr>
        <w:t>万元，与2023年度相比，减少1.37万元，下降0.16%，主要原因是</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color w:val="auto"/>
          <w:sz w:val="32"/>
          <w:szCs w:val="32"/>
          <w:shd w:val="clear" w:color="auto" w:fill="FFFFFF"/>
        </w:rPr>
        <w:t>土地使用权出让</w:t>
      </w:r>
      <w:r>
        <w:rPr>
          <w:rFonts w:hint="eastAsia" w:ascii="方正仿宋_GBK" w:hAnsi="方正仿宋_GBK" w:eastAsia="方正仿宋_GBK" w:cs="方正仿宋_GBK"/>
          <w:color w:val="auto"/>
          <w:sz w:val="32"/>
          <w:szCs w:val="32"/>
          <w:shd w:val="clear" w:color="auto" w:fill="FFFFFF"/>
          <w:lang w:eastAsia="zh-CN"/>
        </w:rPr>
        <w:t>、彩票公益金等</w:t>
      </w:r>
      <w:r>
        <w:rPr>
          <w:rFonts w:ascii="方正仿宋_GBK" w:hAnsi="方正仿宋_GBK" w:eastAsia="方正仿宋_GBK" w:cs="方正仿宋_GBK"/>
          <w:sz w:val="32"/>
          <w:szCs w:val="32"/>
          <w:shd w:val="clear" w:color="auto" w:fill="FFFFFF"/>
        </w:rPr>
        <w:t>政府性基金</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lang w:eastAsia="zh-CN"/>
        </w:rPr>
        <w:t>减少。</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7.08</w:t>
      </w:r>
      <w:r>
        <w:rPr>
          <w:rFonts w:ascii="方正仿宋_GBK" w:hAnsi="方正仿宋_GBK" w:eastAsia="方正仿宋_GBK" w:cs="方正仿宋_GBK"/>
          <w:sz w:val="32"/>
          <w:szCs w:val="32"/>
          <w:shd w:val="clear" w:color="auto" w:fill="FFFFFF"/>
        </w:rPr>
        <w:t>万元，较年初预算数增加4.78万元，增长207.83%，</w:t>
      </w:r>
      <w:r>
        <w:rPr>
          <w:rFonts w:ascii="方正仿宋_GBK" w:hAnsi="方正仿宋_GBK" w:eastAsia="方正仿宋_GBK" w:cs="方正仿宋_GBK"/>
          <w:sz w:val="32"/>
          <w:szCs w:val="32"/>
          <w:highlight w:val="none"/>
          <w:shd w:val="clear" w:color="auto" w:fill="FFFFFF"/>
        </w:rPr>
        <w:t>主要原因</w:t>
      </w:r>
      <w:r>
        <w:rPr>
          <w:rFonts w:hint="default" w:ascii="方正仿宋_GBK" w:hAnsi="方正仿宋_GBK" w:eastAsia="方正仿宋_GBK" w:cs="方正仿宋_GBK"/>
          <w:sz w:val="32"/>
          <w:szCs w:val="32"/>
          <w:shd w:val="clear" w:color="auto" w:fill="FFFFFF"/>
          <w:lang w:eastAsia="zh-CN"/>
        </w:rPr>
        <w:t>一是本年度森林防灭火时间段长，加大了森林防火宣传、巡护力度，公务用车经费增加；二是本年度加大招商引资力度，公务接待费较年初预算增加。</w:t>
      </w:r>
      <w:r>
        <w:rPr>
          <w:rFonts w:ascii="方正仿宋_GBK" w:hAnsi="方正仿宋_GBK" w:eastAsia="方正仿宋_GBK" w:cs="方正仿宋_GBK"/>
          <w:sz w:val="32"/>
          <w:szCs w:val="32"/>
          <w:shd w:val="clear" w:color="auto" w:fill="FFFFFF"/>
        </w:rPr>
        <w:t>较上年支出数减少0.04万元，下降0.56%，主要原因是</w:t>
      </w:r>
      <w:r>
        <w:rPr>
          <w:rFonts w:hint="eastAsia" w:ascii="方正仿宋_GBK" w:hAnsi="方正仿宋_GBK" w:eastAsia="方正仿宋_GBK" w:cs="方正仿宋_GBK"/>
          <w:sz w:val="32"/>
          <w:szCs w:val="32"/>
          <w:shd w:val="clear" w:color="auto" w:fill="FFFFFF"/>
          <w:lang w:eastAsia="zh-CN"/>
        </w:rPr>
        <w:t>厉行节约，严格执行接待标准，严控用车次数，导致“三公”经费支出减少</w:t>
      </w:r>
      <w:r>
        <w:rPr>
          <w:rFonts w:hint="eastAsia" w:ascii="方正仿宋_GBK" w:hAnsi="方正仿宋_GBK" w:eastAsia="方正仿宋_GBK" w:cs="方正仿宋_GBK"/>
          <w:sz w:val="32"/>
          <w:szCs w:val="32"/>
          <w:shd w:val="clear" w:color="auto" w:fill="FFFFFF"/>
          <w:lang w:val="en-US" w:eastAsia="zh-CN"/>
        </w:rPr>
        <w:t>。</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3.82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公务车燃油费、维修（护）费、保险费等相关支出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费用支出较年初预算数增加2.52万元，增长193.85%,主要原因是本年度森林防灭火时间段长，加大了森林防火宣传、巡护力度，公务用车经费增加。较上年支出数无增减，主要原因是</w:t>
      </w:r>
      <w:r>
        <w:rPr>
          <w:rFonts w:hint="eastAsia" w:ascii="方正仿宋_GBK" w:hAnsi="方正仿宋_GBK" w:eastAsia="方正仿宋_GBK" w:cs="方正仿宋_GBK"/>
          <w:color w:val="auto"/>
          <w:sz w:val="32"/>
          <w:szCs w:val="32"/>
          <w:shd w:val="clear" w:color="auto" w:fill="FFFFFF"/>
          <w:lang w:eastAsia="zh-CN"/>
        </w:rPr>
        <w:t>加强公务车日常管理</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 </w:t>
      </w:r>
    </w:p>
    <w:p>
      <w:pPr>
        <w:pStyle w:val="6"/>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auto"/>
          <w:sz w:val="32"/>
          <w:szCs w:val="32"/>
          <w:shd w:val="clear" w:color="auto" w:fill="FFFFFF"/>
        </w:rPr>
        <w:t>接待</w:t>
      </w:r>
      <w:r>
        <w:rPr>
          <w:rFonts w:hint="eastAsia" w:ascii="方正仿宋_GBK" w:hAnsi="方正仿宋_GBK" w:eastAsia="方正仿宋_GBK" w:cs="方正仿宋_GBK"/>
          <w:color w:val="auto"/>
          <w:sz w:val="32"/>
          <w:szCs w:val="32"/>
          <w:shd w:val="clear" w:color="auto" w:fill="FFFFFF"/>
          <w:lang w:eastAsia="zh-CN"/>
        </w:rPr>
        <w:t>招商引资、公务接待</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费用支出较年初预算数增加2.26万元，增长226.00%，</w:t>
      </w:r>
      <w:r>
        <w:rPr>
          <w:rFonts w:ascii="方正仿宋_GBK" w:hAnsi="方正仿宋_GBK" w:eastAsia="方正仿宋_GBK" w:cs="方正仿宋_GBK"/>
          <w:sz w:val="32"/>
          <w:szCs w:val="32"/>
          <w:highlight w:val="none"/>
          <w:shd w:val="clear" w:color="auto" w:fill="FFFFFF"/>
        </w:rPr>
        <w:t>主要原因</w:t>
      </w:r>
      <w:r>
        <w:rPr>
          <w:rFonts w:hint="default" w:ascii="方正仿宋_GBK" w:hAnsi="方正仿宋_GBK" w:eastAsia="方正仿宋_GBK" w:cs="方正仿宋_GBK"/>
          <w:sz w:val="32"/>
          <w:szCs w:val="32"/>
          <w:highlight w:val="none"/>
          <w:shd w:val="clear" w:color="auto" w:fill="FFFFFF"/>
          <w:lang w:eastAsia="zh-CN"/>
        </w:rPr>
        <w:t>本年度加大招商引资力度，公务接待费较年初预算增加。</w:t>
      </w:r>
      <w:r>
        <w:rPr>
          <w:rFonts w:ascii="方正仿宋_GBK" w:hAnsi="方正仿宋_GBK" w:eastAsia="方正仿宋_GBK" w:cs="方正仿宋_GBK"/>
          <w:sz w:val="32"/>
          <w:szCs w:val="32"/>
          <w:shd w:val="clear" w:color="auto" w:fill="FFFFFF"/>
        </w:rPr>
        <w:t>较上年支出数减少0.04万元，下降1.21%，主要原因是</w:t>
      </w:r>
      <w:r>
        <w:rPr>
          <w:rFonts w:hint="eastAsia" w:ascii="方正仿宋_GBK" w:hAnsi="方正仿宋_GBK" w:eastAsia="方正仿宋_GBK" w:cs="方正仿宋_GBK"/>
          <w:color w:val="auto"/>
          <w:sz w:val="32"/>
          <w:szCs w:val="32"/>
          <w:shd w:val="clear" w:color="auto" w:fill="FFFFFF"/>
          <w:lang w:eastAsia="zh-CN"/>
        </w:rPr>
        <w:t>严格控制接待标准，推动建立厉行节约反对浪费的长效机制，导致公务接待费减少</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72.55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1.91</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8.04</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加强会议管理，严控会议费支出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2.48</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加强培训管理，严控培训费支出</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295.47</w:t>
      </w:r>
      <w:r>
        <w:rPr>
          <w:rFonts w:ascii="方正仿宋_GBK" w:hAnsi="方正仿宋_GBK" w:eastAsia="方正仿宋_GBK" w:cs="方正仿宋_GBK"/>
          <w:sz w:val="32"/>
          <w:szCs w:val="32"/>
          <w:shd w:val="clear" w:color="auto" w:fill="FFFFFF"/>
        </w:rPr>
        <w:t>万元，机关运行经费主要用于开支开支</w:t>
      </w:r>
      <w:r>
        <w:rPr>
          <w:rFonts w:ascii="方正仿宋_GBK" w:hAnsi="方正仿宋_GBK" w:eastAsia="方正仿宋_GBK" w:cs="方正仿宋_GBK"/>
          <w:color w:val="auto"/>
          <w:sz w:val="32"/>
          <w:szCs w:val="32"/>
          <w:shd w:val="clear" w:color="auto" w:fill="FFFFFF"/>
        </w:rPr>
        <w:t>开支</w:t>
      </w:r>
      <w:r>
        <w:rPr>
          <w:rFonts w:hint="default" w:ascii="方正仿宋_GBK" w:hAnsi="方正仿宋_GBK" w:eastAsia="方正仿宋_GBK" w:cs="方正仿宋_GBK"/>
          <w:color w:val="auto"/>
          <w:kern w:val="2"/>
          <w:sz w:val="32"/>
          <w:szCs w:val="32"/>
        </w:rPr>
        <w:t>办公费、水电费、邮电费、差旅费、维修（护）费、会议费、培训费、公务接待费、劳务费、工会经费、公务用车运行维护费、其他交通费用、其他商品和服务支出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机关运行经费较上年支出数减少63.68万元，下降17.73%，主要原因是</w:t>
      </w:r>
      <w:bookmarkStart w:id="0" w:name="_GoBack"/>
      <w:bookmarkEnd w:id="0"/>
      <w:r>
        <w:rPr>
          <w:rFonts w:hint="eastAsia" w:ascii="方正仿宋_GBK" w:hAnsi="方正仿宋_GBK" w:eastAsia="方正仿宋_GBK" w:cs="方正仿宋_GBK"/>
          <w:sz w:val="32"/>
          <w:szCs w:val="32"/>
          <w:shd w:val="clear" w:color="auto" w:fill="FFFFFF"/>
          <w:lang w:eastAsia="zh-CN"/>
        </w:rPr>
        <w:t>严格落实过紧日子要求，严控机关运行经费，导致机关运行经费减少。</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left="0" w:leftChars="0"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175.25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138.55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36.70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92.53万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52.80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92.53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52.80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本单位办公设备购置和</w:t>
      </w:r>
      <w:r>
        <w:rPr>
          <w:rFonts w:hint="eastAsia" w:ascii="方正仿宋_GBK" w:hAnsi="方正仿宋_GBK" w:eastAsia="方正仿宋_GBK" w:cs="方正仿宋_GBK"/>
          <w:sz w:val="32"/>
          <w:szCs w:val="32"/>
          <w:highlight w:val="none"/>
          <w:shd w:val="clear" w:color="auto" w:fill="FFFFFF"/>
          <w:lang w:eastAsia="zh-CN"/>
        </w:rPr>
        <w:t>补录</w:t>
      </w:r>
      <w:r>
        <w:rPr>
          <w:rFonts w:hint="eastAsia" w:ascii="方正仿宋_GBK" w:hAnsi="方正仿宋_GBK" w:eastAsia="方正仿宋_GBK" w:cs="方正仿宋_GBK"/>
          <w:sz w:val="32"/>
          <w:szCs w:val="32"/>
          <w:highlight w:val="none"/>
          <w:shd w:val="clear" w:color="auto" w:fill="FFFFFF"/>
          <w:lang w:val="en-US" w:eastAsia="zh-CN"/>
        </w:rPr>
        <w:t>2018-2023年度以前</w:t>
      </w:r>
      <w:r>
        <w:rPr>
          <w:rFonts w:hint="eastAsia" w:ascii="方正仿宋_GBK" w:hAnsi="方正仿宋_GBK" w:eastAsia="方正仿宋_GBK" w:cs="方正仿宋_GBK"/>
          <w:sz w:val="32"/>
          <w:szCs w:val="32"/>
          <w:highlight w:val="none"/>
          <w:shd w:val="clear" w:color="auto" w:fill="FFFFFF"/>
          <w:lang w:eastAsia="zh-CN"/>
        </w:rPr>
        <w:t>未做合同登记的货物类采购项目（含</w:t>
      </w:r>
      <w:r>
        <w:rPr>
          <w:rFonts w:hint="eastAsia" w:ascii="方正仿宋_GBK" w:hAnsi="方正仿宋_GBK" w:eastAsia="方正仿宋_GBK" w:cs="方正仿宋_GBK"/>
          <w:sz w:val="32"/>
          <w:szCs w:val="32"/>
          <w:highlight w:val="none"/>
          <w:shd w:val="clear" w:color="auto" w:fill="FFFFFF"/>
          <w:lang w:val="en-US" w:eastAsia="zh-CN"/>
        </w:rPr>
        <w:t>2018年LED太阳能路灯、2018年场镇环境卫生清运服务、2018年农村垃圾清运服务、2018年复印机采购、2019年川汉路涪垫路太阳能路灯、2019年红星村太阳能路灯、2023年代大井村采购LED拼接屏等项目</w:t>
      </w:r>
      <w:r>
        <w:rPr>
          <w:rFonts w:hint="eastAsia" w:ascii="方正仿宋_GBK" w:hAnsi="方正仿宋_GBK" w:eastAsia="方正仿宋_GBK" w:cs="方正仿宋_GBK"/>
          <w:sz w:val="32"/>
          <w:szCs w:val="32"/>
          <w:highlight w:val="none"/>
          <w:shd w:val="clear" w:color="auto" w:fill="FFFFFF"/>
          <w:lang w:eastAsia="zh-CN"/>
        </w:rPr>
        <w:t>）。</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rPr>
        <w:t>个二级项目开展了绩效自评，</w:t>
      </w:r>
      <w:r>
        <w:rPr>
          <w:rFonts w:hint="eastAsia" w:ascii="方正仿宋_GBK" w:hAnsi="方正仿宋_GBK" w:eastAsia="方正仿宋_GBK" w:cs="方正仿宋_GBK"/>
          <w:sz w:val="32"/>
          <w:szCs w:val="32"/>
          <w:highlight w:val="none"/>
          <w:shd w:val="clear" w:color="auto" w:fill="FFFFFF"/>
          <w:lang w:eastAsia="zh-CN" w:bidi="ar"/>
        </w:rPr>
        <w:t>涉及项目支出资金</w:t>
      </w:r>
      <w:r>
        <w:rPr>
          <w:rFonts w:hint="eastAsia" w:ascii="方正仿宋_GBK" w:hAnsi="方正仿宋_GBK" w:eastAsia="方正仿宋_GBK" w:cs="方正仿宋_GBK"/>
          <w:sz w:val="32"/>
          <w:szCs w:val="32"/>
          <w:highlight w:val="none"/>
          <w:lang w:val="en-US" w:eastAsia="zh-CN"/>
        </w:rPr>
        <w:t>2771.47</w:t>
      </w:r>
      <w:r>
        <w:rPr>
          <w:rFonts w:hint="eastAsia" w:ascii="方正仿宋_GBK" w:hAnsi="方正仿宋_GBK" w:eastAsia="方正仿宋_GBK" w:cs="方正仿宋_GBK"/>
          <w:sz w:val="32"/>
          <w:szCs w:val="32"/>
          <w:highlight w:val="none"/>
          <w:shd w:val="clear" w:color="auto" w:fill="FFFFFF"/>
          <w:lang w:bidi="ar"/>
        </w:rPr>
        <w:t>万元</w:t>
      </w:r>
      <w:r>
        <w:rPr>
          <w:rFonts w:hint="eastAsia" w:ascii="方正仿宋_GBK" w:hAnsi="方正仿宋_GBK" w:eastAsia="方正仿宋_GBK" w:cs="方正仿宋_GBK"/>
          <w:sz w:val="32"/>
          <w:szCs w:val="32"/>
          <w:highlight w:val="none"/>
          <w:shd w:val="clear" w:color="auto" w:fill="FFFFFF"/>
          <w:lang w:eastAsia="zh-CN" w:bidi="ar"/>
        </w:rPr>
        <w:t>。</w:t>
      </w: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r>
        <w:rPr>
          <w:rFonts w:hint="eastAsia" w:ascii="方正仿宋_GBK" w:hAnsi="方正仿宋_GBK" w:eastAsia="方正仿宋_GBK" w:cs="方正仿宋_GBK"/>
          <w:sz w:val="28"/>
          <w:szCs w:val="28"/>
          <w:highlight w:val="none"/>
          <w:shd w:val="clear" w:color="auto" w:fill="FFFFFF"/>
        </w:rPr>
        <w:t>部门整体绩效自评表样</w:t>
      </w: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480" w:firstLineChars="200"/>
        <w:rPr>
          <w:rFonts w:hint="eastAsia" w:ascii="方正仿宋_GBK" w:hAnsi="方正仿宋_GBK" w:eastAsia="方正仿宋_GBK" w:cs="方正仿宋_GBK"/>
          <w:sz w:val="28"/>
          <w:szCs w:val="28"/>
          <w:highlight w:val="none"/>
          <w:shd w:val="clear" w:color="auto" w:fill="FFFFFF"/>
        </w:rPr>
      </w:pPr>
      <w:r>
        <w:drawing>
          <wp:anchor distT="0" distB="0" distL="114300" distR="114300" simplePos="0" relativeHeight="251660288" behindDoc="0" locked="0" layoutInCell="1" allowOverlap="1">
            <wp:simplePos x="0" y="0"/>
            <wp:positionH relativeFrom="column">
              <wp:posOffset>-4445</wp:posOffset>
            </wp:positionH>
            <wp:positionV relativeFrom="paragraph">
              <wp:posOffset>10795</wp:posOffset>
            </wp:positionV>
            <wp:extent cx="5278755" cy="3902075"/>
            <wp:effectExtent l="0" t="0" r="17145" b="3175"/>
            <wp:wrapNone/>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7"/>
                    <a:stretch>
                      <a:fillRect/>
                    </a:stretch>
                  </pic:blipFill>
                  <pic:spPr>
                    <a:xfrm>
                      <a:off x="0" y="0"/>
                      <a:ext cx="5278755" cy="3902075"/>
                    </a:xfrm>
                    <a:prstGeom prst="rect">
                      <a:avLst/>
                    </a:prstGeom>
                    <a:noFill/>
                    <a:ln>
                      <a:noFill/>
                    </a:ln>
                  </pic:spPr>
                </pic:pic>
              </a:graphicData>
            </a:graphic>
          </wp:anchor>
        </w:drawing>
      </w: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highlight w:val="none"/>
          <w:shd w:val="clear" w:color="auto" w:fill="FFFFFF"/>
        </w:rPr>
      </w:pPr>
    </w:p>
    <w:p>
      <w:pPr>
        <w:pStyle w:val="12"/>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480" w:firstLineChars="200"/>
        <w:rPr>
          <w:rFonts w:hint="eastAsia" w:ascii="方正仿宋_GBK" w:hAnsi="方正仿宋_GBK" w:eastAsia="方正仿宋_GBK" w:cs="方正仿宋_GBK"/>
          <w:sz w:val="28"/>
          <w:szCs w:val="28"/>
          <w:highlight w:val="none"/>
          <w:shd w:val="clear" w:color="auto" w:fill="FFFFFF"/>
        </w:rPr>
      </w:pPr>
      <w:r>
        <w:drawing>
          <wp:anchor distT="0" distB="0" distL="114300" distR="114300" simplePos="0" relativeHeight="251661312" behindDoc="0" locked="0" layoutInCell="1" allowOverlap="1">
            <wp:simplePos x="0" y="0"/>
            <wp:positionH relativeFrom="column">
              <wp:posOffset>-9525</wp:posOffset>
            </wp:positionH>
            <wp:positionV relativeFrom="paragraph">
              <wp:posOffset>353695</wp:posOffset>
            </wp:positionV>
            <wp:extent cx="5278755" cy="3999865"/>
            <wp:effectExtent l="0" t="0" r="7620" b="635"/>
            <wp:wrapNone/>
            <wp:docPr id="4"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true"/>
                    </pic:cNvPicPr>
                  </pic:nvPicPr>
                  <pic:blipFill>
                    <a:blip r:embed="rId8"/>
                    <a:stretch>
                      <a:fillRect/>
                    </a:stretch>
                  </pic:blipFill>
                  <pic:spPr>
                    <a:xfrm>
                      <a:off x="0" y="0"/>
                      <a:ext cx="5278755" cy="3999865"/>
                    </a:xfrm>
                    <a:prstGeom prst="rect">
                      <a:avLst/>
                    </a:prstGeom>
                    <a:noFill/>
                    <a:ln>
                      <a:noFill/>
                    </a:ln>
                  </pic:spPr>
                </pic:pic>
              </a:graphicData>
            </a:graphic>
          </wp:anchor>
        </w:drawing>
      </w: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32"/>
          <w:szCs w:val="32"/>
          <w:shd w:val="clear" w:color="auto" w:fill="FFFFFF"/>
        </w:rPr>
        <w:t xml:space="preserve"> </w:t>
      </w: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rPr>
          <w:rFonts w:ascii="方正仿宋_GBK" w:hAnsi="方正仿宋_GBK" w:eastAsia="方正仿宋_GBK" w:cs="方正仿宋_GBK"/>
          <w:sz w:val="32"/>
          <w:szCs w:val="32"/>
          <w:shd w:val="clear" w:color="auto" w:fill="FFFFFF"/>
        </w:rPr>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r>
        <w:drawing>
          <wp:anchor distT="0" distB="0" distL="114300" distR="114300" simplePos="0" relativeHeight="251659264" behindDoc="1" locked="0" layoutInCell="1" allowOverlap="1">
            <wp:simplePos x="0" y="0"/>
            <wp:positionH relativeFrom="column">
              <wp:posOffset>-31115</wp:posOffset>
            </wp:positionH>
            <wp:positionV relativeFrom="paragraph">
              <wp:posOffset>13335</wp:posOffset>
            </wp:positionV>
            <wp:extent cx="5354320" cy="5686425"/>
            <wp:effectExtent l="0" t="0" r="27305" b="19050"/>
            <wp:wrapTight wrapText="bothSides">
              <wp:wrapPolygon>
                <wp:start x="0" y="0"/>
                <wp:lineTo x="0" y="21564"/>
                <wp:lineTo x="21556" y="21564"/>
                <wp:lineTo x="21556" y="0"/>
                <wp:lineTo x="0" y="0"/>
              </wp:wrapPolygon>
            </wp:wrapTight>
            <wp:docPr id="7"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true"/>
                    </pic:cNvPicPr>
                  </pic:nvPicPr>
                  <pic:blipFill>
                    <a:blip r:embed="rId9"/>
                    <a:stretch>
                      <a:fillRect/>
                    </a:stretch>
                  </pic:blipFill>
                  <pic:spPr>
                    <a:xfrm>
                      <a:off x="0" y="0"/>
                      <a:ext cx="5354320" cy="5686425"/>
                    </a:xfrm>
                    <a:prstGeom prst="rect">
                      <a:avLst/>
                    </a:prstGeom>
                    <a:noFill/>
                    <a:ln>
                      <a:noFill/>
                    </a:ln>
                  </pic:spPr>
                </pic:pic>
              </a:graphicData>
            </a:graphic>
          </wp:anchor>
        </w:drawing>
      </w: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r>
        <w:drawing>
          <wp:anchor distT="0" distB="0" distL="114300" distR="114300" simplePos="0" relativeHeight="251662336" behindDoc="0" locked="0" layoutInCell="1" allowOverlap="1">
            <wp:simplePos x="0" y="0"/>
            <wp:positionH relativeFrom="column">
              <wp:posOffset>-95885</wp:posOffset>
            </wp:positionH>
            <wp:positionV relativeFrom="paragraph">
              <wp:posOffset>55245</wp:posOffset>
            </wp:positionV>
            <wp:extent cx="5388610" cy="5174615"/>
            <wp:effectExtent l="0" t="0" r="2540" b="6985"/>
            <wp:wrapNone/>
            <wp:docPr id="8"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true"/>
                    </pic:cNvPicPr>
                  </pic:nvPicPr>
                  <pic:blipFill>
                    <a:blip r:embed="rId10"/>
                    <a:stretch>
                      <a:fillRect/>
                    </a:stretch>
                  </pic:blipFill>
                  <pic:spPr>
                    <a:xfrm>
                      <a:off x="0" y="0"/>
                      <a:ext cx="5388610" cy="5174615"/>
                    </a:xfrm>
                    <a:prstGeom prst="rect">
                      <a:avLst/>
                    </a:prstGeom>
                    <a:noFill/>
                    <a:ln>
                      <a:noFill/>
                    </a:ln>
                  </pic:spPr>
                </pic:pic>
              </a:graphicData>
            </a:graphic>
          </wp:anchor>
        </w:drawing>
      </w: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ind w:firstLine="480" w:firstLineChars="200"/>
      </w:pPr>
    </w:p>
    <w:p>
      <w:pPr>
        <w:pStyle w:val="12"/>
        <w:keepNext w:val="0"/>
        <w:keepLines w:val="0"/>
        <w:pageBreakBefore w:val="0"/>
        <w:widowControl/>
        <w:kinsoku/>
        <w:overflowPunct/>
        <w:topLinePunct w:val="0"/>
        <w:autoSpaceDN/>
        <w:bidi w:val="0"/>
        <w:adjustRightInd w:val="0"/>
        <w:snapToGrid w:val="0"/>
        <w:spacing w:before="0" w:beforeAutospacing="0" w:afterAutospacing="0" w:line="594" w:lineRule="exact"/>
      </w:pP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我部门未组织开展绩效评价。</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（三）财政绩效评价情况</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94" w:lineRule="exact"/>
        <w:ind w:leftChars="200" w:firstLine="321" w:firstLineChars="100"/>
        <w:textAlignment w:val="auto"/>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rPr>
        <w:t>六、</w:t>
      </w:r>
      <w:r>
        <w:rPr>
          <w:rStyle w:val="10"/>
          <w:rFonts w:ascii="黑体" w:hAnsi="黑体" w:eastAsia="黑体" w:cs="黑体"/>
          <w:sz w:val="32"/>
          <w:szCs w:val="32"/>
          <w:shd w:val="clear" w:color="auto" w:fill="FFFFFF"/>
        </w:rPr>
        <w:t>专业名词解释</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94" w:lineRule="exact"/>
        <w:ind w:firstLine="642"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2" w:firstLineChars="20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Style w:val="10"/>
          <w:rFonts w:hint="default" w:ascii="方正仿宋_GBK" w:hAnsi="方正仿宋_GBK" w:eastAsia="方正仿宋_GBK" w:cs="方正仿宋_GBK"/>
          <w:sz w:val="32"/>
          <w:szCs w:val="32"/>
          <w:shd w:val="clear" w:color="auto" w:fill="FFFF00"/>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023-74566800</w:t>
      </w: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Style w:val="10"/>
          <w:rFonts w:ascii="方正仿宋_GBK" w:hAnsi="方正仿宋_GBK" w:eastAsia="方正仿宋_GBK" w:cs="方正仿宋_GBK"/>
          <w:sz w:val="32"/>
          <w:szCs w:val="32"/>
          <w:shd w:val="clear" w:color="auto" w:fill="FFFF00"/>
        </w:rPr>
      </w:pP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Style w:val="10"/>
          <w:rFonts w:ascii="方正仿宋_GBK" w:hAnsi="方正仿宋_GBK" w:eastAsia="方正仿宋_GBK" w:cs="方正仿宋_GBK"/>
          <w:sz w:val="32"/>
          <w:szCs w:val="32"/>
          <w:shd w:val="clear" w:color="auto" w:fill="FFFF00"/>
        </w:rPr>
      </w:pPr>
    </w:p>
    <w:p>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2" w:firstLineChars="200"/>
        <w:rPr>
          <w:rStyle w:val="10"/>
          <w:rFonts w:ascii="方正仿宋_GBK" w:hAnsi="方正仿宋_GBK" w:eastAsia="方正仿宋_GBK" w:cs="方正仿宋_GBK"/>
          <w:sz w:val="32"/>
          <w:szCs w:val="32"/>
          <w:shd w:val="clear" w:color="auto" w:fill="FFFF00"/>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exact"/>
        <w:ind w:leftChars="0" w:right="0" w:rightChars="0" w:firstLine="642"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垫江县高峰镇人民政府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3,730.87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409.26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4,587.68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4,621.81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4,621.81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4,621.81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垫江县高峰镇人民政府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4,587.68</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4,587.68</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409.26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745.53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256.09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垫江县高峰镇人民政府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4,621.81</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1,850.35</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2,771.47</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225.79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205.63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409.26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373.51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71.70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1,007.70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752.74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415.39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337.36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263.31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科技转化与推广服务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153.57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238.22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3,730.87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409.26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4,587.68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4,621.81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3,765.00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3,765.00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1,850.35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1,914.66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225.79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48.49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373.51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265.79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127.28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75.85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752.74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415.39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263.31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177.17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177.17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科技转化与推广服务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238.22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81.05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1,207.59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330.78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93.28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128.46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311.97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304.31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1,519.56</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330.78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垫江县高峰镇人民政府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垫江县高峰镇人民政府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295.47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175.25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138.55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36.70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49.70</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360" w:lineRule="exact"/>
        <w:ind w:firstLine="360" w:firstLineChars="200"/>
        <w:textAlignment w:val="auto"/>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22B20A"/>
    <w:multiLevelType w:val="singleLevel"/>
    <w:tmpl w:val="2422B20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35EF1"/>
    <w:rsid w:val="01474EBF"/>
    <w:rsid w:val="01F3521E"/>
    <w:rsid w:val="03B87EA0"/>
    <w:rsid w:val="03E3214F"/>
    <w:rsid w:val="044C50BA"/>
    <w:rsid w:val="04CF0241"/>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3B3792"/>
    <w:rsid w:val="0B9335CE"/>
    <w:rsid w:val="0C7927C4"/>
    <w:rsid w:val="0C9B098C"/>
    <w:rsid w:val="0D673E11"/>
    <w:rsid w:val="0DDA54E4"/>
    <w:rsid w:val="0DE10621"/>
    <w:rsid w:val="0E3A5F83"/>
    <w:rsid w:val="0E74421A"/>
    <w:rsid w:val="0F836721"/>
    <w:rsid w:val="0FA25D96"/>
    <w:rsid w:val="107B59E5"/>
    <w:rsid w:val="108C6573"/>
    <w:rsid w:val="10EC0126"/>
    <w:rsid w:val="10F70B9A"/>
    <w:rsid w:val="111445C7"/>
    <w:rsid w:val="114278C6"/>
    <w:rsid w:val="11562EE8"/>
    <w:rsid w:val="1158083A"/>
    <w:rsid w:val="11643A4B"/>
    <w:rsid w:val="11ED0F98"/>
    <w:rsid w:val="11F03528"/>
    <w:rsid w:val="12C921C4"/>
    <w:rsid w:val="13871C70"/>
    <w:rsid w:val="13A71CB4"/>
    <w:rsid w:val="13AF1D43"/>
    <w:rsid w:val="13CE1647"/>
    <w:rsid w:val="13FD55AB"/>
    <w:rsid w:val="14200702"/>
    <w:rsid w:val="152C49F4"/>
    <w:rsid w:val="157955E3"/>
    <w:rsid w:val="163A6CEE"/>
    <w:rsid w:val="16DA3AFB"/>
    <w:rsid w:val="16DF591A"/>
    <w:rsid w:val="173708E3"/>
    <w:rsid w:val="17C374FC"/>
    <w:rsid w:val="189079DC"/>
    <w:rsid w:val="189B0D0B"/>
    <w:rsid w:val="18B43F7C"/>
    <w:rsid w:val="194A1770"/>
    <w:rsid w:val="19B906A4"/>
    <w:rsid w:val="1B6F15B6"/>
    <w:rsid w:val="1BAA2EDC"/>
    <w:rsid w:val="1C5C0973"/>
    <w:rsid w:val="1C684240"/>
    <w:rsid w:val="1CA55E64"/>
    <w:rsid w:val="1D014A01"/>
    <w:rsid w:val="1D022362"/>
    <w:rsid w:val="1D1B04B0"/>
    <w:rsid w:val="1DBD6767"/>
    <w:rsid w:val="1DC52125"/>
    <w:rsid w:val="1DD26311"/>
    <w:rsid w:val="1DEA49D8"/>
    <w:rsid w:val="1E374ACB"/>
    <w:rsid w:val="1E5E27E3"/>
    <w:rsid w:val="1EBF4F16"/>
    <w:rsid w:val="1ECF0A66"/>
    <w:rsid w:val="1EF67CA4"/>
    <w:rsid w:val="1F020D3A"/>
    <w:rsid w:val="1F2C5189"/>
    <w:rsid w:val="1F4B0B02"/>
    <w:rsid w:val="1FBB35CD"/>
    <w:rsid w:val="1FCD26AF"/>
    <w:rsid w:val="205D0FC0"/>
    <w:rsid w:val="20642787"/>
    <w:rsid w:val="21131F47"/>
    <w:rsid w:val="21556F04"/>
    <w:rsid w:val="22403BD3"/>
    <w:rsid w:val="231C70A0"/>
    <w:rsid w:val="23DA37D9"/>
    <w:rsid w:val="245E446A"/>
    <w:rsid w:val="24B92327"/>
    <w:rsid w:val="24C14514"/>
    <w:rsid w:val="2533755C"/>
    <w:rsid w:val="25791755"/>
    <w:rsid w:val="25C06A16"/>
    <w:rsid w:val="26396DF4"/>
    <w:rsid w:val="27167136"/>
    <w:rsid w:val="273F5F9F"/>
    <w:rsid w:val="27B23302"/>
    <w:rsid w:val="27FD5FE1"/>
    <w:rsid w:val="29310A5F"/>
    <w:rsid w:val="29C37A35"/>
    <w:rsid w:val="2A076083"/>
    <w:rsid w:val="2A73162E"/>
    <w:rsid w:val="2A757AF1"/>
    <w:rsid w:val="2B167953"/>
    <w:rsid w:val="2B200583"/>
    <w:rsid w:val="2B8209DE"/>
    <w:rsid w:val="2C6762A3"/>
    <w:rsid w:val="2E307C0F"/>
    <w:rsid w:val="2EBF7B3E"/>
    <w:rsid w:val="2EDE1934"/>
    <w:rsid w:val="2F85469D"/>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615904"/>
    <w:rsid w:val="33E31118"/>
    <w:rsid w:val="33EF7674"/>
    <w:rsid w:val="342D7BC6"/>
    <w:rsid w:val="34BD79E0"/>
    <w:rsid w:val="352930DB"/>
    <w:rsid w:val="35573069"/>
    <w:rsid w:val="355F6038"/>
    <w:rsid w:val="358C217E"/>
    <w:rsid w:val="35937598"/>
    <w:rsid w:val="361A4AD3"/>
    <w:rsid w:val="36C9128A"/>
    <w:rsid w:val="372E3953"/>
    <w:rsid w:val="37841E99"/>
    <w:rsid w:val="37BF1123"/>
    <w:rsid w:val="383C3F15"/>
    <w:rsid w:val="38BE4696"/>
    <w:rsid w:val="3939115E"/>
    <w:rsid w:val="398C3287"/>
    <w:rsid w:val="39B82A39"/>
    <w:rsid w:val="39C42CA8"/>
    <w:rsid w:val="39DC4FD6"/>
    <w:rsid w:val="39F03D7A"/>
    <w:rsid w:val="39F33306"/>
    <w:rsid w:val="3A2C1C67"/>
    <w:rsid w:val="3B1705E5"/>
    <w:rsid w:val="3B18334B"/>
    <w:rsid w:val="3B36794F"/>
    <w:rsid w:val="3C566AD6"/>
    <w:rsid w:val="3C6A5B02"/>
    <w:rsid w:val="3D2757A1"/>
    <w:rsid w:val="3D3659E4"/>
    <w:rsid w:val="3D3D4FC4"/>
    <w:rsid w:val="3D9450B9"/>
    <w:rsid w:val="3DDF3AB1"/>
    <w:rsid w:val="3E1D0952"/>
    <w:rsid w:val="3E42660A"/>
    <w:rsid w:val="3E7555B1"/>
    <w:rsid w:val="3E787ED9"/>
    <w:rsid w:val="3E9511FE"/>
    <w:rsid w:val="3EEC37F3"/>
    <w:rsid w:val="3EFF1E23"/>
    <w:rsid w:val="3F032E93"/>
    <w:rsid w:val="3F0527E5"/>
    <w:rsid w:val="3F2268A2"/>
    <w:rsid w:val="3F694D83"/>
    <w:rsid w:val="3F885DCC"/>
    <w:rsid w:val="3FCD675E"/>
    <w:rsid w:val="3FFF5500"/>
    <w:rsid w:val="4004000C"/>
    <w:rsid w:val="411B6CE5"/>
    <w:rsid w:val="412070D7"/>
    <w:rsid w:val="41314E40"/>
    <w:rsid w:val="41E0734B"/>
    <w:rsid w:val="420C2580"/>
    <w:rsid w:val="426554D0"/>
    <w:rsid w:val="426C1EA8"/>
    <w:rsid w:val="42736402"/>
    <w:rsid w:val="42E86A87"/>
    <w:rsid w:val="43307B09"/>
    <w:rsid w:val="434D1F33"/>
    <w:rsid w:val="438D0E97"/>
    <w:rsid w:val="43BB152F"/>
    <w:rsid w:val="44C37687"/>
    <w:rsid w:val="45AA6F6F"/>
    <w:rsid w:val="45CB699A"/>
    <w:rsid w:val="465B470D"/>
    <w:rsid w:val="46873754"/>
    <w:rsid w:val="469D6AD4"/>
    <w:rsid w:val="46D63D94"/>
    <w:rsid w:val="471E6C84"/>
    <w:rsid w:val="4748792B"/>
    <w:rsid w:val="475D719D"/>
    <w:rsid w:val="47674801"/>
    <w:rsid w:val="48225EF7"/>
    <w:rsid w:val="482975F5"/>
    <w:rsid w:val="488F422B"/>
    <w:rsid w:val="48E36915"/>
    <w:rsid w:val="495C4A24"/>
    <w:rsid w:val="497135DF"/>
    <w:rsid w:val="4A0C78C4"/>
    <w:rsid w:val="4A263DF2"/>
    <w:rsid w:val="4A6F6675"/>
    <w:rsid w:val="4B0502DF"/>
    <w:rsid w:val="4B135857"/>
    <w:rsid w:val="4B7951CB"/>
    <w:rsid w:val="4B7C315C"/>
    <w:rsid w:val="4C6065D9"/>
    <w:rsid w:val="4DAC4ACA"/>
    <w:rsid w:val="4DBE01D2"/>
    <w:rsid w:val="4EFC6D10"/>
    <w:rsid w:val="4F0C6BA3"/>
    <w:rsid w:val="4F10477D"/>
    <w:rsid w:val="4F186D58"/>
    <w:rsid w:val="4FEA65B7"/>
    <w:rsid w:val="4FF4660A"/>
    <w:rsid w:val="50F06B6E"/>
    <w:rsid w:val="511C4FE5"/>
    <w:rsid w:val="52234D33"/>
    <w:rsid w:val="522F6E0C"/>
    <w:rsid w:val="52463BA1"/>
    <w:rsid w:val="52BA27BB"/>
    <w:rsid w:val="52F163D4"/>
    <w:rsid w:val="531A2DB4"/>
    <w:rsid w:val="53C0244D"/>
    <w:rsid w:val="53DD4D4E"/>
    <w:rsid w:val="53E578CE"/>
    <w:rsid w:val="541330F0"/>
    <w:rsid w:val="54272666"/>
    <w:rsid w:val="543B029D"/>
    <w:rsid w:val="54861779"/>
    <w:rsid w:val="54F774D3"/>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D3B6F2A"/>
    <w:rsid w:val="5D940CCE"/>
    <w:rsid w:val="5E1A3A26"/>
    <w:rsid w:val="5F2D4A41"/>
    <w:rsid w:val="606F1089"/>
    <w:rsid w:val="60C74F6C"/>
    <w:rsid w:val="61025A59"/>
    <w:rsid w:val="613D5BBC"/>
    <w:rsid w:val="61536C39"/>
    <w:rsid w:val="625049D9"/>
    <w:rsid w:val="62944DD7"/>
    <w:rsid w:val="630A2513"/>
    <w:rsid w:val="6319381F"/>
    <w:rsid w:val="63236436"/>
    <w:rsid w:val="6366447C"/>
    <w:rsid w:val="63952391"/>
    <w:rsid w:val="63C25DC5"/>
    <w:rsid w:val="63C62057"/>
    <w:rsid w:val="64571EF5"/>
    <w:rsid w:val="64C96613"/>
    <w:rsid w:val="64FB113D"/>
    <w:rsid w:val="656152C6"/>
    <w:rsid w:val="6587477F"/>
    <w:rsid w:val="658C3A08"/>
    <w:rsid w:val="65B03CD6"/>
    <w:rsid w:val="65C031CA"/>
    <w:rsid w:val="65CE6852"/>
    <w:rsid w:val="66267C04"/>
    <w:rsid w:val="663F505A"/>
    <w:rsid w:val="66967186"/>
    <w:rsid w:val="66B07193"/>
    <w:rsid w:val="66EE5541"/>
    <w:rsid w:val="67873AF4"/>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A737A"/>
    <w:rsid w:val="6EFD1324"/>
    <w:rsid w:val="6F4C696E"/>
    <w:rsid w:val="6F5A53AC"/>
    <w:rsid w:val="6F7277CF"/>
    <w:rsid w:val="6FAC003D"/>
    <w:rsid w:val="6FE55E12"/>
    <w:rsid w:val="6FF70359"/>
    <w:rsid w:val="6FFB2E76"/>
    <w:rsid w:val="708F6F7F"/>
    <w:rsid w:val="70D94BD3"/>
    <w:rsid w:val="71C34D91"/>
    <w:rsid w:val="72DB435C"/>
    <w:rsid w:val="72E2613A"/>
    <w:rsid w:val="72F771F4"/>
    <w:rsid w:val="736650B0"/>
    <w:rsid w:val="73934AD2"/>
    <w:rsid w:val="750837F0"/>
    <w:rsid w:val="754758CF"/>
    <w:rsid w:val="75B21A9F"/>
    <w:rsid w:val="75D91695"/>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9F1E92"/>
    <w:rsid w:val="7DE94331"/>
    <w:rsid w:val="7F446A19"/>
    <w:rsid w:val="7F7452B9"/>
    <w:rsid w:val="7FE736F9"/>
    <w:rsid w:val="CFFF15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7101</Words>
  <Characters>7959</Characters>
  <Lines>194</Lines>
  <Paragraphs>54</Paragraphs>
  <TotalTime>6</TotalTime>
  <ScaleCrop>false</ScaleCrop>
  <LinksUpToDate>false</LinksUpToDate>
  <CharactersWithSpaces>7978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2025-12-19T16:07:37Z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0DF320FD913E4E1BA94D8E751F1D601F_13</vt:lpwstr>
  </property>
  <property fmtid="{D5CDD505-2E9C-101B-9397-08002B2CF9AE}" pid="4" name="KSOTemplateDocerSaveRecord">
    <vt:lpwstr>eyJoZGlkIjoiZWM4MGJhOWU4Njg2NjAzZTgwNGRhNTk2MDM5ZTIzZTUiLCJ1c2VySWQiOiI5MzM2NDQ0NjgifQ==</vt:lpwstr>
  </property>
</Properties>
</file>