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Autospacing="0" w:afterAutospacing="0"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 xml:space="preserve"> 垫江县高峰镇人民政府</w:t>
      </w:r>
    </w:p>
    <w:p>
      <w:pPr>
        <w:numPr>
          <w:ilvl w:val="0"/>
          <w:numId w:val="0"/>
        </w:numPr>
        <w:spacing w:beforeAutospacing="0" w:afterAutospacing="0" w:line="600" w:lineRule="exact"/>
        <w:jc w:val="center"/>
        <w:rPr>
          <w:rFonts w:hint="eastAsia" w:ascii="方正黑体_GBK" w:hAnsi="方正黑体_GBK" w:eastAsia="方正黑体_GBK" w:cs="方正黑体_GBK"/>
          <w:color w:val="000000"/>
          <w:szCs w:val="32"/>
          <w:lang w:val="en-US" w:eastAsia="zh-CN"/>
        </w:rPr>
      </w:pPr>
      <w:r>
        <w:rPr>
          <w:rFonts w:hint="eastAsia" w:ascii="方正小标宋_GBK" w:hAnsi="方正小标宋_GBK" w:eastAsia="方正小标宋_GBK" w:cs="方正小标宋_GBK"/>
          <w:color w:val="000000"/>
          <w:sz w:val="44"/>
          <w:szCs w:val="44"/>
          <w:lang w:val="en-US" w:eastAsia="zh-CN"/>
        </w:rPr>
        <w:t>2022年政府信息公开工作年度报告</w:t>
      </w:r>
    </w:p>
    <w:p>
      <w:pPr>
        <w:numPr>
          <w:ilvl w:val="0"/>
          <w:numId w:val="0"/>
        </w:numPr>
        <w:spacing w:beforeAutospacing="0" w:afterAutospacing="0" w:line="600" w:lineRule="exact"/>
        <w:ind w:firstLine="640" w:firstLineChars="200"/>
        <w:jc w:val="both"/>
        <w:rPr>
          <w:rFonts w:hint="eastAsia" w:ascii="方正仿宋_GBK" w:hAnsi="方正仿宋_GBK" w:eastAsia="方正仿宋_GBK" w:cs="方正仿宋_GBK"/>
          <w:color w:val="000000"/>
          <w:sz w:val="32"/>
          <w:szCs w:val="32"/>
          <w:lang w:val="en-US" w:eastAsia="zh-CN"/>
        </w:rPr>
      </w:pPr>
    </w:p>
    <w:p>
      <w:pPr>
        <w:numPr>
          <w:ilvl w:val="0"/>
          <w:numId w:val="0"/>
        </w:numPr>
        <w:spacing w:beforeAutospacing="0" w:afterAutospacing="0" w:line="600" w:lineRule="exact"/>
        <w:ind w:firstLine="640" w:firstLineChars="200"/>
        <w:jc w:val="both"/>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2022年</w:t>
      </w:r>
      <w:r>
        <w:rPr>
          <w:rFonts w:hint="eastAsia" w:ascii="方正仿宋_GBK" w:hAnsi="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高峰镇认真贯彻《中华人民共和国政府信息公开条例》（以下简称《条例》）有关政府信息公开工作的要求，在主动公开、依法申请公开、政府信息管理等多方面进行了全面的部署和安排。及时主动依法公开政府信息，充分保障公众知情权、参与权和监督权，提高我镇工作的透明度和公信力。现公布2022年高峰镇政府信息公开工作年度报告，内容包括2022年1月1日至12月31日期间的政府信息公开工作情况。</w:t>
      </w:r>
    </w:p>
    <w:p>
      <w:pPr>
        <w:numPr>
          <w:ilvl w:val="0"/>
          <w:numId w:val="0"/>
        </w:numPr>
        <w:spacing w:beforeAutospacing="0" w:afterAutospacing="0" w:line="600"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lang w:eastAsia="zh-CN"/>
        </w:rPr>
        <w:t>一、</w:t>
      </w:r>
      <w:r>
        <w:rPr>
          <w:rFonts w:hint="eastAsia" w:ascii="方正黑体_GBK" w:hAnsi="方正黑体_GBK" w:eastAsia="方正黑体_GBK" w:cs="方正黑体_GBK"/>
          <w:color w:val="000000"/>
          <w:sz w:val="32"/>
          <w:szCs w:val="32"/>
        </w:rPr>
        <w:t>总体情况</w:t>
      </w:r>
    </w:p>
    <w:p>
      <w:pPr>
        <w:numPr>
          <w:ilvl w:val="0"/>
          <w:numId w:val="0"/>
        </w:numPr>
        <w:spacing w:beforeAutospacing="0" w:afterAutospacing="0" w:line="600" w:lineRule="exact"/>
        <w:ind w:firstLine="640" w:firstLineChars="200"/>
        <w:jc w:val="both"/>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2022年，高峰镇紧紧围绕建设服务政府、提高服务质量的总要求，结合工作实际，突出工作重点，进一步完善工作机制、拓展公开内容、丰富公开形势，确保政府信息公开工作依法、及时、准确、有序开展。</w:t>
      </w:r>
    </w:p>
    <w:p>
      <w:pPr>
        <w:numPr>
          <w:ilvl w:val="0"/>
          <w:numId w:val="0"/>
        </w:numPr>
        <w:spacing w:beforeAutospacing="0" w:afterAutospacing="0" w:line="600" w:lineRule="exact"/>
        <w:ind w:firstLine="640" w:firstLineChars="200"/>
        <w:jc w:val="both"/>
        <w:rPr>
          <w:rFonts w:hint="eastAsia" w:ascii="方正仿宋_GBK" w:hAnsi="方正仿宋_GBK" w:eastAsia="方正仿宋_GBK" w:cs="方正仿宋_GBK"/>
          <w:i w:val="0"/>
          <w:iCs w:val="0"/>
          <w:color w:val="333333"/>
          <w:spacing w:val="0"/>
          <w:sz w:val="32"/>
          <w:szCs w:val="32"/>
          <w:shd w:val="clear" w:fill="FFFFFF"/>
        </w:rPr>
      </w:pPr>
      <w:r>
        <w:rPr>
          <w:rFonts w:hint="eastAsia" w:ascii="方正楷体_GBK" w:hAnsi="方正楷体_GBK" w:eastAsia="方正楷体_GBK" w:cs="方正楷体_GBK"/>
          <w:color w:val="000000"/>
          <w:sz w:val="32"/>
          <w:szCs w:val="32"/>
          <w:lang w:val="en-US" w:eastAsia="zh-CN"/>
        </w:rPr>
        <w:t>（一）主动公开情况。</w:t>
      </w:r>
      <w:r>
        <w:rPr>
          <w:rFonts w:hint="eastAsia" w:ascii="方正仿宋_GBK" w:hAnsi="方正仿宋_GBK" w:eastAsia="方正仿宋_GBK" w:cs="方正仿宋_GBK"/>
          <w:i w:val="0"/>
          <w:iCs w:val="0"/>
          <w:color w:val="333333"/>
          <w:spacing w:val="0"/>
          <w:sz w:val="32"/>
          <w:szCs w:val="32"/>
          <w:shd w:val="clear" w:fill="FFFFFF"/>
        </w:rPr>
        <w:t>根据《条例》明确的法定主动公开内容，严格按照《垫江县202</w:t>
      </w:r>
      <w:r>
        <w:rPr>
          <w:rFonts w:hint="eastAsia" w:ascii="方正仿宋_GBK" w:hAnsi="方正仿宋_GBK" w:eastAsia="方正仿宋_GBK" w:cs="方正仿宋_GBK"/>
          <w:i w:val="0"/>
          <w:iCs w:val="0"/>
          <w:color w:val="333333"/>
          <w:spacing w:val="0"/>
          <w:sz w:val="32"/>
          <w:szCs w:val="32"/>
          <w:shd w:val="clear" w:fill="FFFFFF"/>
          <w:lang w:val="en-US" w:eastAsia="zh-CN"/>
        </w:rPr>
        <w:t>2</w:t>
      </w:r>
      <w:r>
        <w:rPr>
          <w:rFonts w:hint="eastAsia" w:ascii="方正仿宋_GBK" w:hAnsi="方正仿宋_GBK" w:eastAsia="方正仿宋_GBK" w:cs="方正仿宋_GBK"/>
          <w:i w:val="0"/>
          <w:iCs w:val="0"/>
          <w:color w:val="333333"/>
          <w:spacing w:val="0"/>
          <w:sz w:val="32"/>
          <w:szCs w:val="32"/>
          <w:shd w:val="clear" w:fill="FFFFFF"/>
        </w:rPr>
        <w:t>年政务公开工作要点》要求，全面梳理主动公开内容，完成信息主动公开任务。202</w:t>
      </w:r>
      <w:r>
        <w:rPr>
          <w:rFonts w:hint="eastAsia" w:ascii="方正仿宋_GBK" w:hAnsi="方正仿宋_GBK" w:eastAsia="方正仿宋_GBK" w:cs="方正仿宋_GBK"/>
          <w:i w:val="0"/>
          <w:iCs w:val="0"/>
          <w:color w:val="333333"/>
          <w:spacing w:val="0"/>
          <w:sz w:val="32"/>
          <w:szCs w:val="32"/>
          <w:shd w:val="clear" w:fill="FFFFFF"/>
          <w:lang w:val="en-US" w:eastAsia="zh-CN"/>
        </w:rPr>
        <w:t>2</w:t>
      </w:r>
      <w:r>
        <w:rPr>
          <w:rFonts w:hint="eastAsia" w:ascii="方正仿宋_GBK" w:hAnsi="方正仿宋_GBK" w:eastAsia="方正仿宋_GBK" w:cs="方正仿宋_GBK"/>
          <w:i w:val="0"/>
          <w:iCs w:val="0"/>
          <w:color w:val="333333"/>
          <w:spacing w:val="0"/>
          <w:sz w:val="32"/>
          <w:szCs w:val="32"/>
          <w:shd w:val="clear" w:fill="FFFFFF"/>
        </w:rPr>
        <w:t>年主动公开政府信息</w:t>
      </w:r>
      <w:r>
        <w:rPr>
          <w:rFonts w:hint="eastAsia" w:ascii="方正仿宋_GBK" w:hAnsi="方正仿宋_GBK" w:eastAsia="方正仿宋_GBK" w:cs="方正仿宋_GBK"/>
          <w:i w:val="0"/>
          <w:iCs w:val="0"/>
          <w:color w:val="333333"/>
          <w:spacing w:val="0"/>
          <w:sz w:val="32"/>
          <w:szCs w:val="32"/>
          <w:shd w:val="clear" w:fill="FFFFFF"/>
          <w:lang w:val="en-US" w:eastAsia="zh-CN"/>
        </w:rPr>
        <w:t>285</w:t>
      </w:r>
      <w:r>
        <w:rPr>
          <w:rFonts w:hint="eastAsia" w:ascii="方正仿宋_GBK" w:hAnsi="方正仿宋_GBK" w:eastAsia="方正仿宋_GBK" w:cs="方正仿宋_GBK"/>
          <w:i w:val="0"/>
          <w:iCs w:val="0"/>
          <w:color w:val="333333"/>
          <w:spacing w:val="0"/>
          <w:sz w:val="32"/>
          <w:szCs w:val="32"/>
          <w:shd w:val="clear" w:fill="FFFFFF"/>
        </w:rPr>
        <w:t>条，含其他政策文件</w:t>
      </w:r>
      <w:r>
        <w:rPr>
          <w:rFonts w:hint="eastAsia" w:ascii="方正仿宋_GBK" w:hAnsi="方正仿宋_GBK" w:eastAsia="方正仿宋_GBK" w:cs="方正仿宋_GBK"/>
          <w:i w:val="0"/>
          <w:iCs w:val="0"/>
          <w:color w:val="333333"/>
          <w:spacing w:val="0"/>
          <w:sz w:val="32"/>
          <w:szCs w:val="32"/>
          <w:shd w:val="clear" w:fill="FFFFFF"/>
          <w:lang w:val="en-US" w:eastAsia="zh-CN"/>
        </w:rPr>
        <w:t>1</w:t>
      </w:r>
      <w:r>
        <w:rPr>
          <w:rFonts w:hint="eastAsia" w:ascii="方正仿宋_GBK" w:hAnsi="方正仿宋_GBK" w:eastAsia="方正仿宋_GBK" w:cs="方正仿宋_GBK"/>
          <w:i w:val="0"/>
          <w:iCs w:val="0"/>
          <w:color w:val="333333"/>
          <w:spacing w:val="0"/>
          <w:sz w:val="32"/>
          <w:szCs w:val="32"/>
          <w:shd w:val="clear" w:fill="FFFFFF"/>
        </w:rPr>
        <w:t>条，25个试点领域信息104条，其他政府各类信息</w:t>
      </w:r>
      <w:r>
        <w:rPr>
          <w:rFonts w:hint="eastAsia" w:ascii="方正仿宋_GBK" w:hAnsi="方正仿宋_GBK" w:eastAsia="方正仿宋_GBK" w:cs="方正仿宋_GBK"/>
          <w:i w:val="0"/>
          <w:iCs w:val="0"/>
          <w:color w:val="333333"/>
          <w:spacing w:val="0"/>
          <w:sz w:val="32"/>
          <w:szCs w:val="32"/>
          <w:shd w:val="clear" w:fill="FFFFFF"/>
          <w:lang w:val="en-US" w:eastAsia="zh-CN"/>
        </w:rPr>
        <w:t>180</w:t>
      </w:r>
      <w:r>
        <w:rPr>
          <w:rFonts w:hint="eastAsia" w:ascii="方正仿宋_GBK" w:hAnsi="方正仿宋_GBK" w:eastAsia="方正仿宋_GBK" w:cs="方正仿宋_GBK"/>
          <w:i w:val="0"/>
          <w:iCs w:val="0"/>
          <w:color w:val="333333"/>
          <w:spacing w:val="0"/>
          <w:sz w:val="32"/>
          <w:szCs w:val="32"/>
          <w:shd w:val="clear" w:fill="FFFFFF"/>
        </w:rPr>
        <w:t>余条。按时公开财政预算、决算信息，领导信息、机构职能职责、办事指南等事项。</w:t>
      </w:r>
    </w:p>
    <w:p>
      <w:pPr>
        <w:numPr>
          <w:ilvl w:val="0"/>
          <w:numId w:val="0"/>
        </w:numPr>
        <w:spacing w:beforeAutospacing="0" w:afterAutospacing="0" w:line="600" w:lineRule="exact"/>
        <w:ind w:firstLine="640" w:firstLineChars="200"/>
        <w:jc w:val="both"/>
        <w:rPr>
          <w:rFonts w:hint="eastAsia" w:ascii="方正仿宋_GBK" w:hAnsi="方正仿宋_GBK" w:eastAsia="方正仿宋_GBK" w:cs="方正仿宋_GBK"/>
          <w:i w:val="0"/>
          <w:iCs w:val="0"/>
          <w:color w:val="333333"/>
          <w:spacing w:val="0"/>
          <w:sz w:val="32"/>
          <w:szCs w:val="32"/>
          <w:shd w:val="clear" w:fill="FFFFFF"/>
          <w:lang w:val="en-US" w:eastAsia="zh-CN"/>
        </w:rPr>
      </w:pPr>
      <w:r>
        <w:rPr>
          <w:rFonts w:hint="eastAsia" w:ascii="方正楷体_GBK" w:hAnsi="方正楷体_GBK" w:eastAsia="方正楷体_GBK" w:cs="方正楷体_GBK"/>
          <w:color w:val="000000"/>
          <w:sz w:val="32"/>
          <w:szCs w:val="32"/>
          <w:lang w:val="en-US" w:eastAsia="zh-CN"/>
        </w:rPr>
        <w:t>（二）依申请公开。</w:t>
      </w:r>
      <w:r>
        <w:rPr>
          <w:rFonts w:hint="eastAsia" w:ascii="方正仿宋_GBK" w:hAnsi="方正仿宋_GBK" w:eastAsia="方正仿宋_GBK" w:cs="方正仿宋_GBK"/>
          <w:i w:val="0"/>
          <w:iCs w:val="0"/>
          <w:color w:val="333333"/>
          <w:spacing w:val="0"/>
          <w:sz w:val="32"/>
          <w:szCs w:val="32"/>
        </w:rPr>
        <w:t>我镇积极做好信息公开的各项工作，严格执行政府工作信息依申请公开标准，在政府网站上开通了“依申请公开”栏目，发布《垫江县</w:t>
      </w:r>
      <w:r>
        <w:rPr>
          <w:rFonts w:hint="eastAsia" w:ascii="方正仿宋_GBK" w:hAnsi="方正仿宋_GBK" w:eastAsia="方正仿宋_GBK" w:cs="方正仿宋_GBK"/>
          <w:i w:val="0"/>
          <w:iCs w:val="0"/>
          <w:color w:val="333333"/>
          <w:spacing w:val="0"/>
          <w:sz w:val="32"/>
          <w:szCs w:val="32"/>
          <w:lang w:eastAsia="zh-CN"/>
        </w:rPr>
        <w:t>高峰</w:t>
      </w:r>
      <w:r>
        <w:rPr>
          <w:rFonts w:hint="eastAsia" w:ascii="方正仿宋_GBK" w:hAnsi="方正仿宋_GBK" w:eastAsia="方正仿宋_GBK" w:cs="方正仿宋_GBK"/>
          <w:i w:val="0"/>
          <w:iCs w:val="0"/>
          <w:color w:val="333333"/>
          <w:spacing w:val="0"/>
          <w:sz w:val="32"/>
          <w:szCs w:val="32"/>
        </w:rPr>
        <w:t>镇人民政府信息公开指南》，确保政务公开各项工作顺利有效开展。截至202</w:t>
      </w:r>
      <w:r>
        <w:rPr>
          <w:rFonts w:hint="eastAsia" w:ascii="方正仿宋_GBK" w:hAnsi="方正仿宋_GBK" w:eastAsia="方正仿宋_GBK" w:cs="方正仿宋_GBK"/>
          <w:i w:val="0"/>
          <w:iCs w:val="0"/>
          <w:color w:val="333333"/>
          <w:spacing w:val="0"/>
          <w:sz w:val="32"/>
          <w:szCs w:val="32"/>
          <w:lang w:val="en-US" w:eastAsia="zh-CN"/>
        </w:rPr>
        <w:t>2</w:t>
      </w:r>
      <w:r>
        <w:rPr>
          <w:rFonts w:hint="eastAsia" w:ascii="方正仿宋_GBK" w:hAnsi="方正仿宋_GBK" w:eastAsia="方正仿宋_GBK" w:cs="方正仿宋_GBK"/>
          <w:i w:val="0"/>
          <w:iCs w:val="0"/>
          <w:color w:val="333333"/>
          <w:spacing w:val="0"/>
          <w:sz w:val="32"/>
          <w:szCs w:val="32"/>
        </w:rPr>
        <w:t>年12月31日，我镇共收到依申请公开政府信息 0 条。</w:t>
      </w:r>
    </w:p>
    <w:p>
      <w:pPr>
        <w:numPr>
          <w:ilvl w:val="0"/>
          <w:numId w:val="0"/>
        </w:numPr>
        <w:spacing w:beforeAutospacing="0" w:afterAutospacing="0" w:line="600" w:lineRule="exact"/>
        <w:ind w:firstLine="640" w:firstLineChars="200"/>
        <w:jc w:val="both"/>
        <w:rPr>
          <w:rFonts w:hint="eastAsia" w:ascii="方正仿宋_GBK" w:hAnsi="方正仿宋_GBK" w:eastAsia="方正仿宋_GBK" w:cs="方正仿宋_GBK"/>
          <w:i w:val="0"/>
          <w:iCs w:val="0"/>
          <w:color w:val="333333"/>
          <w:spacing w:val="0"/>
          <w:sz w:val="32"/>
          <w:szCs w:val="32"/>
          <w:shd w:val="clear" w:fill="FFFFFF"/>
          <w:lang w:val="en-US" w:eastAsia="zh-CN"/>
        </w:rPr>
      </w:pPr>
      <w:r>
        <w:rPr>
          <w:rFonts w:hint="eastAsia" w:ascii="方正楷体_GBK" w:hAnsi="方正楷体_GBK" w:eastAsia="方正楷体_GBK" w:cs="方正楷体_GBK"/>
          <w:color w:val="000000"/>
          <w:sz w:val="32"/>
          <w:szCs w:val="32"/>
          <w:lang w:val="en-US" w:eastAsia="zh-CN"/>
        </w:rPr>
        <w:t>（三）政府信息管理。</w:t>
      </w:r>
      <w:r>
        <w:rPr>
          <w:rFonts w:hint="eastAsia" w:ascii="方正仿宋_GBK" w:hAnsi="方正仿宋_GBK" w:eastAsia="方正仿宋_GBK" w:cs="方正仿宋_GBK"/>
          <w:i w:val="0"/>
          <w:iCs w:val="0"/>
          <w:color w:val="333333"/>
          <w:spacing w:val="0"/>
          <w:sz w:val="32"/>
          <w:szCs w:val="32"/>
          <w:shd w:val="clear" w:fill="FFFFFF"/>
        </w:rPr>
        <w:t>202</w:t>
      </w:r>
      <w:r>
        <w:rPr>
          <w:rFonts w:hint="eastAsia" w:ascii="方正仿宋_GBK" w:hAnsi="方正仿宋_GBK" w:eastAsia="方正仿宋_GBK" w:cs="方正仿宋_GBK"/>
          <w:i w:val="0"/>
          <w:iCs w:val="0"/>
          <w:color w:val="333333"/>
          <w:spacing w:val="0"/>
          <w:sz w:val="32"/>
          <w:szCs w:val="32"/>
          <w:shd w:val="clear" w:fill="FFFFFF"/>
          <w:lang w:val="en-US" w:eastAsia="zh-CN"/>
        </w:rPr>
        <w:t>2</w:t>
      </w:r>
      <w:r>
        <w:rPr>
          <w:rFonts w:hint="eastAsia" w:ascii="方正仿宋_GBK" w:hAnsi="方正仿宋_GBK" w:eastAsia="方正仿宋_GBK" w:cs="方正仿宋_GBK"/>
          <w:i w:val="0"/>
          <w:iCs w:val="0"/>
          <w:color w:val="333333"/>
          <w:spacing w:val="0"/>
          <w:sz w:val="32"/>
          <w:szCs w:val="32"/>
          <w:shd w:val="clear" w:fill="FFFFFF"/>
        </w:rPr>
        <w:t>年，高峰镇进一步规范细化政府信息公开工作检查考核制度，不断完善政务公开信息监督，确保公开信息和网站信息及时更新。</w:t>
      </w:r>
      <w:r>
        <w:rPr>
          <w:rFonts w:hint="eastAsia" w:ascii="方正仿宋_GBK" w:hAnsi="方正仿宋_GBK" w:eastAsia="方正仿宋_GBK" w:cs="方正仿宋_GBK"/>
          <w:i w:val="0"/>
          <w:iCs w:val="0"/>
          <w:color w:val="333333"/>
          <w:spacing w:val="0"/>
          <w:sz w:val="32"/>
          <w:szCs w:val="32"/>
        </w:rPr>
        <w:t>及时学习《中华人民共和国政府信息公开条例》等法规和上级有关会议、文件精神，并组织相关工作人员进行政府网站运行管理及政务公开业务知识学习，严格落实“三审三校”制度，切实增强依法公开、主动公开意识，进一步推动全镇政务公开工作有力有序开展。</w:t>
      </w:r>
    </w:p>
    <w:p>
      <w:pPr>
        <w:numPr>
          <w:ilvl w:val="0"/>
          <w:numId w:val="0"/>
        </w:numPr>
        <w:spacing w:beforeAutospacing="0" w:afterAutospacing="0" w:line="600" w:lineRule="exact"/>
        <w:ind w:firstLine="640" w:firstLineChars="200"/>
        <w:jc w:val="both"/>
        <w:rPr>
          <w:rFonts w:hint="eastAsia" w:ascii="方正仿宋_GBK" w:hAnsi="方正仿宋_GBK" w:eastAsia="方正仿宋_GBK" w:cs="方正仿宋_GBK"/>
          <w:i w:val="0"/>
          <w:iCs w:val="0"/>
          <w:color w:val="333333"/>
          <w:spacing w:val="0"/>
          <w:sz w:val="32"/>
          <w:szCs w:val="32"/>
          <w:shd w:val="clear" w:fill="FFFFFF"/>
          <w:lang w:val="en-US" w:eastAsia="zh-CN"/>
        </w:rPr>
      </w:pPr>
      <w:r>
        <w:rPr>
          <w:rFonts w:hint="eastAsia" w:ascii="方正楷体_GBK" w:hAnsi="方正楷体_GBK" w:eastAsia="方正楷体_GBK" w:cs="方正楷体_GBK"/>
          <w:i w:val="0"/>
          <w:iCs w:val="0"/>
          <w:color w:val="333333"/>
          <w:spacing w:val="0"/>
          <w:sz w:val="32"/>
          <w:szCs w:val="32"/>
          <w:lang w:eastAsia="zh-CN"/>
        </w:rPr>
        <w:t>（四）</w:t>
      </w:r>
      <w:r>
        <w:rPr>
          <w:rFonts w:hint="eastAsia" w:ascii="方正楷体_GBK" w:hAnsi="方正楷体_GBK" w:eastAsia="方正楷体_GBK" w:cs="方正楷体_GBK"/>
          <w:i w:val="0"/>
          <w:iCs w:val="0"/>
          <w:color w:val="333333"/>
          <w:spacing w:val="0"/>
          <w:sz w:val="32"/>
          <w:szCs w:val="32"/>
        </w:rPr>
        <w:t>政府信息公开平台建设。</w:t>
      </w:r>
      <w:r>
        <w:rPr>
          <w:rFonts w:hint="eastAsia" w:ascii="方正仿宋_GBK" w:hAnsi="方正仿宋_GBK" w:eastAsia="方正仿宋_GBK" w:cs="方正仿宋_GBK"/>
          <w:i w:val="0"/>
          <w:iCs w:val="0"/>
          <w:color w:val="333333"/>
          <w:spacing w:val="0"/>
          <w:sz w:val="32"/>
          <w:szCs w:val="32"/>
        </w:rPr>
        <w:t>一是定期进行网站平台的维护、更新，配合做好上级安全评估和审查；二是及时完善网站各个栏目，做到平台建设规范化；三是有效利用宣传栏、LED屏、公共服务大厅公告栏，方便群众了解政府动态、获取政务信息。畅通政府信息依申请公开渠道，依法保障公众合法权益，提升工作质量和实效</w:t>
      </w:r>
      <w:r>
        <w:rPr>
          <w:rFonts w:hint="eastAsia" w:ascii="方正仿宋_GBK" w:hAnsi="方正仿宋_GBK" w:eastAsia="方正仿宋_GBK" w:cs="方正仿宋_GBK"/>
          <w:i w:val="0"/>
          <w:iCs w:val="0"/>
          <w:color w:val="333333"/>
          <w:spacing w:val="0"/>
          <w:sz w:val="32"/>
          <w:szCs w:val="32"/>
          <w:lang w:eastAsia="zh-CN"/>
        </w:rPr>
        <w:t>。</w:t>
      </w:r>
    </w:p>
    <w:p>
      <w:pPr>
        <w:numPr>
          <w:ilvl w:val="0"/>
          <w:numId w:val="0"/>
        </w:numPr>
        <w:spacing w:beforeAutospacing="0" w:afterAutospacing="0" w:line="600" w:lineRule="exact"/>
        <w:ind w:firstLine="640" w:firstLineChars="200"/>
        <w:jc w:val="both"/>
        <w:rPr>
          <w:rFonts w:hint="eastAsia" w:ascii="方正仿宋_GBK" w:hAnsi="方正仿宋_GBK" w:eastAsia="方正仿宋_GBK" w:cs="方正仿宋_GBK"/>
          <w:i w:val="0"/>
          <w:iCs w:val="0"/>
          <w:color w:val="333333"/>
          <w:spacing w:val="0"/>
          <w:sz w:val="32"/>
          <w:szCs w:val="32"/>
          <w:shd w:val="clear" w:fill="FFFFFF"/>
          <w:lang w:val="en-US" w:eastAsia="zh-CN"/>
        </w:rPr>
      </w:pPr>
      <w:r>
        <w:rPr>
          <w:rFonts w:hint="eastAsia" w:ascii="方正楷体_GBK" w:hAnsi="方正楷体_GBK" w:eastAsia="方正楷体_GBK" w:cs="方正楷体_GBK"/>
          <w:i w:val="0"/>
          <w:iCs w:val="0"/>
          <w:color w:val="333333"/>
          <w:spacing w:val="0"/>
          <w:sz w:val="32"/>
          <w:szCs w:val="32"/>
          <w:lang w:eastAsia="zh-CN"/>
        </w:rPr>
        <w:t>（五）</w:t>
      </w:r>
      <w:r>
        <w:rPr>
          <w:rFonts w:hint="eastAsia" w:ascii="方正楷体_GBK" w:hAnsi="方正楷体_GBK" w:eastAsia="方正楷体_GBK" w:cs="方正楷体_GBK"/>
          <w:i w:val="0"/>
          <w:iCs w:val="0"/>
          <w:color w:val="333333"/>
          <w:spacing w:val="0"/>
          <w:sz w:val="32"/>
          <w:szCs w:val="32"/>
        </w:rPr>
        <w:t>强化监督保障</w:t>
      </w:r>
      <w:r>
        <w:rPr>
          <w:rFonts w:hint="eastAsia" w:ascii="方正楷体_GBK" w:hAnsi="方正楷体_GBK" w:eastAsia="方正楷体_GBK" w:cs="方正楷体_GBK"/>
          <w:i w:val="0"/>
          <w:iCs w:val="0"/>
          <w:color w:val="333333"/>
          <w:spacing w:val="0"/>
          <w:sz w:val="32"/>
          <w:szCs w:val="32"/>
          <w:lang w:eastAsia="zh-CN"/>
        </w:rPr>
        <w:t>。</w:t>
      </w:r>
      <w:r>
        <w:rPr>
          <w:rFonts w:hint="eastAsia" w:ascii="方正仿宋_GBK" w:hAnsi="方正仿宋_GBK" w:eastAsia="方正仿宋_GBK" w:cs="方正仿宋_GBK"/>
          <w:i w:val="0"/>
          <w:iCs w:val="0"/>
          <w:color w:val="333333"/>
          <w:spacing w:val="0"/>
          <w:sz w:val="32"/>
          <w:szCs w:val="32"/>
          <w:shd w:val="clear" w:fill="FFFFFF"/>
        </w:rPr>
        <w:t>强化做好政务公开工作的各项保障措施，完善监督体系</w:t>
      </w:r>
      <w:r>
        <w:rPr>
          <w:rFonts w:hint="eastAsia" w:ascii="方正仿宋_GBK" w:hAnsi="方正仿宋_GBK" w:eastAsia="方正仿宋_GBK" w:cs="方正仿宋_GBK"/>
          <w:i w:val="0"/>
          <w:iCs w:val="0"/>
          <w:color w:val="333333"/>
          <w:spacing w:val="0"/>
          <w:sz w:val="32"/>
          <w:szCs w:val="32"/>
        </w:rPr>
        <w:t>。一是成立领导小组，安排专人负责政务公开工作；二是完善公开制度，提高公开质量，建立完善政府信息公开机制；三是强化监督机制，确保公开到位。为了更加规范政务公开工作流程，我镇建立长效管理机制，把其纳入年终考核目标中，进一步规范各项流程操作，做到基础资料全面、真实，确保政务公开工作扎实有效地推进。</w:t>
      </w:r>
    </w:p>
    <w:p>
      <w:pPr>
        <w:spacing w:beforeAutospacing="0" w:afterAutospacing="0" w:line="600" w:lineRule="exact"/>
        <w:ind w:firstLine="640" w:firstLineChars="200"/>
        <w:jc w:val="both"/>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w:t>
      </w:r>
      <w:r>
        <w:rPr>
          <w:rFonts w:hint="eastAsia" w:ascii="方正黑体_GBK" w:hAnsi="方正黑体_GBK" w:eastAsia="方正黑体_GBK" w:cs="方正黑体_GBK"/>
          <w:i/>
          <w:iCs/>
          <w:color w:val="000000"/>
          <w:szCs w:val="32"/>
        </w:rPr>
        <w:t>、</w:t>
      </w:r>
      <w:r>
        <w:rPr>
          <w:rFonts w:hint="eastAsia" w:ascii="方正黑体_GBK" w:hAnsi="方正黑体_GBK" w:eastAsia="方正黑体_GBK" w:cs="方正黑体_GBK"/>
          <w:color w:val="000000"/>
          <w:szCs w:val="32"/>
        </w:rPr>
        <w:t>主动公开政府信息情况</w:t>
      </w:r>
    </w:p>
    <w:tbl>
      <w:tblPr>
        <w:tblStyle w:val="4"/>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jc w:val="both"/>
            </w:pPr>
            <w:r>
              <w:rPr>
                <w:rFonts w:hint="eastAsia" w:eastAsia="宋体" w:cs="宋体"/>
                <w:kern w:val="0"/>
                <w:sz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jc w:val="both"/>
            </w:pPr>
            <w:r>
              <w:rPr>
                <w:rFonts w:hint="eastAsia" w:eastAsia="宋体" w:cs="宋体"/>
                <w:kern w:val="0"/>
                <w:sz w:val="20"/>
                <w:lang w:bidi="ar"/>
              </w:rPr>
              <w:t>信息内容</w:t>
            </w:r>
          </w:p>
        </w:tc>
        <w:tc>
          <w:tcPr>
            <w:tcW w:w="2435" w:type="dxa"/>
            <w:noWrap w:val="0"/>
            <w:tcMar>
              <w:left w:w="57" w:type="dxa"/>
              <w:right w:w="57" w:type="dxa"/>
            </w:tcMar>
            <w:vAlign w:val="center"/>
          </w:tcPr>
          <w:p>
            <w:pPr>
              <w:jc w:val="both"/>
            </w:pPr>
            <w:r>
              <w:rPr>
                <w:rFonts w:hint="eastAsia" w:eastAsia="宋体" w:cs="宋体"/>
                <w:kern w:val="0"/>
                <w:sz w:val="20"/>
                <w:lang w:bidi="ar"/>
              </w:rPr>
              <w:t>本年制发件数</w:t>
            </w:r>
          </w:p>
        </w:tc>
        <w:tc>
          <w:tcPr>
            <w:tcW w:w="2435" w:type="dxa"/>
            <w:noWrap w:val="0"/>
            <w:tcMar>
              <w:left w:w="57" w:type="dxa"/>
              <w:right w:w="57" w:type="dxa"/>
            </w:tcMar>
            <w:vAlign w:val="center"/>
          </w:tcPr>
          <w:p>
            <w:pPr>
              <w:jc w:val="both"/>
            </w:pPr>
            <w:r>
              <w:rPr>
                <w:rFonts w:hint="eastAsia" w:eastAsia="宋体" w:cs="宋体"/>
                <w:kern w:val="0"/>
                <w:sz w:val="20"/>
                <w:lang w:bidi="ar"/>
              </w:rPr>
              <w:t>本年废止件数</w:t>
            </w:r>
          </w:p>
        </w:tc>
        <w:tc>
          <w:tcPr>
            <w:tcW w:w="2435" w:type="dxa"/>
            <w:noWrap w:val="0"/>
            <w:tcMar>
              <w:left w:w="57" w:type="dxa"/>
              <w:right w:w="57" w:type="dxa"/>
            </w:tcMar>
            <w:vAlign w:val="center"/>
          </w:tcPr>
          <w:p>
            <w:pPr>
              <w:jc w:val="both"/>
            </w:pPr>
            <w:r>
              <w:rPr>
                <w:rFonts w:hint="eastAsia" w:eastAsia="宋体" w:cs="宋体"/>
                <w:kern w:val="0"/>
                <w:sz w:val="20"/>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jc w:val="both"/>
            </w:pPr>
            <w:r>
              <w:rPr>
                <w:rFonts w:hint="eastAsia" w:eastAsia="宋体" w:cs="宋体"/>
                <w:kern w:val="0"/>
                <w:sz w:val="20"/>
                <w:lang w:bidi="ar"/>
              </w:rPr>
              <w:t>规章</w:t>
            </w:r>
          </w:p>
        </w:tc>
        <w:tc>
          <w:tcPr>
            <w:tcW w:w="2435" w:type="dxa"/>
            <w:noWrap w:val="0"/>
            <w:tcMar>
              <w:left w:w="57" w:type="dxa"/>
              <w:right w:w="57" w:type="dxa"/>
            </w:tcMar>
            <w:vAlign w:val="center"/>
          </w:tcPr>
          <w:p>
            <w:pPr>
              <w:jc w:val="both"/>
              <w:rPr>
                <w:rFonts w:hint="eastAsia" w:eastAsia="宋体"/>
                <w:lang w:val="en-US" w:eastAsia="zh-CN"/>
              </w:rPr>
            </w:pPr>
            <w:r>
              <w:rPr>
                <w:rFonts w:hint="eastAsia" w:eastAsia="宋体" w:cs="宋体"/>
                <w:kern w:val="0"/>
                <w:sz w:val="20"/>
                <w:lang w:bidi="ar"/>
              </w:rPr>
              <w:t>　　</w:t>
            </w:r>
            <w:r>
              <w:rPr>
                <w:rFonts w:hint="eastAsia" w:eastAsia="宋体" w:cs="宋体"/>
                <w:kern w:val="0"/>
                <w:sz w:val="20"/>
                <w:lang w:val="en-US" w:eastAsia="zh-CN" w:bidi="ar"/>
              </w:rPr>
              <w:t>0</w:t>
            </w:r>
          </w:p>
        </w:tc>
        <w:tc>
          <w:tcPr>
            <w:tcW w:w="2435" w:type="dxa"/>
            <w:noWrap w:val="0"/>
            <w:tcMar>
              <w:left w:w="57" w:type="dxa"/>
              <w:right w:w="57" w:type="dxa"/>
            </w:tcMar>
            <w:vAlign w:val="center"/>
          </w:tcPr>
          <w:p>
            <w:pPr>
              <w:jc w:val="both"/>
              <w:rPr>
                <w:rFonts w:hint="eastAsia" w:eastAsia="宋体"/>
                <w:lang w:val="en-US" w:eastAsia="zh-CN"/>
              </w:rPr>
            </w:pPr>
            <w:r>
              <w:rPr>
                <w:rFonts w:hint="eastAsia" w:eastAsia="宋体" w:cs="宋体"/>
                <w:kern w:val="0"/>
                <w:sz w:val="20"/>
                <w:lang w:bidi="ar"/>
              </w:rPr>
              <w:t> 　</w:t>
            </w:r>
            <w:r>
              <w:rPr>
                <w:rFonts w:hint="eastAsia" w:eastAsia="宋体" w:cs="宋体"/>
                <w:kern w:val="0"/>
                <w:sz w:val="20"/>
                <w:lang w:val="en-US" w:eastAsia="zh-CN" w:bidi="ar"/>
              </w:rPr>
              <w:t>0</w:t>
            </w:r>
          </w:p>
        </w:tc>
        <w:tc>
          <w:tcPr>
            <w:tcW w:w="2435" w:type="dxa"/>
            <w:noWrap w:val="0"/>
            <w:tcMar>
              <w:left w:w="57" w:type="dxa"/>
              <w:right w:w="57" w:type="dxa"/>
            </w:tcMar>
            <w:vAlign w:val="center"/>
          </w:tcPr>
          <w:p>
            <w:pPr>
              <w:jc w:val="both"/>
              <w:rPr>
                <w:rFonts w:hint="eastAsia" w:eastAsia="等线"/>
                <w:lang w:val="en-US" w:eastAsia="zh-CN"/>
              </w:rPr>
            </w:pPr>
            <w:r>
              <w:rPr>
                <w:rFonts w:eastAsia="等线" w:cs="Calibri"/>
                <w:kern w:val="0"/>
                <w:sz w:val="21"/>
                <w:szCs w:val="21"/>
                <w:lang w:bidi="ar"/>
              </w:rPr>
              <w:t> </w:t>
            </w:r>
            <w:r>
              <w:rPr>
                <w:rFonts w:hint="eastAsia" w:eastAsia="等线" w:cs="Calibri"/>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jc w:val="both"/>
            </w:pPr>
            <w:r>
              <w:rPr>
                <w:rFonts w:hint="eastAsia" w:eastAsia="宋体" w:cs="宋体"/>
                <w:kern w:val="0"/>
                <w:sz w:val="20"/>
                <w:lang w:bidi="ar"/>
              </w:rPr>
              <w:t>行政规范性文件</w:t>
            </w:r>
          </w:p>
        </w:tc>
        <w:tc>
          <w:tcPr>
            <w:tcW w:w="2435" w:type="dxa"/>
            <w:noWrap w:val="0"/>
            <w:tcMar>
              <w:left w:w="57" w:type="dxa"/>
              <w:right w:w="57" w:type="dxa"/>
            </w:tcMar>
            <w:vAlign w:val="center"/>
          </w:tcPr>
          <w:p>
            <w:pPr>
              <w:jc w:val="both"/>
              <w:rPr>
                <w:rFonts w:hint="eastAsia" w:eastAsia="宋体"/>
                <w:lang w:val="en-US" w:eastAsia="zh-CN"/>
              </w:rPr>
            </w:pPr>
            <w:r>
              <w:rPr>
                <w:rFonts w:hint="eastAsia" w:eastAsia="宋体" w:cs="宋体"/>
                <w:kern w:val="0"/>
                <w:sz w:val="20"/>
                <w:lang w:bidi="ar"/>
              </w:rPr>
              <w:t>　　</w:t>
            </w:r>
            <w:r>
              <w:rPr>
                <w:rFonts w:hint="eastAsia" w:eastAsia="宋体" w:cs="宋体"/>
                <w:kern w:val="0"/>
                <w:sz w:val="20"/>
                <w:lang w:val="en-US" w:eastAsia="zh-CN" w:bidi="ar"/>
              </w:rPr>
              <w:t>0</w:t>
            </w:r>
          </w:p>
        </w:tc>
        <w:tc>
          <w:tcPr>
            <w:tcW w:w="2435" w:type="dxa"/>
            <w:noWrap w:val="0"/>
            <w:tcMar>
              <w:left w:w="57" w:type="dxa"/>
              <w:right w:w="57" w:type="dxa"/>
            </w:tcMar>
            <w:vAlign w:val="center"/>
          </w:tcPr>
          <w:p>
            <w:pPr>
              <w:jc w:val="both"/>
              <w:rPr>
                <w:rFonts w:hint="eastAsia" w:eastAsia="宋体"/>
                <w:lang w:val="en-US" w:eastAsia="zh-CN"/>
              </w:rPr>
            </w:pPr>
            <w:r>
              <w:rPr>
                <w:rFonts w:hint="eastAsia" w:eastAsia="宋体" w:cs="宋体"/>
                <w:kern w:val="0"/>
                <w:sz w:val="20"/>
                <w:lang w:bidi="ar"/>
              </w:rPr>
              <w:t> 　</w:t>
            </w:r>
            <w:r>
              <w:rPr>
                <w:rFonts w:hint="eastAsia" w:eastAsia="宋体" w:cs="宋体"/>
                <w:kern w:val="0"/>
                <w:sz w:val="20"/>
                <w:lang w:val="en-US" w:eastAsia="zh-CN" w:bidi="ar"/>
              </w:rPr>
              <w:t>0</w:t>
            </w:r>
          </w:p>
        </w:tc>
        <w:tc>
          <w:tcPr>
            <w:tcW w:w="2435" w:type="dxa"/>
            <w:noWrap w:val="0"/>
            <w:tcMar>
              <w:left w:w="57" w:type="dxa"/>
              <w:right w:w="57" w:type="dxa"/>
            </w:tcMar>
            <w:vAlign w:val="center"/>
          </w:tcPr>
          <w:p>
            <w:pPr>
              <w:jc w:val="both"/>
              <w:rPr>
                <w:rFonts w:hint="eastAsia" w:eastAsia="等线"/>
                <w:lang w:val="en-US" w:eastAsia="zh-CN"/>
              </w:rPr>
            </w:pPr>
            <w:r>
              <w:rPr>
                <w:rFonts w:eastAsia="等线" w:cs="Calibri"/>
                <w:kern w:val="0"/>
                <w:sz w:val="21"/>
                <w:szCs w:val="21"/>
                <w:lang w:bidi="ar"/>
              </w:rPr>
              <w:t> </w:t>
            </w:r>
            <w:r>
              <w:rPr>
                <w:rFonts w:hint="eastAsia" w:eastAsia="等线" w:cs="Calibri"/>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jc w:val="both"/>
            </w:pPr>
            <w:r>
              <w:rPr>
                <w:rFonts w:hint="eastAsia" w:eastAsia="宋体" w:cs="宋体"/>
                <w:kern w:val="0"/>
                <w:sz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jc w:val="both"/>
            </w:pPr>
            <w:r>
              <w:rPr>
                <w:rFonts w:hint="eastAsia" w:eastAsia="宋体" w:cs="宋体"/>
                <w:kern w:val="0"/>
                <w:sz w:val="20"/>
                <w:lang w:bidi="ar"/>
              </w:rPr>
              <w:t>信息内容</w:t>
            </w:r>
          </w:p>
        </w:tc>
        <w:tc>
          <w:tcPr>
            <w:tcW w:w="7305" w:type="dxa"/>
            <w:gridSpan w:val="3"/>
            <w:shd w:val="clear" w:color="auto" w:fill="FFFFFF"/>
            <w:noWrap w:val="0"/>
            <w:tcMar>
              <w:left w:w="57" w:type="dxa"/>
              <w:right w:w="57" w:type="dxa"/>
            </w:tcMar>
            <w:vAlign w:val="center"/>
          </w:tcPr>
          <w:p>
            <w:pPr>
              <w:jc w:val="both"/>
            </w:pPr>
            <w:r>
              <w:rPr>
                <w:rFonts w:hint="eastAsia" w:eastAsia="宋体" w:cs="宋体"/>
                <w:kern w:val="0"/>
                <w:sz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jc w:val="both"/>
            </w:pPr>
            <w:r>
              <w:rPr>
                <w:rFonts w:hint="eastAsia" w:eastAsia="宋体" w:cs="宋体"/>
                <w:kern w:val="0"/>
                <w:sz w:val="20"/>
                <w:lang w:bidi="ar"/>
              </w:rPr>
              <w:t>行政许可</w:t>
            </w:r>
          </w:p>
        </w:tc>
        <w:tc>
          <w:tcPr>
            <w:tcW w:w="7305" w:type="dxa"/>
            <w:gridSpan w:val="3"/>
            <w:shd w:val="clear" w:color="auto" w:fill="FFFFFF"/>
            <w:noWrap w:val="0"/>
            <w:tcMar>
              <w:left w:w="57" w:type="dxa"/>
              <w:right w:w="57" w:type="dxa"/>
            </w:tcMar>
            <w:vAlign w:val="center"/>
          </w:tcPr>
          <w:p>
            <w:pPr>
              <w:jc w:val="both"/>
              <w:rPr>
                <w:rFonts w:hint="eastAsia" w:eastAsia="等线"/>
                <w:lang w:val="en-US" w:eastAsia="zh-CN"/>
              </w:rPr>
            </w:pPr>
            <w:r>
              <w:rPr>
                <w:rFonts w:eastAsia="等线" w:cs="Calibri"/>
                <w:kern w:val="0"/>
                <w:sz w:val="21"/>
                <w:szCs w:val="21"/>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jc w:val="both"/>
            </w:pPr>
            <w:r>
              <w:rPr>
                <w:rFonts w:hint="eastAsia" w:eastAsia="宋体" w:cs="宋体"/>
                <w:kern w:val="0"/>
                <w:sz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jc w:val="both"/>
            </w:pPr>
            <w:r>
              <w:rPr>
                <w:rFonts w:hint="eastAsia" w:eastAsia="宋体" w:cs="宋体"/>
                <w:kern w:val="0"/>
                <w:sz w:val="20"/>
                <w:lang w:bidi="ar"/>
              </w:rPr>
              <w:t>信息内容</w:t>
            </w:r>
          </w:p>
        </w:tc>
        <w:tc>
          <w:tcPr>
            <w:tcW w:w="7305" w:type="dxa"/>
            <w:gridSpan w:val="3"/>
            <w:shd w:val="clear" w:color="auto" w:fill="FFFFFF"/>
            <w:noWrap w:val="0"/>
            <w:tcMar>
              <w:left w:w="57" w:type="dxa"/>
              <w:right w:w="57" w:type="dxa"/>
            </w:tcMar>
            <w:vAlign w:val="center"/>
          </w:tcPr>
          <w:p>
            <w:pPr>
              <w:jc w:val="both"/>
            </w:pPr>
            <w:r>
              <w:rPr>
                <w:rFonts w:hint="eastAsia" w:eastAsia="宋体" w:cs="宋体"/>
                <w:kern w:val="0"/>
                <w:sz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jc w:val="both"/>
            </w:pPr>
            <w:r>
              <w:rPr>
                <w:rFonts w:hint="eastAsia" w:eastAsia="宋体" w:cs="宋体"/>
                <w:kern w:val="0"/>
                <w:sz w:val="20"/>
                <w:lang w:bidi="ar"/>
              </w:rPr>
              <w:t>行政处罚</w:t>
            </w:r>
          </w:p>
        </w:tc>
        <w:tc>
          <w:tcPr>
            <w:tcW w:w="7305" w:type="dxa"/>
            <w:gridSpan w:val="3"/>
            <w:shd w:val="clear" w:color="auto" w:fill="FFFFFF"/>
            <w:noWrap w:val="0"/>
            <w:tcMar>
              <w:left w:w="57" w:type="dxa"/>
              <w:right w:w="57" w:type="dxa"/>
            </w:tcMar>
            <w:vAlign w:val="center"/>
          </w:tcPr>
          <w:p>
            <w:pPr>
              <w:jc w:val="both"/>
              <w:rPr>
                <w:rFonts w:hint="eastAsia" w:eastAsia="宋体"/>
                <w:lang w:val="en-US" w:eastAsia="zh-CN"/>
              </w:rPr>
            </w:pPr>
            <w:r>
              <w:rPr>
                <w:rFonts w:hint="eastAsia" w:eastAsia="宋体" w:cs="宋体"/>
                <w:kern w:val="0"/>
                <w:sz w:val="20"/>
                <w:lang w:bidi="ar"/>
              </w:rPr>
              <w:t>　</w:t>
            </w:r>
            <w:r>
              <w:rPr>
                <w:rFonts w:hint="eastAsia" w:eastAsia="宋体" w:cs="宋体"/>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jc w:val="both"/>
            </w:pPr>
            <w:r>
              <w:rPr>
                <w:rFonts w:hint="eastAsia" w:eastAsia="宋体" w:cs="宋体"/>
                <w:kern w:val="0"/>
                <w:sz w:val="20"/>
                <w:lang w:bidi="ar"/>
              </w:rPr>
              <w:t>行政强制</w:t>
            </w:r>
          </w:p>
        </w:tc>
        <w:tc>
          <w:tcPr>
            <w:tcW w:w="7305" w:type="dxa"/>
            <w:gridSpan w:val="3"/>
            <w:shd w:val="clear" w:color="auto" w:fill="FFFFFF"/>
            <w:noWrap w:val="0"/>
            <w:tcMar>
              <w:left w:w="57" w:type="dxa"/>
              <w:right w:w="57" w:type="dxa"/>
            </w:tcMar>
            <w:vAlign w:val="center"/>
          </w:tcPr>
          <w:p>
            <w:pPr>
              <w:jc w:val="both"/>
              <w:rPr>
                <w:rFonts w:hint="eastAsia" w:eastAsia="宋体"/>
                <w:lang w:val="en-US" w:eastAsia="zh-CN"/>
              </w:rPr>
            </w:pPr>
            <w:r>
              <w:rPr>
                <w:rFonts w:hint="eastAsia" w:eastAsia="宋体" w:cs="宋体"/>
                <w:kern w:val="0"/>
                <w:sz w:val="20"/>
                <w:lang w:bidi="ar"/>
              </w:rPr>
              <w:t>　</w:t>
            </w:r>
            <w:r>
              <w:rPr>
                <w:rFonts w:hint="eastAsia" w:eastAsia="宋体" w:cs="宋体"/>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jc w:val="both"/>
            </w:pPr>
            <w:r>
              <w:rPr>
                <w:rFonts w:hint="eastAsia" w:eastAsia="宋体" w:cs="宋体"/>
                <w:kern w:val="0"/>
                <w:sz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jc w:val="both"/>
            </w:pPr>
            <w:r>
              <w:rPr>
                <w:rFonts w:hint="eastAsia" w:eastAsia="宋体" w:cs="宋体"/>
                <w:kern w:val="0"/>
                <w:sz w:val="20"/>
                <w:lang w:bidi="ar"/>
              </w:rPr>
              <w:t>信息内容</w:t>
            </w:r>
          </w:p>
        </w:tc>
        <w:tc>
          <w:tcPr>
            <w:tcW w:w="7305" w:type="dxa"/>
            <w:gridSpan w:val="3"/>
            <w:shd w:val="clear" w:color="auto" w:fill="FFFFFF"/>
            <w:noWrap w:val="0"/>
            <w:tcMar>
              <w:left w:w="57" w:type="dxa"/>
              <w:right w:w="57" w:type="dxa"/>
            </w:tcMar>
            <w:vAlign w:val="center"/>
          </w:tcPr>
          <w:p>
            <w:pPr>
              <w:jc w:val="both"/>
            </w:pPr>
            <w:r>
              <w:rPr>
                <w:rFonts w:hint="eastAsia" w:eastAsia="宋体" w:cs="宋体"/>
                <w:kern w:val="0"/>
                <w:sz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jc w:val="both"/>
            </w:pPr>
            <w:r>
              <w:rPr>
                <w:rFonts w:hint="eastAsia" w:eastAsia="宋体" w:cs="宋体"/>
                <w:kern w:val="0"/>
                <w:sz w:val="20"/>
                <w:lang w:bidi="ar"/>
              </w:rPr>
              <w:t>行政事业性收费</w:t>
            </w:r>
          </w:p>
        </w:tc>
        <w:tc>
          <w:tcPr>
            <w:tcW w:w="7305" w:type="dxa"/>
            <w:gridSpan w:val="3"/>
            <w:shd w:val="clear" w:color="auto" w:fill="FFFFFF"/>
            <w:noWrap w:val="0"/>
            <w:tcMar>
              <w:left w:w="57" w:type="dxa"/>
              <w:right w:w="57" w:type="dxa"/>
            </w:tcMar>
            <w:vAlign w:val="center"/>
          </w:tcPr>
          <w:p>
            <w:pPr>
              <w:jc w:val="both"/>
              <w:rPr>
                <w:rFonts w:hint="eastAsia" w:eastAsia="方正仿宋_GBK"/>
                <w:sz w:val="24"/>
                <w:szCs w:val="24"/>
                <w:lang w:val="en-US" w:eastAsia="zh-CN"/>
              </w:rPr>
            </w:pPr>
            <w:r>
              <w:rPr>
                <w:rFonts w:hint="eastAsia"/>
                <w:sz w:val="24"/>
                <w:szCs w:val="24"/>
                <w:lang w:val="en-US" w:eastAsia="zh-CN"/>
              </w:rPr>
              <w:t>0</w:t>
            </w:r>
          </w:p>
        </w:tc>
      </w:tr>
    </w:tbl>
    <w:p>
      <w:pPr>
        <w:spacing w:beforeAutospacing="0" w:afterAutospacing="0" w:line="600" w:lineRule="exact"/>
        <w:ind w:firstLine="640" w:firstLineChars="200"/>
        <w:jc w:val="both"/>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三、收到和处理政府信息公开申请情况</w:t>
      </w:r>
    </w:p>
    <w:tbl>
      <w:tblPr>
        <w:tblStyle w:val="4"/>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vMerge w:val="restart"/>
            <w:noWrap w:val="0"/>
            <w:tcMar>
              <w:left w:w="108" w:type="dxa"/>
              <w:right w:w="108" w:type="dxa"/>
            </w:tcMar>
            <w:vAlign w:val="center"/>
          </w:tcPr>
          <w:p>
            <w:pPr>
              <w:jc w:val="both"/>
              <w:rPr>
                <w:color w:val="000000"/>
              </w:rPr>
            </w:pPr>
            <w:r>
              <w:rPr>
                <w:rFonts w:eastAsia="楷体" w:cs="楷体"/>
                <w:color w:val="000000"/>
                <w:kern w:val="0"/>
                <w:sz w:val="20"/>
                <w:lang w:bidi="ar"/>
              </w:rPr>
              <w:t>（本列数据的勾稽关系为：第一项加第二项之和，等于第三项加第四项之和）</w:t>
            </w:r>
          </w:p>
        </w:tc>
        <w:tc>
          <w:tcPr>
            <w:tcW w:w="4998" w:type="dxa"/>
            <w:gridSpan w:val="7"/>
            <w:noWrap w:val="0"/>
            <w:tcMar>
              <w:left w:w="57" w:type="dxa"/>
              <w:right w:w="57" w:type="dxa"/>
            </w:tcMar>
            <w:vAlign w:val="center"/>
          </w:tcPr>
          <w:p>
            <w:pPr>
              <w:jc w:val="both"/>
              <w:rPr>
                <w:color w:val="000000"/>
              </w:rPr>
            </w:pPr>
            <w:r>
              <w:rPr>
                <w:rFonts w:hint="eastAsia" w:eastAsia="宋体" w:cs="宋体"/>
                <w:color w:val="000000"/>
                <w:kern w:val="0"/>
                <w:sz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vMerge w:val="continue"/>
            <w:noWrap w:val="0"/>
            <w:tcMar>
              <w:left w:w="108" w:type="dxa"/>
              <w:right w:w="108" w:type="dxa"/>
            </w:tcMar>
            <w:vAlign w:val="center"/>
          </w:tcPr>
          <w:p>
            <w:pPr>
              <w:jc w:val="both"/>
              <w:rPr>
                <w:color w:val="000000"/>
                <w:sz w:val="24"/>
                <w:szCs w:val="24"/>
              </w:rPr>
            </w:pPr>
          </w:p>
        </w:tc>
        <w:tc>
          <w:tcPr>
            <w:tcW w:w="714" w:type="dxa"/>
            <w:vMerge w:val="restart"/>
            <w:noWrap w:val="0"/>
            <w:tcMar>
              <w:left w:w="57" w:type="dxa"/>
              <w:right w:w="57" w:type="dxa"/>
            </w:tcMar>
            <w:vAlign w:val="center"/>
          </w:tcPr>
          <w:p>
            <w:pPr>
              <w:jc w:val="both"/>
              <w:rPr>
                <w:color w:val="000000"/>
              </w:rPr>
            </w:pPr>
            <w:r>
              <w:rPr>
                <w:rFonts w:hint="eastAsia" w:eastAsia="宋体" w:cs="宋体"/>
                <w:color w:val="000000"/>
                <w:kern w:val="0"/>
                <w:sz w:val="20"/>
                <w:lang w:bidi="ar"/>
              </w:rPr>
              <w:t>自然人</w:t>
            </w:r>
          </w:p>
        </w:tc>
        <w:tc>
          <w:tcPr>
            <w:tcW w:w="3570" w:type="dxa"/>
            <w:gridSpan w:val="5"/>
            <w:noWrap w:val="0"/>
            <w:tcMar>
              <w:left w:w="57" w:type="dxa"/>
              <w:right w:w="57" w:type="dxa"/>
            </w:tcMar>
            <w:vAlign w:val="center"/>
          </w:tcPr>
          <w:p>
            <w:pPr>
              <w:jc w:val="both"/>
              <w:rPr>
                <w:color w:val="000000"/>
              </w:rPr>
            </w:pPr>
            <w:r>
              <w:rPr>
                <w:rFonts w:hint="eastAsia" w:eastAsia="宋体" w:cs="宋体"/>
                <w:color w:val="000000"/>
                <w:kern w:val="0"/>
                <w:sz w:val="20"/>
                <w:lang w:bidi="ar"/>
              </w:rPr>
              <w:t>法人或其他组织</w:t>
            </w:r>
          </w:p>
        </w:tc>
        <w:tc>
          <w:tcPr>
            <w:tcW w:w="714" w:type="dxa"/>
            <w:vMerge w:val="restart"/>
            <w:noWrap w:val="0"/>
            <w:tcMar>
              <w:left w:w="57" w:type="dxa"/>
              <w:right w:w="57" w:type="dxa"/>
            </w:tcMar>
            <w:vAlign w:val="center"/>
          </w:tcPr>
          <w:p>
            <w:pPr>
              <w:jc w:val="both"/>
              <w:rPr>
                <w:color w:val="000000"/>
              </w:rPr>
            </w:pPr>
            <w:r>
              <w:rPr>
                <w:rFonts w:hint="eastAsia" w:eastAsia="宋体" w:cs="宋体"/>
                <w:color w:val="000000"/>
                <w:kern w:val="0"/>
                <w:sz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vMerge w:val="continue"/>
            <w:noWrap w:val="0"/>
            <w:tcMar>
              <w:left w:w="108" w:type="dxa"/>
              <w:right w:w="108" w:type="dxa"/>
            </w:tcMar>
            <w:vAlign w:val="center"/>
          </w:tcPr>
          <w:p>
            <w:pPr>
              <w:jc w:val="both"/>
              <w:rPr>
                <w:color w:val="000000"/>
                <w:sz w:val="24"/>
                <w:szCs w:val="24"/>
              </w:rPr>
            </w:pPr>
          </w:p>
        </w:tc>
        <w:tc>
          <w:tcPr>
            <w:tcW w:w="714" w:type="dxa"/>
            <w:vMerge w:val="continue"/>
            <w:noWrap w:val="0"/>
            <w:tcMar>
              <w:left w:w="57" w:type="dxa"/>
              <w:right w:w="57" w:type="dxa"/>
            </w:tcMar>
            <w:vAlign w:val="center"/>
          </w:tcPr>
          <w:p>
            <w:pPr>
              <w:jc w:val="both"/>
              <w:rPr>
                <w:color w:val="000000"/>
                <w:sz w:val="24"/>
                <w:szCs w:val="24"/>
              </w:rPr>
            </w:pPr>
          </w:p>
        </w:tc>
        <w:tc>
          <w:tcPr>
            <w:tcW w:w="714" w:type="dxa"/>
            <w:noWrap w:val="0"/>
            <w:tcMar>
              <w:left w:w="57" w:type="dxa"/>
              <w:right w:w="57" w:type="dxa"/>
            </w:tcMar>
            <w:vAlign w:val="center"/>
          </w:tcPr>
          <w:p>
            <w:pPr>
              <w:jc w:val="both"/>
              <w:rPr>
                <w:color w:val="000000"/>
              </w:rPr>
            </w:pPr>
            <w:r>
              <w:rPr>
                <w:rFonts w:hint="eastAsia" w:eastAsia="宋体" w:cs="宋体"/>
                <w:color w:val="000000"/>
                <w:kern w:val="0"/>
                <w:sz w:val="20"/>
                <w:lang w:bidi="ar"/>
              </w:rPr>
              <w:t>商业</w:t>
            </w:r>
          </w:p>
          <w:p>
            <w:pPr>
              <w:jc w:val="both"/>
              <w:rPr>
                <w:color w:val="000000"/>
              </w:rPr>
            </w:pPr>
            <w:r>
              <w:rPr>
                <w:rFonts w:hint="eastAsia" w:eastAsia="宋体" w:cs="宋体"/>
                <w:color w:val="000000"/>
                <w:kern w:val="0"/>
                <w:sz w:val="20"/>
                <w:lang w:bidi="ar"/>
              </w:rPr>
              <w:t>企业</w:t>
            </w:r>
          </w:p>
        </w:tc>
        <w:tc>
          <w:tcPr>
            <w:tcW w:w="714" w:type="dxa"/>
            <w:noWrap w:val="0"/>
            <w:tcMar>
              <w:left w:w="57" w:type="dxa"/>
              <w:right w:w="57" w:type="dxa"/>
            </w:tcMar>
            <w:vAlign w:val="center"/>
          </w:tcPr>
          <w:p>
            <w:pPr>
              <w:jc w:val="both"/>
              <w:rPr>
                <w:color w:val="000000"/>
              </w:rPr>
            </w:pPr>
            <w:r>
              <w:rPr>
                <w:rFonts w:hint="eastAsia" w:eastAsia="宋体" w:cs="宋体"/>
                <w:color w:val="000000"/>
                <w:kern w:val="0"/>
                <w:sz w:val="20"/>
                <w:lang w:bidi="ar"/>
              </w:rPr>
              <w:t>科研</w:t>
            </w:r>
          </w:p>
          <w:p>
            <w:pPr>
              <w:jc w:val="both"/>
              <w:rPr>
                <w:color w:val="000000"/>
              </w:rPr>
            </w:pPr>
            <w:r>
              <w:rPr>
                <w:rFonts w:hint="eastAsia" w:eastAsia="宋体" w:cs="宋体"/>
                <w:color w:val="000000"/>
                <w:kern w:val="0"/>
                <w:sz w:val="20"/>
                <w:lang w:bidi="ar"/>
              </w:rPr>
              <w:t>机构</w:t>
            </w:r>
          </w:p>
        </w:tc>
        <w:tc>
          <w:tcPr>
            <w:tcW w:w="714" w:type="dxa"/>
            <w:noWrap w:val="0"/>
            <w:tcMar>
              <w:left w:w="57" w:type="dxa"/>
              <w:right w:w="57" w:type="dxa"/>
            </w:tcMar>
            <w:vAlign w:val="center"/>
          </w:tcPr>
          <w:p>
            <w:pPr>
              <w:jc w:val="both"/>
              <w:rPr>
                <w:color w:val="000000"/>
              </w:rPr>
            </w:pPr>
            <w:r>
              <w:rPr>
                <w:rFonts w:hint="eastAsia" w:eastAsia="宋体" w:cs="宋体"/>
                <w:color w:val="000000"/>
                <w:kern w:val="0"/>
                <w:sz w:val="20"/>
                <w:lang w:bidi="ar"/>
              </w:rPr>
              <w:t>社会公益组织</w:t>
            </w:r>
          </w:p>
        </w:tc>
        <w:tc>
          <w:tcPr>
            <w:tcW w:w="714" w:type="dxa"/>
            <w:noWrap w:val="0"/>
            <w:tcMar>
              <w:left w:w="57" w:type="dxa"/>
              <w:right w:w="57" w:type="dxa"/>
            </w:tcMar>
            <w:vAlign w:val="center"/>
          </w:tcPr>
          <w:p>
            <w:pPr>
              <w:jc w:val="both"/>
              <w:rPr>
                <w:color w:val="000000"/>
              </w:rPr>
            </w:pPr>
            <w:r>
              <w:rPr>
                <w:rFonts w:hint="eastAsia" w:eastAsia="宋体" w:cs="宋体"/>
                <w:color w:val="000000"/>
                <w:kern w:val="0"/>
                <w:sz w:val="20"/>
                <w:lang w:bidi="ar"/>
              </w:rPr>
              <w:t>法律服务机构</w:t>
            </w:r>
          </w:p>
        </w:tc>
        <w:tc>
          <w:tcPr>
            <w:tcW w:w="714" w:type="dxa"/>
            <w:noWrap w:val="0"/>
            <w:tcMar>
              <w:left w:w="57" w:type="dxa"/>
              <w:right w:w="57" w:type="dxa"/>
            </w:tcMar>
            <w:vAlign w:val="center"/>
          </w:tcPr>
          <w:p>
            <w:pPr>
              <w:jc w:val="both"/>
              <w:rPr>
                <w:color w:val="000000"/>
              </w:rPr>
            </w:pPr>
            <w:r>
              <w:rPr>
                <w:rFonts w:hint="eastAsia" w:eastAsia="宋体" w:cs="宋体"/>
                <w:color w:val="000000"/>
                <w:kern w:val="0"/>
                <w:sz w:val="20"/>
                <w:lang w:bidi="ar"/>
              </w:rPr>
              <w:t>其他</w:t>
            </w:r>
          </w:p>
        </w:tc>
        <w:tc>
          <w:tcPr>
            <w:tcW w:w="714" w:type="dxa"/>
            <w:vMerge w:val="continue"/>
            <w:noWrap w:val="0"/>
            <w:tcMar>
              <w:left w:w="57" w:type="dxa"/>
              <w:right w:w="57" w:type="dxa"/>
            </w:tcMar>
            <w:vAlign w:val="center"/>
          </w:tcPr>
          <w:p>
            <w:pPr>
              <w:jc w:val="both"/>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noWrap w:val="0"/>
            <w:tcMar>
              <w:left w:w="57" w:type="dxa"/>
              <w:right w:w="57" w:type="dxa"/>
            </w:tcMar>
            <w:vAlign w:val="center"/>
          </w:tcPr>
          <w:p>
            <w:pPr>
              <w:jc w:val="both"/>
              <w:rPr>
                <w:color w:val="000000"/>
              </w:rPr>
            </w:pPr>
            <w:r>
              <w:rPr>
                <w:rFonts w:hint="eastAsia" w:eastAsia="宋体" w:cs="宋体"/>
                <w:color w:val="000000"/>
                <w:kern w:val="0"/>
                <w:sz w:val="20"/>
                <w:lang w:bidi="ar"/>
              </w:rPr>
              <w:t>一、本年新收政府信息公开申请数量</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default"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noWrap w:val="0"/>
            <w:tcMar>
              <w:left w:w="57" w:type="dxa"/>
              <w:right w:w="57" w:type="dxa"/>
            </w:tcMar>
            <w:vAlign w:val="center"/>
          </w:tcPr>
          <w:p>
            <w:pPr>
              <w:jc w:val="both"/>
              <w:rPr>
                <w:color w:val="000000"/>
              </w:rPr>
            </w:pPr>
            <w:r>
              <w:rPr>
                <w:rFonts w:hint="eastAsia" w:eastAsia="宋体" w:cs="宋体"/>
                <w:color w:val="000000"/>
                <w:kern w:val="0"/>
                <w:sz w:val="20"/>
                <w:lang w:bidi="ar"/>
              </w:rPr>
              <w:t>二、上年结转政府信息公开申请数量</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default"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restart"/>
            <w:noWrap w:val="0"/>
            <w:tcMar>
              <w:left w:w="57" w:type="dxa"/>
              <w:right w:w="57" w:type="dxa"/>
            </w:tcMar>
            <w:vAlign w:val="center"/>
          </w:tcPr>
          <w:p>
            <w:pPr>
              <w:jc w:val="both"/>
              <w:rPr>
                <w:color w:val="000000"/>
              </w:rPr>
            </w:pPr>
            <w:r>
              <w:rPr>
                <w:rFonts w:hint="eastAsia" w:eastAsia="宋体" w:cs="宋体"/>
                <w:color w:val="000000"/>
                <w:kern w:val="0"/>
                <w:sz w:val="20"/>
                <w:lang w:bidi="ar"/>
              </w:rPr>
              <w:t>三、本年度办理结果</w:t>
            </w:r>
          </w:p>
        </w:tc>
        <w:tc>
          <w:tcPr>
            <w:tcW w:w="4365" w:type="dxa"/>
            <w:gridSpan w:val="2"/>
            <w:noWrap w:val="0"/>
            <w:tcMar>
              <w:left w:w="57" w:type="dxa"/>
              <w:right w:w="57" w:type="dxa"/>
            </w:tcMar>
            <w:vAlign w:val="center"/>
          </w:tcPr>
          <w:p>
            <w:pPr>
              <w:jc w:val="both"/>
              <w:rPr>
                <w:color w:val="000000"/>
              </w:rPr>
            </w:pPr>
            <w:r>
              <w:rPr>
                <w:rFonts w:hint="eastAsia" w:eastAsia="宋体" w:cs="宋体"/>
                <w:color w:val="000000"/>
                <w:kern w:val="0"/>
                <w:sz w:val="20"/>
                <w:lang w:bidi="ar"/>
              </w:rPr>
              <w:t>（一）予以公开</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jc w:val="both"/>
              <w:rPr>
                <w:color w:val="000000"/>
                <w:sz w:val="24"/>
                <w:szCs w:val="24"/>
              </w:rPr>
            </w:pPr>
          </w:p>
        </w:tc>
        <w:tc>
          <w:tcPr>
            <w:tcW w:w="4365" w:type="dxa"/>
            <w:gridSpan w:val="2"/>
            <w:noWrap w:val="0"/>
            <w:tcMar>
              <w:left w:w="57" w:type="dxa"/>
              <w:right w:w="57" w:type="dxa"/>
            </w:tcMar>
            <w:vAlign w:val="center"/>
          </w:tcPr>
          <w:p>
            <w:pPr>
              <w:jc w:val="both"/>
              <w:rPr>
                <w:color w:val="000000"/>
              </w:rPr>
            </w:pPr>
            <w:r>
              <w:rPr>
                <w:rFonts w:hint="eastAsia" w:eastAsia="宋体" w:cs="宋体"/>
                <w:color w:val="000000"/>
                <w:kern w:val="0"/>
                <w:sz w:val="20"/>
                <w:lang w:bidi="ar"/>
              </w:rPr>
              <w:t>（二）部分公开</w:t>
            </w:r>
            <w:r>
              <w:rPr>
                <w:rFonts w:eastAsia="楷体" w:cs="楷体"/>
                <w:color w:val="000000"/>
                <w:kern w:val="0"/>
                <w:sz w:val="20"/>
                <w:lang w:bidi="ar"/>
              </w:rPr>
              <w:t>（区分处理的，只计这一情形，不计其他情形）</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default"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jc w:val="both"/>
              <w:rPr>
                <w:color w:val="000000"/>
                <w:sz w:val="24"/>
                <w:szCs w:val="24"/>
              </w:rPr>
            </w:pPr>
          </w:p>
        </w:tc>
        <w:tc>
          <w:tcPr>
            <w:tcW w:w="959" w:type="dxa"/>
            <w:vMerge w:val="restart"/>
            <w:noWrap w:val="0"/>
            <w:tcMar>
              <w:left w:w="57" w:type="dxa"/>
              <w:right w:w="57" w:type="dxa"/>
            </w:tcMar>
            <w:vAlign w:val="center"/>
          </w:tcPr>
          <w:p>
            <w:pPr>
              <w:jc w:val="both"/>
              <w:rPr>
                <w:color w:val="000000"/>
              </w:rPr>
            </w:pPr>
            <w:r>
              <w:rPr>
                <w:rFonts w:hint="eastAsia" w:eastAsia="宋体" w:cs="宋体"/>
                <w:color w:val="000000"/>
                <w:kern w:val="0"/>
                <w:sz w:val="20"/>
                <w:lang w:bidi="ar"/>
              </w:rPr>
              <w:t>（三）不予公开</w:t>
            </w:r>
          </w:p>
        </w:tc>
        <w:tc>
          <w:tcPr>
            <w:tcW w:w="3406" w:type="dxa"/>
            <w:noWrap w:val="0"/>
            <w:tcMar>
              <w:left w:w="57" w:type="dxa"/>
              <w:right w:w="57" w:type="dxa"/>
            </w:tcMar>
            <w:vAlign w:val="top"/>
          </w:tcPr>
          <w:p>
            <w:pPr>
              <w:jc w:val="both"/>
              <w:rPr>
                <w:color w:val="000000"/>
              </w:rPr>
            </w:pPr>
            <w:r>
              <w:rPr>
                <w:rFonts w:hint="eastAsia" w:eastAsia="宋体" w:cs="宋体"/>
                <w:color w:val="000000"/>
                <w:kern w:val="0"/>
                <w:sz w:val="20"/>
                <w:lang w:bidi="ar"/>
              </w:rPr>
              <w:t>1.属于国家秘密</w:t>
            </w:r>
          </w:p>
        </w:tc>
        <w:tc>
          <w:tcPr>
            <w:tcW w:w="714" w:type="dxa"/>
            <w:noWrap w:val="0"/>
            <w:tcMar>
              <w:left w:w="57" w:type="dxa"/>
              <w:right w:w="57" w:type="dxa"/>
            </w:tcMar>
            <w:vAlign w:val="top"/>
          </w:tcPr>
          <w:p>
            <w:pPr>
              <w:jc w:val="both"/>
              <w:rPr>
                <w:color w:val="000000"/>
              </w:rPr>
            </w:pPr>
            <w:r>
              <w:rPr>
                <w:rFonts w:hint="eastAsia" w:eastAsia="等线" w:cs="Calibri"/>
                <w:color w:val="000000"/>
                <w:kern w:val="0"/>
                <w:sz w:val="20"/>
                <w:lang w:val="en-US" w:eastAsia="zh-CN" w:bidi="ar"/>
              </w:rPr>
              <w:t>0</w:t>
            </w:r>
            <w:r>
              <w:rPr>
                <w:rFonts w:eastAsia="等线" w:cs="Calibri"/>
                <w:color w:val="000000"/>
                <w:kern w:val="0"/>
                <w:sz w:val="20"/>
                <w:lang w:bidi="ar"/>
              </w:rPr>
              <w:t> </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jc w:val="both"/>
              <w:rPr>
                <w:color w:val="000000"/>
                <w:sz w:val="24"/>
                <w:szCs w:val="24"/>
              </w:rPr>
            </w:pPr>
          </w:p>
        </w:tc>
        <w:tc>
          <w:tcPr>
            <w:tcW w:w="959" w:type="dxa"/>
            <w:vMerge w:val="continue"/>
            <w:noWrap w:val="0"/>
            <w:tcMar>
              <w:left w:w="57" w:type="dxa"/>
              <w:right w:w="57" w:type="dxa"/>
            </w:tcMar>
            <w:vAlign w:val="center"/>
          </w:tcPr>
          <w:p>
            <w:pPr>
              <w:jc w:val="both"/>
              <w:rPr>
                <w:color w:val="000000"/>
                <w:sz w:val="24"/>
                <w:szCs w:val="24"/>
              </w:rPr>
            </w:pPr>
          </w:p>
        </w:tc>
        <w:tc>
          <w:tcPr>
            <w:tcW w:w="3406" w:type="dxa"/>
            <w:noWrap w:val="0"/>
            <w:tcMar>
              <w:left w:w="57" w:type="dxa"/>
              <w:right w:w="57" w:type="dxa"/>
            </w:tcMar>
            <w:vAlign w:val="top"/>
          </w:tcPr>
          <w:p>
            <w:pPr>
              <w:jc w:val="both"/>
              <w:rPr>
                <w:color w:val="000000"/>
              </w:rPr>
            </w:pPr>
            <w:r>
              <w:rPr>
                <w:rFonts w:hint="eastAsia" w:eastAsia="宋体" w:cs="宋体"/>
                <w:color w:val="000000"/>
                <w:kern w:val="0"/>
                <w:sz w:val="20"/>
                <w:lang w:bidi="ar"/>
              </w:rPr>
              <w:t>2.其他法律行政法规禁止公开</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default"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jc w:val="both"/>
              <w:rPr>
                <w:color w:val="000000"/>
                <w:sz w:val="24"/>
                <w:szCs w:val="24"/>
              </w:rPr>
            </w:pPr>
          </w:p>
        </w:tc>
        <w:tc>
          <w:tcPr>
            <w:tcW w:w="959" w:type="dxa"/>
            <w:vMerge w:val="continue"/>
            <w:noWrap w:val="0"/>
            <w:tcMar>
              <w:left w:w="57" w:type="dxa"/>
              <w:right w:w="57" w:type="dxa"/>
            </w:tcMar>
            <w:vAlign w:val="center"/>
          </w:tcPr>
          <w:p>
            <w:pPr>
              <w:jc w:val="both"/>
              <w:rPr>
                <w:color w:val="000000"/>
                <w:sz w:val="24"/>
                <w:szCs w:val="24"/>
              </w:rPr>
            </w:pPr>
          </w:p>
        </w:tc>
        <w:tc>
          <w:tcPr>
            <w:tcW w:w="3406" w:type="dxa"/>
            <w:noWrap w:val="0"/>
            <w:tcMar>
              <w:left w:w="57" w:type="dxa"/>
              <w:right w:w="57" w:type="dxa"/>
            </w:tcMar>
            <w:vAlign w:val="top"/>
          </w:tcPr>
          <w:p>
            <w:pPr>
              <w:jc w:val="both"/>
              <w:rPr>
                <w:color w:val="000000"/>
              </w:rPr>
            </w:pPr>
            <w:r>
              <w:rPr>
                <w:rFonts w:hint="eastAsia" w:eastAsia="宋体" w:cs="宋体"/>
                <w:color w:val="000000"/>
                <w:kern w:val="0"/>
                <w:sz w:val="20"/>
                <w:lang w:bidi="ar"/>
              </w:rPr>
              <w:t>3.危及“三安全一稳定”</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jc w:val="both"/>
              <w:rPr>
                <w:color w:val="000000"/>
                <w:sz w:val="24"/>
                <w:szCs w:val="24"/>
              </w:rPr>
            </w:pPr>
          </w:p>
        </w:tc>
        <w:tc>
          <w:tcPr>
            <w:tcW w:w="959" w:type="dxa"/>
            <w:vMerge w:val="continue"/>
            <w:noWrap w:val="0"/>
            <w:tcMar>
              <w:left w:w="57" w:type="dxa"/>
              <w:right w:w="57" w:type="dxa"/>
            </w:tcMar>
            <w:vAlign w:val="center"/>
          </w:tcPr>
          <w:p>
            <w:pPr>
              <w:jc w:val="both"/>
              <w:rPr>
                <w:color w:val="000000"/>
                <w:sz w:val="24"/>
                <w:szCs w:val="24"/>
              </w:rPr>
            </w:pPr>
          </w:p>
        </w:tc>
        <w:tc>
          <w:tcPr>
            <w:tcW w:w="3406" w:type="dxa"/>
            <w:noWrap w:val="0"/>
            <w:tcMar>
              <w:left w:w="57" w:type="dxa"/>
              <w:right w:w="57" w:type="dxa"/>
            </w:tcMar>
            <w:vAlign w:val="top"/>
          </w:tcPr>
          <w:p>
            <w:pPr>
              <w:jc w:val="both"/>
              <w:rPr>
                <w:color w:val="000000"/>
              </w:rPr>
            </w:pPr>
            <w:r>
              <w:rPr>
                <w:rFonts w:hint="eastAsia" w:eastAsia="宋体" w:cs="宋体"/>
                <w:color w:val="000000"/>
                <w:kern w:val="0"/>
                <w:sz w:val="20"/>
                <w:lang w:bidi="ar"/>
              </w:rPr>
              <w:t>4.保护第三方合法权益</w:t>
            </w:r>
          </w:p>
        </w:tc>
        <w:tc>
          <w:tcPr>
            <w:tcW w:w="714" w:type="dxa"/>
            <w:noWrap w:val="0"/>
            <w:tcMar>
              <w:left w:w="57" w:type="dxa"/>
              <w:right w:w="57" w:type="dxa"/>
            </w:tcMar>
            <w:vAlign w:val="top"/>
          </w:tcPr>
          <w:p>
            <w:pPr>
              <w:jc w:val="both"/>
              <w:rPr>
                <w:rFonts w:hint="default"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jc w:val="both"/>
              <w:rPr>
                <w:color w:val="000000"/>
                <w:sz w:val="24"/>
                <w:szCs w:val="24"/>
              </w:rPr>
            </w:pPr>
          </w:p>
        </w:tc>
        <w:tc>
          <w:tcPr>
            <w:tcW w:w="959" w:type="dxa"/>
            <w:vMerge w:val="continue"/>
            <w:noWrap w:val="0"/>
            <w:tcMar>
              <w:left w:w="57" w:type="dxa"/>
              <w:right w:w="57" w:type="dxa"/>
            </w:tcMar>
            <w:vAlign w:val="center"/>
          </w:tcPr>
          <w:p>
            <w:pPr>
              <w:jc w:val="both"/>
              <w:rPr>
                <w:color w:val="000000"/>
                <w:sz w:val="24"/>
                <w:szCs w:val="24"/>
              </w:rPr>
            </w:pPr>
          </w:p>
        </w:tc>
        <w:tc>
          <w:tcPr>
            <w:tcW w:w="3406" w:type="dxa"/>
            <w:noWrap w:val="0"/>
            <w:tcMar>
              <w:left w:w="57" w:type="dxa"/>
              <w:right w:w="57" w:type="dxa"/>
            </w:tcMar>
            <w:vAlign w:val="top"/>
          </w:tcPr>
          <w:p>
            <w:pPr>
              <w:jc w:val="both"/>
              <w:rPr>
                <w:color w:val="000000"/>
              </w:rPr>
            </w:pPr>
            <w:r>
              <w:rPr>
                <w:rFonts w:hint="eastAsia" w:eastAsia="宋体" w:cs="宋体"/>
                <w:color w:val="000000"/>
                <w:kern w:val="0"/>
                <w:sz w:val="20"/>
                <w:lang w:bidi="ar"/>
              </w:rPr>
              <w:t>5.属于三类内部事务信息</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jc w:val="both"/>
              <w:rPr>
                <w:color w:val="000000"/>
                <w:sz w:val="24"/>
                <w:szCs w:val="24"/>
              </w:rPr>
            </w:pPr>
          </w:p>
        </w:tc>
        <w:tc>
          <w:tcPr>
            <w:tcW w:w="959" w:type="dxa"/>
            <w:vMerge w:val="continue"/>
            <w:noWrap w:val="0"/>
            <w:tcMar>
              <w:left w:w="57" w:type="dxa"/>
              <w:right w:w="57" w:type="dxa"/>
            </w:tcMar>
            <w:vAlign w:val="center"/>
          </w:tcPr>
          <w:p>
            <w:pPr>
              <w:jc w:val="both"/>
              <w:rPr>
                <w:color w:val="000000"/>
                <w:sz w:val="24"/>
                <w:szCs w:val="24"/>
              </w:rPr>
            </w:pPr>
          </w:p>
        </w:tc>
        <w:tc>
          <w:tcPr>
            <w:tcW w:w="3406" w:type="dxa"/>
            <w:noWrap w:val="0"/>
            <w:tcMar>
              <w:left w:w="57" w:type="dxa"/>
              <w:right w:w="57" w:type="dxa"/>
            </w:tcMar>
            <w:vAlign w:val="top"/>
          </w:tcPr>
          <w:p>
            <w:pPr>
              <w:jc w:val="both"/>
              <w:rPr>
                <w:color w:val="000000"/>
              </w:rPr>
            </w:pPr>
            <w:r>
              <w:rPr>
                <w:rFonts w:hint="eastAsia" w:eastAsia="宋体" w:cs="宋体"/>
                <w:color w:val="000000"/>
                <w:kern w:val="0"/>
                <w:sz w:val="20"/>
                <w:lang w:bidi="ar"/>
              </w:rPr>
              <w:t>6.属于四类过程性信息</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jc w:val="both"/>
              <w:rPr>
                <w:color w:val="000000"/>
                <w:sz w:val="24"/>
                <w:szCs w:val="24"/>
              </w:rPr>
            </w:pPr>
          </w:p>
        </w:tc>
        <w:tc>
          <w:tcPr>
            <w:tcW w:w="959" w:type="dxa"/>
            <w:vMerge w:val="continue"/>
            <w:noWrap w:val="0"/>
            <w:tcMar>
              <w:left w:w="57" w:type="dxa"/>
              <w:right w:w="57" w:type="dxa"/>
            </w:tcMar>
            <w:vAlign w:val="center"/>
          </w:tcPr>
          <w:p>
            <w:pPr>
              <w:jc w:val="both"/>
              <w:rPr>
                <w:color w:val="000000"/>
                <w:sz w:val="24"/>
                <w:szCs w:val="24"/>
              </w:rPr>
            </w:pPr>
          </w:p>
        </w:tc>
        <w:tc>
          <w:tcPr>
            <w:tcW w:w="3406" w:type="dxa"/>
            <w:noWrap w:val="0"/>
            <w:tcMar>
              <w:left w:w="57" w:type="dxa"/>
              <w:right w:w="57" w:type="dxa"/>
            </w:tcMar>
            <w:vAlign w:val="top"/>
          </w:tcPr>
          <w:p>
            <w:pPr>
              <w:jc w:val="both"/>
              <w:rPr>
                <w:color w:val="000000"/>
              </w:rPr>
            </w:pPr>
            <w:r>
              <w:rPr>
                <w:rFonts w:hint="eastAsia" w:eastAsia="宋体" w:cs="宋体"/>
                <w:color w:val="000000"/>
                <w:kern w:val="0"/>
                <w:sz w:val="20"/>
                <w:lang w:bidi="ar"/>
              </w:rPr>
              <w:t>7.属于行政执法案卷</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jc w:val="both"/>
              <w:rPr>
                <w:color w:val="000000"/>
                <w:sz w:val="24"/>
                <w:szCs w:val="24"/>
              </w:rPr>
            </w:pPr>
          </w:p>
        </w:tc>
        <w:tc>
          <w:tcPr>
            <w:tcW w:w="959" w:type="dxa"/>
            <w:vMerge w:val="continue"/>
            <w:noWrap w:val="0"/>
            <w:tcMar>
              <w:left w:w="57" w:type="dxa"/>
              <w:right w:w="57" w:type="dxa"/>
            </w:tcMar>
            <w:vAlign w:val="center"/>
          </w:tcPr>
          <w:p>
            <w:pPr>
              <w:jc w:val="both"/>
              <w:rPr>
                <w:color w:val="000000"/>
                <w:sz w:val="24"/>
                <w:szCs w:val="24"/>
              </w:rPr>
            </w:pPr>
          </w:p>
        </w:tc>
        <w:tc>
          <w:tcPr>
            <w:tcW w:w="3406" w:type="dxa"/>
            <w:noWrap w:val="0"/>
            <w:tcMar>
              <w:left w:w="57" w:type="dxa"/>
              <w:right w:w="57" w:type="dxa"/>
            </w:tcMar>
            <w:vAlign w:val="top"/>
          </w:tcPr>
          <w:p>
            <w:pPr>
              <w:jc w:val="both"/>
              <w:rPr>
                <w:color w:val="000000"/>
              </w:rPr>
            </w:pPr>
            <w:r>
              <w:rPr>
                <w:rFonts w:hint="eastAsia" w:eastAsia="宋体" w:cs="宋体"/>
                <w:color w:val="000000"/>
                <w:kern w:val="0"/>
                <w:sz w:val="20"/>
                <w:lang w:bidi="ar"/>
              </w:rPr>
              <w:t>8.属于行政查询事项</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jc w:val="both"/>
              <w:rPr>
                <w:color w:val="000000"/>
                <w:sz w:val="24"/>
                <w:szCs w:val="24"/>
              </w:rPr>
            </w:pPr>
          </w:p>
        </w:tc>
        <w:tc>
          <w:tcPr>
            <w:tcW w:w="959" w:type="dxa"/>
            <w:vMerge w:val="restart"/>
            <w:noWrap w:val="0"/>
            <w:tcMar>
              <w:left w:w="57" w:type="dxa"/>
              <w:right w:w="57" w:type="dxa"/>
            </w:tcMar>
            <w:vAlign w:val="center"/>
          </w:tcPr>
          <w:p>
            <w:pPr>
              <w:jc w:val="both"/>
              <w:rPr>
                <w:color w:val="000000"/>
              </w:rPr>
            </w:pPr>
            <w:r>
              <w:rPr>
                <w:rFonts w:hint="eastAsia" w:eastAsia="宋体" w:cs="宋体"/>
                <w:color w:val="000000"/>
                <w:kern w:val="0"/>
                <w:sz w:val="20"/>
                <w:lang w:bidi="ar"/>
              </w:rPr>
              <w:t>（四）无法提供</w:t>
            </w:r>
          </w:p>
        </w:tc>
        <w:tc>
          <w:tcPr>
            <w:tcW w:w="3406" w:type="dxa"/>
            <w:noWrap w:val="0"/>
            <w:tcMar>
              <w:left w:w="57" w:type="dxa"/>
              <w:right w:w="57" w:type="dxa"/>
            </w:tcMar>
            <w:vAlign w:val="top"/>
          </w:tcPr>
          <w:p>
            <w:pPr>
              <w:jc w:val="both"/>
              <w:rPr>
                <w:color w:val="000000"/>
              </w:rPr>
            </w:pPr>
            <w:r>
              <w:rPr>
                <w:rFonts w:hint="eastAsia" w:eastAsia="宋体" w:cs="宋体"/>
                <w:color w:val="000000"/>
                <w:kern w:val="0"/>
                <w:sz w:val="20"/>
                <w:lang w:bidi="ar"/>
              </w:rPr>
              <w:t>1.本机关不掌握相关政府信息</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jc w:val="both"/>
              <w:rPr>
                <w:color w:val="000000"/>
                <w:sz w:val="24"/>
                <w:szCs w:val="24"/>
              </w:rPr>
            </w:pPr>
          </w:p>
        </w:tc>
        <w:tc>
          <w:tcPr>
            <w:tcW w:w="959" w:type="dxa"/>
            <w:vMerge w:val="continue"/>
            <w:noWrap w:val="0"/>
            <w:tcMar>
              <w:left w:w="57" w:type="dxa"/>
              <w:right w:w="57" w:type="dxa"/>
            </w:tcMar>
            <w:vAlign w:val="center"/>
          </w:tcPr>
          <w:p>
            <w:pPr>
              <w:jc w:val="both"/>
              <w:rPr>
                <w:color w:val="000000"/>
                <w:sz w:val="24"/>
                <w:szCs w:val="24"/>
              </w:rPr>
            </w:pPr>
          </w:p>
        </w:tc>
        <w:tc>
          <w:tcPr>
            <w:tcW w:w="3406" w:type="dxa"/>
            <w:noWrap w:val="0"/>
            <w:tcMar>
              <w:left w:w="57" w:type="dxa"/>
              <w:right w:w="57" w:type="dxa"/>
            </w:tcMar>
            <w:vAlign w:val="top"/>
          </w:tcPr>
          <w:p>
            <w:pPr>
              <w:jc w:val="both"/>
              <w:rPr>
                <w:color w:val="000000"/>
              </w:rPr>
            </w:pPr>
            <w:r>
              <w:rPr>
                <w:rFonts w:hint="eastAsia" w:eastAsia="宋体" w:cs="宋体"/>
                <w:color w:val="000000"/>
                <w:kern w:val="0"/>
                <w:sz w:val="20"/>
                <w:lang w:bidi="ar"/>
              </w:rPr>
              <w:t>2.没有现成信息需要另行制作</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jc w:val="both"/>
              <w:rPr>
                <w:color w:val="000000"/>
                <w:sz w:val="24"/>
                <w:szCs w:val="24"/>
              </w:rPr>
            </w:pPr>
          </w:p>
        </w:tc>
        <w:tc>
          <w:tcPr>
            <w:tcW w:w="959" w:type="dxa"/>
            <w:vMerge w:val="continue"/>
            <w:noWrap w:val="0"/>
            <w:tcMar>
              <w:left w:w="57" w:type="dxa"/>
              <w:right w:w="57" w:type="dxa"/>
            </w:tcMar>
            <w:vAlign w:val="center"/>
          </w:tcPr>
          <w:p>
            <w:pPr>
              <w:jc w:val="both"/>
              <w:rPr>
                <w:color w:val="000000"/>
                <w:sz w:val="24"/>
                <w:szCs w:val="24"/>
              </w:rPr>
            </w:pPr>
          </w:p>
        </w:tc>
        <w:tc>
          <w:tcPr>
            <w:tcW w:w="3406" w:type="dxa"/>
            <w:noWrap w:val="0"/>
            <w:tcMar>
              <w:left w:w="57" w:type="dxa"/>
              <w:right w:w="57" w:type="dxa"/>
            </w:tcMar>
            <w:vAlign w:val="top"/>
          </w:tcPr>
          <w:p>
            <w:pPr>
              <w:jc w:val="both"/>
              <w:rPr>
                <w:color w:val="000000"/>
              </w:rPr>
            </w:pPr>
            <w:r>
              <w:rPr>
                <w:rFonts w:hint="eastAsia" w:eastAsia="宋体" w:cs="宋体"/>
                <w:color w:val="000000"/>
                <w:kern w:val="0"/>
                <w:sz w:val="20"/>
                <w:lang w:bidi="ar"/>
              </w:rPr>
              <w:t>3.补正后申请内容仍不明确</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jc w:val="both"/>
              <w:rPr>
                <w:color w:val="000000"/>
                <w:sz w:val="24"/>
                <w:szCs w:val="24"/>
              </w:rPr>
            </w:pPr>
          </w:p>
        </w:tc>
        <w:tc>
          <w:tcPr>
            <w:tcW w:w="959" w:type="dxa"/>
            <w:vMerge w:val="restart"/>
            <w:noWrap w:val="0"/>
            <w:tcMar>
              <w:left w:w="57" w:type="dxa"/>
              <w:right w:w="57" w:type="dxa"/>
            </w:tcMar>
            <w:vAlign w:val="center"/>
          </w:tcPr>
          <w:p>
            <w:pPr>
              <w:jc w:val="both"/>
              <w:rPr>
                <w:color w:val="000000"/>
              </w:rPr>
            </w:pPr>
            <w:r>
              <w:rPr>
                <w:rFonts w:hint="eastAsia" w:eastAsia="宋体" w:cs="宋体"/>
                <w:color w:val="000000"/>
                <w:kern w:val="0"/>
                <w:sz w:val="20"/>
                <w:lang w:bidi="ar"/>
              </w:rPr>
              <w:t>（五）不予处理</w:t>
            </w:r>
          </w:p>
        </w:tc>
        <w:tc>
          <w:tcPr>
            <w:tcW w:w="3406" w:type="dxa"/>
            <w:noWrap w:val="0"/>
            <w:tcMar>
              <w:left w:w="57" w:type="dxa"/>
              <w:right w:w="57" w:type="dxa"/>
            </w:tcMar>
            <w:vAlign w:val="top"/>
          </w:tcPr>
          <w:p>
            <w:pPr>
              <w:jc w:val="both"/>
              <w:rPr>
                <w:color w:val="000000"/>
              </w:rPr>
            </w:pPr>
            <w:r>
              <w:rPr>
                <w:rFonts w:hint="eastAsia" w:eastAsia="宋体" w:cs="宋体"/>
                <w:color w:val="000000"/>
                <w:kern w:val="0"/>
                <w:sz w:val="20"/>
                <w:lang w:bidi="ar"/>
              </w:rPr>
              <w:t>1.信访举报投诉类申请</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jc w:val="both"/>
              <w:rPr>
                <w:color w:val="000000"/>
                <w:sz w:val="24"/>
                <w:szCs w:val="24"/>
              </w:rPr>
            </w:pPr>
          </w:p>
        </w:tc>
        <w:tc>
          <w:tcPr>
            <w:tcW w:w="959" w:type="dxa"/>
            <w:vMerge w:val="continue"/>
            <w:noWrap w:val="0"/>
            <w:tcMar>
              <w:left w:w="57" w:type="dxa"/>
              <w:right w:w="57" w:type="dxa"/>
            </w:tcMar>
            <w:vAlign w:val="center"/>
          </w:tcPr>
          <w:p>
            <w:pPr>
              <w:jc w:val="both"/>
              <w:rPr>
                <w:color w:val="000000"/>
                <w:sz w:val="24"/>
                <w:szCs w:val="24"/>
              </w:rPr>
            </w:pPr>
          </w:p>
        </w:tc>
        <w:tc>
          <w:tcPr>
            <w:tcW w:w="3406" w:type="dxa"/>
            <w:noWrap w:val="0"/>
            <w:tcMar>
              <w:left w:w="57" w:type="dxa"/>
              <w:right w:w="57" w:type="dxa"/>
            </w:tcMar>
            <w:vAlign w:val="top"/>
          </w:tcPr>
          <w:p>
            <w:pPr>
              <w:jc w:val="both"/>
              <w:rPr>
                <w:color w:val="000000"/>
              </w:rPr>
            </w:pPr>
            <w:r>
              <w:rPr>
                <w:rFonts w:hint="eastAsia" w:eastAsia="宋体" w:cs="宋体"/>
                <w:color w:val="000000"/>
                <w:kern w:val="0"/>
                <w:sz w:val="20"/>
                <w:lang w:bidi="ar"/>
              </w:rPr>
              <w:t>2.重复申请</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default"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jc w:val="both"/>
              <w:rPr>
                <w:color w:val="000000"/>
                <w:sz w:val="24"/>
                <w:szCs w:val="24"/>
              </w:rPr>
            </w:pPr>
          </w:p>
        </w:tc>
        <w:tc>
          <w:tcPr>
            <w:tcW w:w="959" w:type="dxa"/>
            <w:vMerge w:val="continue"/>
            <w:noWrap w:val="0"/>
            <w:tcMar>
              <w:left w:w="57" w:type="dxa"/>
              <w:right w:w="57" w:type="dxa"/>
            </w:tcMar>
            <w:vAlign w:val="center"/>
          </w:tcPr>
          <w:p>
            <w:pPr>
              <w:jc w:val="both"/>
              <w:rPr>
                <w:color w:val="000000"/>
                <w:sz w:val="24"/>
                <w:szCs w:val="24"/>
              </w:rPr>
            </w:pPr>
          </w:p>
        </w:tc>
        <w:tc>
          <w:tcPr>
            <w:tcW w:w="3406" w:type="dxa"/>
            <w:noWrap w:val="0"/>
            <w:tcMar>
              <w:left w:w="57" w:type="dxa"/>
              <w:right w:w="57" w:type="dxa"/>
            </w:tcMar>
            <w:vAlign w:val="top"/>
          </w:tcPr>
          <w:p>
            <w:pPr>
              <w:jc w:val="both"/>
              <w:rPr>
                <w:color w:val="000000"/>
              </w:rPr>
            </w:pPr>
            <w:r>
              <w:rPr>
                <w:rFonts w:hint="eastAsia" w:eastAsia="宋体" w:cs="宋体"/>
                <w:color w:val="000000"/>
                <w:kern w:val="0"/>
                <w:sz w:val="20"/>
                <w:lang w:bidi="ar"/>
              </w:rPr>
              <w:t>3.要求提供公开出版物</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jc w:val="both"/>
              <w:rPr>
                <w:color w:val="000000"/>
                <w:sz w:val="24"/>
                <w:szCs w:val="24"/>
              </w:rPr>
            </w:pPr>
          </w:p>
        </w:tc>
        <w:tc>
          <w:tcPr>
            <w:tcW w:w="959" w:type="dxa"/>
            <w:vMerge w:val="continue"/>
            <w:noWrap w:val="0"/>
            <w:tcMar>
              <w:left w:w="57" w:type="dxa"/>
              <w:right w:w="57" w:type="dxa"/>
            </w:tcMar>
            <w:vAlign w:val="center"/>
          </w:tcPr>
          <w:p>
            <w:pPr>
              <w:jc w:val="both"/>
              <w:rPr>
                <w:color w:val="000000"/>
                <w:sz w:val="24"/>
                <w:szCs w:val="24"/>
              </w:rPr>
            </w:pPr>
          </w:p>
        </w:tc>
        <w:tc>
          <w:tcPr>
            <w:tcW w:w="3406" w:type="dxa"/>
            <w:noWrap w:val="0"/>
            <w:tcMar>
              <w:left w:w="57" w:type="dxa"/>
              <w:right w:w="57" w:type="dxa"/>
            </w:tcMar>
            <w:vAlign w:val="top"/>
          </w:tcPr>
          <w:p>
            <w:pPr>
              <w:jc w:val="both"/>
              <w:rPr>
                <w:color w:val="000000"/>
              </w:rPr>
            </w:pPr>
            <w:r>
              <w:rPr>
                <w:rFonts w:hint="eastAsia" w:eastAsia="宋体" w:cs="宋体"/>
                <w:color w:val="000000"/>
                <w:kern w:val="0"/>
                <w:sz w:val="20"/>
                <w:lang w:bidi="ar"/>
              </w:rPr>
              <w:t>4.无正当理由大量反复申请</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85" w:type="dxa"/>
            <w:vMerge w:val="continue"/>
            <w:noWrap w:val="0"/>
            <w:tcMar>
              <w:left w:w="57" w:type="dxa"/>
              <w:right w:w="57" w:type="dxa"/>
            </w:tcMar>
            <w:vAlign w:val="center"/>
          </w:tcPr>
          <w:p>
            <w:pPr>
              <w:jc w:val="both"/>
              <w:rPr>
                <w:color w:val="000000"/>
                <w:sz w:val="24"/>
                <w:szCs w:val="24"/>
              </w:rPr>
            </w:pPr>
          </w:p>
        </w:tc>
        <w:tc>
          <w:tcPr>
            <w:tcW w:w="959" w:type="dxa"/>
            <w:vMerge w:val="continue"/>
            <w:noWrap w:val="0"/>
            <w:tcMar>
              <w:left w:w="57" w:type="dxa"/>
              <w:right w:w="57" w:type="dxa"/>
            </w:tcMar>
            <w:vAlign w:val="center"/>
          </w:tcPr>
          <w:p>
            <w:pPr>
              <w:jc w:val="both"/>
              <w:rPr>
                <w:color w:val="000000"/>
                <w:sz w:val="24"/>
                <w:szCs w:val="24"/>
              </w:rPr>
            </w:pPr>
          </w:p>
        </w:tc>
        <w:tc>
          <w:tcPr>
            <w:tcW w:w="3406" w:type="dxa"/>
            <w:noWrap w:val="0"/>
            <w:tcMar>
              <w:left w:w="57" w:type="dxa"/>
              <w:right w:w="57" w:type="dxa"/>
            </w:tcMar>
            <w:vAlign w:val="center"/>
          </w:tcPr>
          <w:p>
            <w:pPr>
              <w:jc w:val="both"/>
              <w:rPr>
                <w:color w:val="000000"/>
              </w:rPr>
            </w:pPr>
            <w:r>
              <w:rPr>
                <w:rFonts w:hint="eastAsia" w:eastAsia="宋体" w:cs="宋体"/>
                <w:color w:val="000000"/>
                <w:kern w:val="0"/>
                <w:sz w:val="20"/>
                <w:lang w:bidi="ar"/>
              </w:rPr>
              <w:t>5.要求行政机关确认或重新出具已获取信息</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jc w:val="both"/>
              <w:rPr>
                <w:color w:val="000000"/>
                <w:sz w:val="24"/>
                <w:szCs w:val="24"/>
              </w:rPr>
            </w:pPr>
          </w:p>
        </w:tc>
        <w:tc>
          <w:tcPr>
            <w:tcW w:w="959" w:type="dxa"/>
            <w:vMerge w:val="restart"/>
            <w:noWrap w:val="0"/>
            <w:tcMar>
              <w:left w:w="57" w:type="dxa"/>
              <w:right w:w="57" w:type="dxa"/>
            </w:tcMar>
            <w:vAlign w:val="center"/>
          </w:tcPr>
          <w:p>
            <w:pPr>
              <w:jc w:val="both"/>
              <w:rPr>
                <w:color w:val="000000"/>
              </w:rPr>
            </w:pPr>
            <w:r>
              <w:rPr>
                <w:rFonts w:hint="eastAsia" w:eastAsia="宋体" w:cs="宋体"/>
                <w:color w:val="000000"/>
                <w:kern w:val="0"/>
                <w:sz w:val="20"/>
                <w:lang w:bidi="ar"/>
              </w:rPr>
              <w:t>（六）其他处理</w:t>
            </w:r>
          </w:p>
        </w:tc>
        <w:tc>
          <w:tcPr>
            <w:tcW w:w="3406" w:type="dxa"/>
            <w:noWrap w:val="0"/>
            <w:tcMar>
              <w:left w:w="57" w:type="dxa"/>
              <w:right w:w="57" w:type="dxa"/>
            </w:tcMar>
            <w:vAlign w:val="center"/>
          </w:tcPr>
          <w:p>
            <w:pPr>
              <w:jc w:val="both"/>
              <w:rPr>
                <w:color w:val="000000"/>
              </w:rPr>
            </w:pPr>
            <w:r>
              <w:rPr>
                <w:rFonts w:hint="eastAsia" w:eastAsia="宋体" w:cs="宋体"/>
                <w:color w:val="000000"/>
                <w:kern w:val="0"/>
                <w:sz w:val="20"/>
                <w:lang w:bidi="ar"/>
              </w:rPr>
              <w:t>1.申请人无正当理由逾期不补正、行政机关不再处理其政府信息公开申请</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jc w:val="both"/>
              <w:rPr>
                <w:color w:val="000000"/>
                <w:sz w:val="24"/>
                <w:szCs w:val="24"/>
              </w:rPr>
            </w:pPr>
          </w:p>
        </w:tc>
        <w:tc>
          <w:tcPr>
            <w:tcW w:w="959" w:type="dxa"/>
            <w:vMerge w:val="continue"/>
            <w:noWrap w:val="0"/>
            <w:tcMar>
              <w:left w:w="57" w:type="dxa"/>
              <w:right w:w="57" w:type="dxa"/>
            </w:tcMar>
            <w:vAlign w:val="center"/>
          </w:tcPr>
          <w:p>
            <w:pPr>
              <w:jc w:val="both"/>
              <w:rPr>
                <w:color w:val="000000"/>
                <w:sz w:val="24"/>
                <w:szCs w:val="24"/>
              </w:rPr>
            </w:pPr>
          </w:p>
        </w:tc>
        <w:tc>
          <w:tcPr>
            <w:tcW w:w="3406" w:type="dxa"/>
            <w:noWrap w:val="0"/>
            <w:tcMar>
              <w:left w:w="57" w:type="dxa"/>
              <w:right w:w="57" w:type="dxa"/>
            </w:tcMar>
            <w:vAlign w:val="center"/>
          </w:tcPr>
          <w:p>
            <w:pPr>
              <w:jc w:val="both"/>
              <w:rPr>
                <w:color w:val="000000"/>
              </w:rPr>
            </w:pPr>
            <w:r>
              <w:rPr>
                <w:rFonts w:hint="eastAsia" w:eastAsia="宋体" w:cs="宋体"/>
                <w:color w:val="000000"/>
                <w:kern w:val="0"/>
                <w:sz w:val="20"/>
                <w:lang w:bidi="ar"/>
              </w:rPr>
              <w:t>2.申请人逾期未按收费通知要求缴纳费用、行政机关不再处理其政府信息公开申请</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jc w:val="both"/>
              <w:rPr>
                <w:color w:val="000000"/>
                <w:sz w:val="24"/>
                <w:szCs w:val="24"/>
              </w:rPr>
            </w:pPr>
          </w:p>
        </w:tc>
        <w:tc>
          <w:tcPr>
            <w:tcW w:w="959" w:type="dxa"/>
            <w:vMerge w:val="continue"/>
            <w:noWrap w:val="0"/>
            <w:tcMar>
              <w:left w:w="57" w:type="dxa"/>
              <w:right w:w="57" w:type="dxa"/>
            </w:tcMar>
            <w:vAlign w:val="center"/>
          </w:tcPr>
          <w:p>
            <w:pPr>
              <w:jc w:val="both"/>
              <w:rPr>
                <w:color w:val="000000"/>
                <w:sz w:val="24"/>
                <w:szCs w:val="24"/>
              </w:rPr>
            </w:pPr>
          </w:p>
        </w:tc>
        <w:tc>
          <w:tcPr>
            <w:tcW w:w="3406" w:type="dxa"/>
            <w:noWrap w:val="0"/>
            <w:tcMar>
              <w:left w:w="57" w:type="dxa"/>
              <w:right w:w="57" w:type="dxa"/>
            </w:tcMar>
            <w:vAlign w:val="center"/>
          </w:tcPr>
          <w:p>
            <w:pPr>
              <w:jc w:val="both"/>
              <w:rPr>
                <w:color w:val="000000"/>
              </w:rPr>
            </w:pPr>
            <w:r>
              <w:rPr>
                <w:rFonts w:hint="eastAsia" w:eastAsia="宋体" w:cs="宋体"/>
                <w:color w:val="000000"/>
                <w:kern w:val="0"/>
                <w:sz w:val="20"/>
                <w:lang w:bidi="ar"/>
              </w:rPr>
              <w:t>3.其他</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jc w:val="both"/>
              <w:rPr>
                <w:color w:val="000000"/>
                <w:sz w:val="24"/>
                <w:szCs w:val="24"/>
              </w:rPr>
            </w:pPr>
          </w:p>
        </w:tc>
        <w:tc>
          <w:tcPr>
            <w:tcW w:w="4365" w:type="dxa"/>
            <w:gridSpan w:val="2"/>
            <w:noWrap w:val="0"/>
            <w:tcMar>
              <w:left w:w="57" w:type="dxa"/>
              <w:right w:w="57" w:type="dxa"/>
            </w:tcMar>
            <w:vAlign w:val="center"/>
          </w:tcPr>
          <w:p>
            <w:pPr>
              <w:jc w:val="both"/>
              <w:rPr>
                <w:color w:val="000000"/>
              </w:rPr>
            </w:pPr>
            <w:r>
              <w:rPr>
                <w:rFonts w:hint="eastAsia" w:eastAsia="宋体" w:cs="宋体"/>
                <w:color w:val="000000"/>
                <w:kern w:val="0"/>
                <w:sz w:val="20"/>
                <w:lang w:bidi="ar"/>
              </w:rPr>
              <w:t>（七）总计</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noWrap w:val="0"/>
            <w:tcMar>
              <w:left w:w="57" w:type="dxa"/>
              <w:right w:w="57" w:type="dxa"/>
            </w:tcMar>
            <w:vAlign w:val="center"/>
          </w:tcPr>
          <w:p>
            <w:pPr>
              <w:jc w:val="both"/>
              <w:rPr>
                <w:color w:val="000000"/>
              </w:rPr>
            </w:pPr>
            <w:r>
              <w:rPr>
                <w:rFonts w:hint="eastAsia" w:eastAsia="宋体" w:cs="宋体"/>
                <w:color w:val="000000"/>
                <w:kern w:val="0"/>
                <w:sz w:val="20"/>
                <w:lang w:bidi="ar"/>
              </w:rPr>
              <w:t>四、结转下年度继续办理</w:t>
            </w:r>
          </w:p>
        </w:tc>
        <w:tc>
          <w:tcPr>
            <w:tcW w:w="714" w:type="dxa"/>
            <w:noWrap w:val="0"/>
            <w:tcMar>
              <w:left w:w="57" w:type="dxa"/>
              <w:right w:w="57" w:type="dxa"/>
            </w:tcMar>
            <w:vAlign w:val="center"/>
          </w:tcPr>
          <w:p>
            <w:pPr>
              <w:jc w:val="both"/>
              <w:rPr>
                <w:color w:val="000000"/>
              </w:rPr>
            </w:pPr>
            <w:r>
              <w:rPr>
                <w:rFonts w:eastAsia="等线" w:cs="Calibri"/>
                <w:color w:val="000000"/>
                <w:kern w:val="0"/>
                <w:sz w:val="20"/>
                <w:lang w:bidi="ar"/>
              </w:rPr>
              <w:t> </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center"/>
          </w:tcPr>
          <w:p>
            <w:pPr>
              <w:jc w:val="both"/>
              <w:rPr>
                <w:rFonts w:hint="eastAsia" w:eastAsia="等线"/>
                <w:color w:val="000000"/>
                <w:lang w:val="en-US" w:eastAsia="zh-CN"/>
              </w:rPr>
            </w:pPr>
            <w:r>
              <w:rPr>
                <w:rFonts w:eastAsia="等线" w:cs="Calibri"/>
                <w:color w:val="000000"/>
                <w:kern w:val="0"/>
                <w:sz w:val="20"/>
                <w:lang w:bidi="ar"/>
              </w:rPr>
              <w:t> </w:t>
            </w:r>
            <w:r>
              <w:rPr>
                <w:rFonts w:hint="eastAsia" w:eastAsia="等线" w:cs="Calibri"/>
                <w:color w:val="000000"/>
                <w:kern w:val="0"/>
                <w:sz w:val="20"/>
                <w:lang w:val="en-US" w:eastAsia="zh-CN" w:bidi="ar"/>
              </w:rPr>
              <w:t>0</w:t>
            </w:r>
          </w:p>
        </w:tc>
        <w:tc>
          <w:tcPr>
            <w:tcW w:w="714" w:type="dxa"/>
            <w:noWrap w:val="0"/>
            <w:tcMar>
              <w:left w:w="57" w:type="dxa"/>
              <w:right w:w="57" w:type="dxa"/>
            </w:tcMar>
            <w:vAlign w:val="top"/>
          </w:tcPr>
          <w:p>
            <w:pPr>
              <w:jc w:val="both"/>
              <w:rPr>
                <w:rFonts w:hint="eastAsia" w:eastAsia="方正仿宋_GBK"/>
                <w:color w:val="000000"/>
                <w:sz w:val="24"/>
                <w:szCs w:val="24"/>
                <w:lang w:val="en-US" w:eastAsia="zh-CN"/>
              </w:rPr>
            </w:pPr>
            <w:r>
              <w:rPr>
                <w:rFonts w:hint="eastAsia"/>
                <w:color w:val="000000"/>
                <w:sz w:val="24"/>
                <w:szCs w:val="24"/>
                <w:lang w:val="en-US" w:eastAsia="zh-CN"/>
              </w:rPr>
              <w:t>0</w:t>
            </w:r>
          </w:p>
        </w:tc>
      </w:tr>
    </w:tbl>
    <w:p>
      <w:pPr>
        <w:spacing w:beforeAutospacing="0" w:afterAutospacing="0" w:line="600" w:lineRule="exact"/>
        <w:ind w:firstLine="640" w:firstLineChars="200"/>
        <w:jc w:val="both"/>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四、政府信息公开行政复议、行政诉讼情况</w:t>
      </w:r>
    </w:p>
    <w:tbl>
      <w:tblPr>
        <w:tblStyle w:val="4"/>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210" w:type="dxa"/>
            <w:gridSpan w:val="5"/>
            <w:noWrap w:val="0"/>
            <w:tcMar>
              <w:left w:w="108" w:type="dxa"/>
              <w:right w:w="108" w:type="dxa"/>
            </w:tcMar>
            <w:vAlign w:val="center"/>
          </w:tcPr>
          <w:p>
            <w:pPr>
              <w:jc w:val="both"/>
              <w:rPr>
                <w:color w:val="000000"/>
              </w:rPr>
            </w:pPr>
            <w:r>
              <w:rPr>
                <w:rFonts w:hint="eastAsia" w:eastAsia="宋体" w:cs="宋体"/>
                <w:color w:val="000000"/>
                <w:kern w:val="0"/>
                <w:sz w:val="20"/>
                <w:lang w:bidi="ar"/>
              </w:rPr>
              <w:t>行政复议</w:t>
            </w:r>
          </w:p>
        </w:tc>
        <w:tc>
          <w:tcPr>
            <w:tcW w:w="6428" w:type="dxa"/>
            <w:gridSpan w:val="10"/>
            <w:noWrap w:val="0"/>
            <w:tcMar>
              <w:left w:w="108" w:type="dxa"/>
              <w:right w:w="108" w:type="dxa"/>
            </w:tcMar>
            <w:vAlign w:val="center"/>
          </w:tcPr>
          <w:p>
            <w:pPr>
              <w:jc w:val="both"/>
              <w:rPr>
                <w:color w:val="000000"/>
              </w:rPr>
            </w:pPr>
            <w:r>
              <w:rPr>
                <w:rFonts w:hint="eastAsia" w:eastAsia="宋体" w:cs="宋体"/>
                <w:color w:val="000000"/>
                <w:kern w:val="0"/>
                <w:sz w:val="20"/>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2" w:type="dxa"/>
            <w:vMerge w:val="restart"/>
            <w:noWrap w:val="0"/>
            <w:tcMar>
              <w:left w:w="108" w:type="dxa"/>
              <w:right w:w="108" w:type="dxa"/>
            </w:tcMar>
            <w:vAlign w:val="center"/>
          </w:tcPr>
          <w:p>
            <w:pPr>
              <w:jc w:val="both"/>
              <w:rPr>
                <w:color w:val="000000"/>
              </w:rPr>
            </w:pPr>
            <w:r>
              <w:rPr>
                <w:rFonts w:hint="eastAsia" w:eastAsia="宋体" w:cs="宋体"/>
                <w:color w:val="000000"/>
                <w:kern w:val="0"/>
                <w:sz w:val="20"/>
                <w:lang w:bidi="ar"/>
              </w:rPr>
              <w:t>结果维持</w:t>
            </w:r>
          </w:p>
        </w:tc>
        <w:tc>
          <w:tcPr>
            <w:tcW w:w="642" w:type="dxa"/>
            <w:vMerge w:val="restart"/>
            <w:noWrap w:val="0"/>
            <w:tcMar>
              <w:left w:w="108" w:type="dxa"/>
              <w:right w:w="108" w:type="dxa"/>
            </w:tcMar>
            <w:vAlign w:val="center"/>
          </w:tcPr>
          <w:p>
            <w:pPr>
              <w:jc w:val="both"/>
              <w:rPr>
                <w:rFonts w:hint="eastAsia" w:eastAsia="宋体" w:cs="宋体"/>
                <w:color w:val="000000"/>
                <w:kern w:val="0"/>
                <w:sz w:val="20"/>
                <w:lang w:eastAsia="zh-CN" w:bidi="ar"/>
              </w:rPr>
            </w:pPr>
            <w:r>
              <w:rPr>
                <w:rFonts w:hint="eastAsia" w:eastAsia="宋体" w:cs="宋体"/>
                <w:color w:val="000000"/>
                <w:kern w:val="0"/>
                <w:sz w:val="20"/>
                <w:lang w:bidi="ar"/>
              </w:rPr>
              <w:t>结果</w:t>
            </w:r>
          </w:p>
          <w:p>
            <w:pPr>
              <w:jc w:val="both"/>
              <w:rPr>
                <w:color w:val="000000"/>
              </w:rPr>
            </w:pPr>
            <w:r>
              <w:rPr>
                <w:rFonts w:hint="eastAsia" w:eastAsia="宋体" w:cs="宋体"/>
                <w:color w:val="000000"/>
                <w:kern w:val="0"/>
                <w:sz w:val="20"/>
                <w:lang w:bidi="ar"/>
              </w:rPr>
              <w:t>纠正</w:t>
            </w:r>
          </w:p>
        </w:tc>
        <w:tc>
          <w:tcPr>
            <w:tcW w:w="642" w:type="dxa"/>
            <w:vMerge w:val="restart"/>
            <w:noWrap w:val="0"/>
            <w:tcMar>
              <w:left w:w="108" w:type="dxa"/>
              <w:right w:w="108" w:type="dxa"/>
            </w:tcMar>
            <w:vAlign w:val="center"/>
          </w:tcPr>
          <w:p>
            <w:pPr>
              <w:jc w:val="both"/>
              <w:rPr>
                <w:rFonts w:hint="eastAsia" w:eastAsia="宋体" w:cs="宋体"/>
                <w:color w:val="000000"/>
                <w:kern w:val="0"/>
                <w:sz w:val="20"/>
                <w:lang w:eastAsia="zh-CN" w:bidi="ar"/>
              </w:rPr>
            </w:pPr>
            <w:r>
              <w:rPr>
                <w:rFonts w:hint="eastAsia" w:eastAsia="宋体" w:cs="宋体"/>
                <w:color w:val="000000"/>
                <w:kern w:val="0"/>
                <w:sz w:val="20"/>
                <w:lang w:bidi="ar"/>
              </w:rPr>
              <w:t>其他</w:t>
            </w:r>
          </w:p>
          <w:p>
            <w:pPr>
              <w:jc w:val="both"/>
              <w:rPr>
                <w:color w:val="000000"/>
              </w:rPr>
            </w:pPr>
            <w:r>
              <w:rPr>
                <w:rFonts w:hint="eastAsia" w:eastAsia="宋体" w:cs="宋体"/>
                <w:color w:val="000000"/>
                <w:kern w:val="0"/>
                <w:sz w:val="20"/>
                <w:lang w:bidi="ar"/>
              </w:rPr>
              <w:t>结果</w:t>
            </w:r>
          </w:p>
        </w:tc>
        <w:tc>
          <w:tcPr>
            <w:tcW w:w="642" w:type="dxa"/>
            <w:vMerge w:val="restart"/>
            <w:noWrap w:val="0"/>
            <w:tcMar>
              <w:left w:w="108" w:type="dxa"/>
              <w:right w:w="108" w:type="dxa"/>
            </w:tcMar>
            <w:vAlign w:val="center"/>
          </w:tcPr>
          <w:p>
            <w:pPr>
              <w:jc w:val="both"/>
              <w:rPr>
                <w:rFonts w:hint="eastAsia" w:eastAsia="宋体" w:cs="宋体"/>
                <w:color w:val="000000"/>
                <w:kern w:val="0"/>
                <w:sz w:val="20"/>
                <w:lang w:eastAsia="zh-CN" w:bidi="ar"/>
              </w:rPr>
            </w:pPr>
            <w:r>
              <w:rPr>
                <w:rFonts w:hint="eastAsia" w:eastAsia="宋体" w:cs="宋体"/>
                <w:color w:val="000000"/>
                <w:kern w:val="0"/>
                <w:sz w:val="20"/>
                <w:lang w:bidi="ar"/>
              </w:rPr>
              <w:t>尚未</w:t>
            </w:r>
          </w:p>
          <w:p>
            <w:pPr>
              <w:jc w:val="both"/>
              <w:rPr>
                <w:color w:val="000000"/>
              </w:rPr>
            </w:pPr>
            <w:r>
              <w:rPr>
                <w:rFonts w:hint="eastAsia" w:eastAsia="宋体" w:cs="宋体"/>
                <w:color w:val="000000"/>
                <w:kern w:val="0"/>
                <w:sz w:val="20"/>
                <w:lang w:bidi="ar"/>
              </w:rPr>
              <w:t>审结</w:t>
            </w:r>
          </w:p>
        </w:tc>
        <w:tc>
          <w:tcPr>
            <w:tcW w:w="642" w:type="dxa"/>
            <w:vMerge w:val="restart"/>
            <w:noWrap w:val="0"/>
            <w:tcMar>
              <w:left w:w="108" w:type="dxa"/>
              <w:right w:w="108" w:type="dxa"/>
            </w:tcMar>
            <w:vAlign w:val="center"/>
          </w:tcPr>
          <w:p>
            <w:pPr>
              <w:jc w:val="both"/>
              <w:rPr>
                <w:color w:val="000000"/>
              </w:rPr>
            </w:pPr>
            <w:r>
              <w:rPr>
                <w:rFonts w:hint="eastAsia" w:eastAsia="宋体" w:cs="宋体"/>
                <w:color w:val="000000"/>
                <w:kern w:val="0"/>
                <w:sz w:val="20"/>
                <w:lang w:bidi="ar"/>
              </w:rPr>
              <w:t>总计</w:t>
            </w:r>
          </w:p>
        </w:tc>
        <w:tc>
          <w:tcPr>
            <w:tcW w:w="3213" w:type="dxa"/>
            <w:gridSpan w:val="5"/>
            <w:noWrap w:val="0"/>
            <w:tcMar>
              <w:left w:w="108" w:type="dxa"/>
              <w:right w:w="108" w:type="dxa"/>
            </w:tcMar>
            <w:vAlign w:val="center"/>
          </w:tcPr>
          <w:p>
            <w:pPr>
              <w:jc w:val="both"/>
              <w:rPr>
                <w:color w:val="000000"/>
              </w:rPr>
            </w:pPr>
            <w:r>
              <w:rPr>
                <w:rFonts w:hint="eastAsia" w:eastAsia="宋体" w:cs="宋体"/>
                <w:color w:val="000000"/>
                <w:kern w:val="0"/>
                <w:sz w:val="20"/>
                <w:lang w:bidi="ar"/>
              </w:rPr>
              <w:t>未经复议直接起诉</w:t>
            </w:r>
          </w:p>
        </w:tc>
        <w:tc>
          <w:tcPr>
            <w:tcW w:w="3215" w:type="dxa"/>
            <w:gridSpan w:val="5"/>
            <w:noWrap w:val="0"/>
            <w:tcMar>
              <w:left w:w="108" w:type="dxa"/>
              <w:right w:w="108" w:type="dxa"/>
            </w:tcMar>
            <w:vAlign w:val="center"/>
          </w:tcPr>
          <w:p>
            <w:pPr>
              <w:jc w:val="both"/>
              <w:rPr>
                <w:color w:val="000000"/>
              </w:rPr>
            </w:pPr>
            <w:r>
              <w:rPr>
                <w:rFonts w:hint="eastAsia" w:eastAsia="宋体" w:cs="宋体"/>
                <w:color w:val="000000"/>
                <w:kern w:val="0"/>
                <w:sz w:val="20"/>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2" w:type="dxa"/>
            <w:vMerge w:val="continue"/>
            <w:noWrap w:val="0"/>
            <w:tcMar>
              <w:left w:w="108" w:type="dxa"/>
              <w:right w:w="108" w:type="dxa"/>
            </w:tcMar>
            <w:vAlign w:val="center"/>
          </w:tcPr>
          <w:p>
            <w:pPr>
              <w:jc w:val="both"/>
              <w:rPr>
                <w:color w:val="000000"/>
                <w:sz w:val="24"/>
                <w:szCs w:val="24"/>
              </w:rPr>
            </w:pPr>
          </w:p>
        </w:tc>
        <w:tc>
          <w:tcPr>
            <w:tcW w:w="642" w:type="dxa"/>
            <w:vMerge w:val="continue"/>
            <w:noWrap w:val="0"/>
            <w:tcMar>
              <w:left w:w="108" w:type="dxa"/>
              <w:right w:w="108" w:type="dxa"/>
            </w:tcMar>
            <w:vAlign w:val="center"/>
          </w:tcPr>
          <w:p>
            <w:pPr>
              <w:jc w:val="both"/>
              <w:rPr>
                <w:color w:val="000000"/>
                <w:sz w:val="24"/>
                <w:szCs w:val="24"/>
              </w:rPr>
            </w:pPr>
          </w:p>
        </w:tc>
        <w:tc>
          <w:tcPr>
            <w:tcW w:w="642" w:type="dxa"/>
            <w:vMerge w:val="continue"/>
            <w:noWrap w:val="0"/>
            <w:tcMar>
              <w:left w:w="108" w:type="dxa"/>
              <w:right w:w="108" w:type="dxa"/>
            </w:tcMar>
            <w:vAlign w:val="center"/>
          </w:tcPr>
          <w:p>
            <w:pPr>
              <w:jc w:val="both"/>
              <w:rPr>
                <w:color w:val="000000"/>
                <w:sz w:val="24"/>
                <w:szCs w:val="24"/>
              </w:rPr>
            </w:pPr>
          </w:p>
        </w:tc>
        <w:tc>
          <w:tcPr>
            <w:tcW w:w="642" w:type="dxa"/>
            <w:vMerge w:val="continue"/>
            <w:noWrap w:val="0"/>
            <w:tcMar>
              <w:left w:w="108" w:type="dxa"/>
              <w:right w:w="108" w:type="dxa"/>
            </w:tcMar>
            <w:vAlign w:val="center"/>
          </w:tcPr>
          <w:p>
            <w:pPr>
              <w:jc w:val="both"/>
              <w:rPr>
                <w:color w:val="000000"/>
                <w:sz w:val="24"/>
                <w:szCs w:val="24"/>
              </w:rPr>
            </w:pPr>
          </w:p>
        </w:tc>
        <w:tc>
          <w:tcPr>
            <w:tcW w:w="642" w:type="dxa"/>
            <w:vMerge w:val="continue"/>
            <w:noWrap w:val="0"/>
            <w:tcMar>
              <w:left w:w="108" w:type="dxa"/>
              <w:right w:w="108" w:type="dxa"/>
            </w:tcMar>
            <w:vAlign w:val="center"/>
          </w:tcPr>
          <w:p>
            <w:pPr>
              <w:jc w:val="both"/>
              <w:rPr>
                <w:color w:val="000000"/>
                <w:sz w:val="24"/>
                <w:szCs w:val="24"/>
              </w:rPr>
            </w:pPr>
          </w:p>
        </w:tc>
        <w:tc>
          <w:tcPr>
            <w:tcW w:w="642" w:type="dxa"/>
            <w:noWrap w:val="0"/>
            <w:tcMar>
              <w:left w:w="108" w:type="dxa"/>
              <w:right w:w="108" w:type="dxa"/>
            </w:tcMar>
            <w:vAlign w:val="center"/>
          </w:tcPr>
          <w:p>
            <w:pPr>
              <w:jc w:val="both"/>
              <w:rPr>
                <w:rFonts w:hint="eastAsia" w:eastAsia="宋体" w:cs="宋体"/>
                <w:color w:val="000000"/>
                <w:kern w:val="0"/>
                <w:sz w:val="20"/>
                <w:lang w:eastAsia="zh-CN" w:bidi="ar"/>
              </w:rPr>
            </w:pPr>
            <w:r>
              <w:rPr>
                <w:rFonts w:hint="eastAsia" w:eastAsia="宋体" w:cs="宋体"/>
                <w:color w:val="000000"/>
                <w:kern w:val="0"/>
                <w:sz w:val="20"/>
                <w:lang w:bidi="ar"/>
              </w:rPr>
              <w:t>结果</w:t>
            </w:r>
          </w:p>
          <w:p>
            <w:pPr>
              <w:jc w:val="both"/>
              <w:rPr>
                <w:color w:val="000000"/>
              </w:rPr>
            </w:pPr>
            <w:r>
              <w:rPr>
                <w:rFonts w:hint="eastAsia" w:eastAsia="宋体" w:cs="宋体"/>
                <w:color w:val="000000"/>
                <w:kern w:val="0"/>
                <w:sz w:val="20"/>
                <w:lang w:bidi="ar"/>
              </w:rPr>
              <w:t>维持</w:t>
            </w:r>
          </w:p>
        </w:tc>
        <w:tc>
          <w:tcPr>
            <w:tcW w:w="642" w:type="dxa"/>
            <w:noWrap w:val="0"/>
            <w:tcMar>
              <w:left w:w="108" w:type="dxa"/>
              <w:right w:w="108" w:type="dxa"/>
            </w:tcMar>
            <w:vAlign w:val="center"/>
          </w:tcPr>
          <w:p>
            <w:pPr>
              <w:jc w:val="both"/>
              <w:rPr>
                <w:rFonts w:hint="eastAsia" w:eastAsia="宋体" w:cs="宋体"/>
                <w:color w:val="000000"/>
                <w:kern w:val="0"/>
                <w:sz w:val="20"/>
                <w:lang w:eastAsia="zh-CN" w:bidi="ar"/>
              </w:rPr>
            </w:pPr>
            <w:r>
              <w:rPr>
                <w:rFonts w:hint="eastAsia" w:eastAsia="宋体" w:cs="宋体"/>
                <w:color w:val="000000"/>
                <w:kern w:val="0"/>
                <w:sz w:val="20"/>
                <w:lang w:bidi="ar"/>
              </w:rPr>
              <w:t>结果</w:t>
            </w:r>
          </w:p>
          <w:p>
            <w:pPr>
              <w:jc w:val="both"/>
              <w:rPr>
                <w:color w:val="000000"/>
              </w:rPr>
            </w:pPr>
            <w:r>
              <w:rPr>
                <w:rFonts w:hint="eastAsia" w:eastAsia="宋体" w:cs="宋体"/>
                <w:color w:val="000000"/>
                <w:kern w:val="0"/>
                <w:sz w:val="20"/>
                <w:lang w:bidi="ar"/>
              </w:rPr>
              <w:t>纠正</w:t>
            </w:r>
          </w:p>
        </w:tc>
        <w:tc>
          <w:tcPr>
            <w:tcW w:w="643" w:type="dxa"/>
            <w:noWrap w:val="0"/>
            <w:tcMar>
              <w:left w:w="108" w:type="dxa"/>
              <w:right w:w="108" w:type="dxa"/>
            </w:tcMar>
            <w:vAlign w:val="center"/>
          </w:tcPr>
          <w:p>
            <w:pPr>
              <w:jc w:val="both"/>
              <w:rPr>
                <w:rFonts w:hint="eastAsia" w:eastAsia="宋体" w:cs="宋体"/>
                <w:color w:val="000000"/>
                <w:kern w:val="0"/>
                <w:sz w:val="20"/>
                <w:lang w:eastAsia="zh-CN" w:bidi="ar"/>
              </w:rPr>
            </w:pPr>
            <w:r>
              <w:rPr>
                <w:rFonts w:hint="eastAsia" w:eastAsia="宋体" w:cs="宋体"/>
                <w:color w:val="000000"/>
                <w:kern w:val="0"/>
                <w:sz w:val="20"/>
                <w:lang w:bidi="ar"/>
              </w:rPr>
              <w:t>其他</w:t>
            </w:r>
          </w:p>
          <w:p>
            <w:pPr>
              <w:jc w:val="both"/>
              <w:rPr>
                <w:color w:val="000000"/>
              </w:rPr>
            </w:pPr>
            <w:r>
              <w:rPr>
                <w:rFonts w:hint="eastAsia" w:eastAsia="宋体" w:cs="宋体"/>
                <w:color w:val="000000"/>
                <w:kern w:val="0"/>
                <w:sz w:val="20"/>
                <w:lang w:bidi="ar"/>
              </w:rPr>
              <w:t>结果</w:t>
            </w:r>
          </w:p>
        </w:tc>
        <w:tc>
          <w:tcPr>
            <w:tcW w:w="643" w:type="dxa"/>
            <w:noWrap w:val="0"/>
            <w:tcMar>
              <w:left w:w="108" w:type="dxa"/>
              <w:right w:w="108" w:type="dxa"/>
            </w:tcMar>
            <w:vAlign w:val="center"/>
          </w:tcPr>
          <w:p>
            <w:pPr>
              <w:jc w:val="both"/>
              <w:rPr>
                <w:rFonts w:hint="eastAsia" w:eastAsia="宋体" w:cs="宋体"/>
                <w:color w:val="000000"/>
                <w:kern w:val="0"/>
                <w:sz w:val="20"/>
                <w:lang w:eastAsia="zh-CN" w:bidi="ar"/>
              </w:rPr>
            </w:pPr>
            <w:r>
              <w:rPr>
                <w:rFonts w:hint="eastAsia" w:eastAsia="宋体" w:cs="宋体"/>
                <w:color w:val="000000"/>
                <w:kern w:val="0"/>
                <w:sz w:val="20"/>
                <w:lang w:bidi="ar"/>
              </w:rPr>
              <w:t>尚未</w:t>
            </w:r>
          </w:p>
          <w:p>
            <w:pPr>
              <w:jc w:val="both"/>
              <w:rPr>
                <w:color w:val="000000"/>
              </w:rPr>
            </w:pPr>
            <w:r>
              <w:rPr>
                <w:rFonts w:hint="eastAsia" w:eastAsia="宋体" w:cs="宋体"/>
                <w:color w:val="000000"/>
                <w:kern w:val="0"/>
                <w:sz w:val="20"/>
                <w:lang w:bidi="ar"/>
              </w:rPr>
              <w:t>审结</w:t>
            </w:r>
          </w:p>
        </w:tc>
        <w:tc>
          <w:tcPr>
            <w:tcW w:w="643" w:type="dxa"/>
            <w:noWrap w:val="0"/>
            <w:tcMar>
              <w:left w:w="108" w:type="dxa"/>
              <w:right w:w="108" w:type="dxa"/>
            </w:tcMar>
            <w:vAlign w:val="center"/>
          </w:tcPr>
          <w:p>
            <w:pPr>
              <w:jc w:val="both"/>
              <w:rPr>
                <w:color w:val="000000"/>
              </w:rPr>
            </w:pPr>
            <w:r>
              <w:rPr>
                <w:rFonts w:hint="eastAsia" w:eastAsia="宋体" w:cs="宋体"/>
                <w:color w:val="000000"/>
                <w:kern w:val="0"/>
                <w:sz w:val="20"/>
                <w:lang w:bidi="ar"/>
              </w:rPr>
              <w:t>总计</w:t>
            </w:r>
          </w:p>
        </w:tc>
        <w:tc>
          <w:tcPr>
            <w:tcW w:w="643" w:type="dxa"/>
            <w:noWrap w:val="0"/>
            <w:tcMar>
              <w:left w:w="108" w:type="dxa"/>
              <w:right w:w="108" w:type="dxa"/>
            </w:tcMar>
            <w:vAlign w:val="center"/>
          </w:tcPr>
          <w:p>
            <w:pPr>
              <w:jc w:val="both"/>
              <w:rPr>
                <w:rFonts w:hint="eastAsia" w:eastAsia="宋体" w:cs="宋体"/>
                <w:color w:val="000000"/>
                <w:kern w:val="0"/>
                <w:sz w:val="20"/>
                <w:lang w:eastAsia="zh-CN" w:bidi="ar"/>
              </w:rPr>
            </w:pPr>
            <w:r>
              <w:rPr>
                <w:rFonts w:hint="eastAsia" w:eastAsia="宋体" w:cs="宋体"/>
                <w:color w:val="000000"/>
                <w:kern w:val="0"/>
                <w:sz w:val="20"/>
                <w:lang w:bidi="ar"/>
              </w:rPr>
              <w:t>结果</w:t>
            </w:r>
          </w:p>
          <w:p>
            <w:pPr>
              <w:jc w:val="both"/>
              <w:rPr>
                <w:color w:val="000000"/>
              </w:rPr>
            </w:pPr>
            <w:r>
              <w:rPr>
                <w:rFonts w:hint="eastAsia" w:eastAsia="宋体" w:cs="宋体"/>
                <w:color w:val="000000"/>
                <w:kern w:val="0"/>
                <w:sz w:val="20"/>
                <w:lang w:bidi="ar"/>
              </w:rPr>
              <w:t>维持</w:t>
            </w:r>
          </w:p>
        </w:tc>
        <w:tc>
          <w:tcPr>
            <w:tcW w:w="643" w:type="dxa"/>
            <w:noWrap w:val="0"/>
            <w:tcMar>
              <w:left w:w="108" w:type="dxa"/>
              <w:right w:w="108" w:type="dxa"/>
            </w:tcMar>
            <w:vAlign w:val="center"/>
          </w:tcPr>
          <w:p>
            <w:pPr>
              <w:jc w:val="both"/>
              <w:rPr>
                <w:rFonts w:hint="eastAsia" w:eastAsia="宋体" w:cs="宋体"/>
                <w:color w:val="000000"/>
                <w:kern w:val="0"/>
                <w:sz w:val="20"/>
                <w:lang w:eastAsia="zh-CN" w:bidi="ar"/>
              </w:rPr>
            </w:pPr>
            <w:r>
              <w:rPr>
                <w:rFonts w:hint="eastAsia" w:eastAsia="宋体" w:cs="宋体"/>
                <w:color w:val="000000"/>
                <w:kern w:val="0"/>
                <w:sz w:val="20"/>
                <w:lang w:bidi="ar"/>
              </w:rPr>
              <w:t>结果</w:t>
            </w:r>
          </w:p>
          <w:p>
            <w:pPr>
              <w:jc w:val="both"/>
              <w:rPr>
                <w:color w:val="000000"/>
              </w:rPr>
            </w:pPr>
            <w:r>
              <w:rPr>
                <w:rFonts w:hint="eastAsia" w:eastAsia="宋体" w:cs="宋体"/>
                <w:color w:val="000000"/>
                <w:kern w:val="0"/>
                <w:sz w:val="20"/>
                <w:lang w:bidi="ar"/>
              </w:rPr>
              <w:t>纠正</w:t>
            </w:r>
          </w:p>
        </w:tc>
        <w:tc>
          <w:tcPr>
            <w:tcW w:w="643" w:type="dxa"/>
            <w:noWrap w:val="0"/>
            <w:tcMar>
              <w:left w:w="108" w:type="dxa"/>
              <w:right w:w="108" w:type="dxa"/>
            </w:tcMar>
            <w:vAlign w:val="center"/>
          </w:tcPr>
          <w:p>
            <w:pPr>
              <w:jc w:val="both"/>
              <w:rPr>
                <w:rFonts w:hint="eastAsia" w:eastAsia="宋体" w:cs="宋体"/>
                <w:color w:val="000000"/>
                <w:kern w:val="0"/>
                <w:sz w:val="20"/>
                <w:lang w:eastAsia="zh-CN" w:bidi="ar"/>
              </w:rPr>
            </w:pPr>
            <w:r>
              <w:rPr>
                <w:rFonts w:hint="eastAsia" w:eastAsia="宋体" w:cs="宋体"/>
                <w:color w:val="000000"/>
                <w:kern w:val="0"/>
                <w:sz w:val="20"/>
                <w:lang w:bidi="ar"/>
              </w:rPr>
              <w:t>其他</w:t>
            </w:r>
          </w:p>
          <w:p>
            <w:pPr>
              <w:jc w:val="both"/>
              <w:rPr>
                <w:color w:val="000000"/>
              </w:rPr>
            </w:pPr>
            <w:r>
              <w:rPr>
                <w:rFonts w:hint="eastAsia" w:eastAsia="宋体" w:cs="宋体"/>
                <w:color w:val="000000"/>
                <w:kern w:val="0"/>
                <w:sz w:val="20"/>
                <w:lang w:bidi="ar"/>
              </w:rPr>
              <w:t>结果</w:t>
            </w:r>
          </w:p>
        </w:tc>
        <w:tc>
          <w:tcPr>
            <w:tcW w:w="643" w:type="dxa"/>
            <w:noWrap w:val="0"/>
            <w:tcMar>
              <w:left w:w="108" w:type="dxa"/>
              <w:right w:w="108" w:type="dxa"/>
            </w:tcMar>
            <w:vAlign w:val="center"/>
          </w:tcPr>
          <w:p>
            <w:pPr>
              <w:jc w:val="both"/>
              <w:rPr>
                <w:rFonts w:hint="eastAsia" w:eastAsia="宋体" w:cs="宋体"/>
                <w:color w:val="000000"/>
                <w:kern w:val="0"/>
                <w:sz w:val="20"/>
                <w:lang w:eastAsia="zh-CN" w:bidi="ar"/>
              </w:rPr>
            </w:pPr>
            <w:r>
              <w:rPr>
                <w:rFonts w:hint="eastAsia" w:eastAsia="宋体" w:cs="宋体"/>
                <w:color w:val="000000"/>
                <w:kern w:val="0"/>
                <w:sz w:val="20"/>
                <w:lang w:bidi="ar"/>
              </w:rPr>
              <w:t>尚未</w:t>
            </w:r>
          </w:p>
          <w:p>
            <w:pPr>
              <w:jc w:val="both"/>
              <w:rPr>
                <w:color w:val="000000"/>
              </w:rPr>
            </w:pPr>
            <w:r>
              <w:rPr>
                <w:rFonts w:hint="eastAsia" w:eastAsia="宋体" w:cs="宋体"/>
                <w:color w:val="000000"/>
                <w:kern w:val="0"/>
                <w:sz w:val="20"/>
                <w:lang w:bidi="ar"/>
              </w:rPr>
              <w:t>审结</w:t>
            </w:r>
          </w:p>
        </w:tc>
        <w:tc>
          <w:tcPr>
            <w:tcW w:w="643" w:type="dxa"/>
            <w:noWrap w:val="0"/>
            <w:tcMar>
              <w:left w:w="108" w:type="dxa"/>
              <w:right w:w="108" w:type="dxa"/>
            </w:tcMar>
            <w:vAlign w:val="center"/>
          </w:tcPr>
          <w:p>
            <w:pPr>
              <w:jc w:val="both"/>
              <w:rPr>
                <w:color w:val="000000"/>
              </w:rPr>
            </w:pPr>
            <w:r>
              <w:rPr>
                <w:rFonts w:hint="eastAsia" w:eastAsia="宋体" w:cs="宋体"/>
                <w:color w:val="000000"/>
                <w:kern w:val="0"/>
                <w:sz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42" w:type="dxa"/>
            <w:noWrap w:val="0"/>
            <w:tcMar>
              <w:left w:w="108" w:type="dxa"/>
              <w:right w:w="108" w:type="dxa"/>
            </w:tcMar>
            <w:vAlign w:val="center"/>
          </w:tcPr>
          <w:p>
            <w:pPr>
              <w:jc w:val="both"/>
              <w:rPr>
                <w:rFonts w:hint="eastAsia" w:eastAsia="黑体" w:cs="黑体"/>
                <w:color w:val="000000"/>
                <w:kern w:val="0"/>
                <w:sz w:val="20"/>
                <w:lang w:val="en-US" w:eastAsia="zh-CN" w:bidi="ar"/>
              </w:rPr>
            </w:pPr>
            <w:r>
              <w:rPr>
                <w:rFonts w:hint="eastAsia" w:eastAsia="黑体" w:cs="黑体"/>
                <w:color w:val="000000"/>
                <w:kern w:val="0"/>
                <w:sz w:val="20"/>
                <w:lang w:val="en-US" w:eastAsia="zh-CN" w:bidi="ar"/>
              </w:rPr>
              <w:t>0</w:t>
            </w:r>
          </w:p>
        </w:tc>
        <w:tc>
          <w:tcPr>
            <w:tcW w:w="642" w:type="dxa"/>
            <w:noWrap w:val="0"/>
            <w:tcMar>
              <w:left w:w="108" w:type="dxa"/>
              <w:right w:w="108" w:type="dxa"/>
            </w:tcMar>
            <w:vAlign w:val="center"/>
          </w:tcPr>
          <w:p>
            <w:pPr>
              <w:jc w:val="both"/>
              <w:rPr>
                <w:rFonts w:hint="eastAsia" w:eastAsia="黑体" w:cs="黑体"/>
                <w:color w:val="000000"/>
                <w:kern w:val="0"/>
                <w:sz w:val="20"/>
                <w:lang w:val="en-US" w:eastAsia="zh-CN" w:bidi="ar"/>
              </w:rPr>
            </w:pPr>
            <w:r>
              <w:rPr>
                <w:rFonts w:hint="eastAsia" w:eastAsia="黑体" w:cs="黑体"/>
                <w:color w:val="000000"/>
                <w:kern w:val="0"/>
                <w:sz w:val="20"/>
                <w:lang w:val="en-US" w:eastAsia="zh-CN" w:bidi="ar"/>
              </w:rPr>
              <w:t> 0</w:t>
            </w:r>
          </w:p>
        </w:tc>
        <w:tc>
          <w:tcPr>
            <w:tcW w:w="642" w:type="dxa"/>
            <w:noWrap w:val="0"/>
            <w:tcMar>
              <w:left w:w="108" w:type="dxa"/>
              <w:right w:w="108" w:type="dxa"/>
            </w:tcMar>
            <w:vAlign w:val="center"/>
          </w:tcPr>
          <w:p>
            <w:pPr>
              <w:jc w:val="both"/>
              <w:rPr>
                <w:rFonts w:hint="eastAsia" w:eastAsia="黑体" w:cs="黑体"/>
                <w:color w:val="000000"/>
                <w:kern w:val="0"/>
                <w:sz w:val="20"/>
                <w:lang w:val="en-US" w:eastAsia="zh-CN" w:bidi="ar"/>
              </w:rPr>
            </w:pPr>
            <w:r>
              <w:rPr>
                <w:rFonts w:hint="eastAsia" w:eastAsia="黑体" w:cs="黑体"/>
                <w:color w:val="000000"/>
                <w:kern w:val="0"/>
                <w:sz w:val="20"/>
                <w:lang w:val="en-US" w:eastAsia="zh-CN" w:bidi="ar"/>
              </w:rPr>
              <w:t> </w:t>
            </w:r>
            <w:r>
              <w:rPr>
                <w:rFonts w:hint="eastAsia" w:eastAsia="黑体" w:cs="黑体"/>
                <w:color w:val="000000"/>
                <w:kern w:val="0"/>
                <w:sz w:val="20"/>
                <w:lang w:val="en-US" w:eastAsia="zh-CN" w:bidi="ar"/>
              </w:rPr>
              <w:t>0</w:t>
            </w:r>
          </w:p>
        </w:tc>
        <w:tc>
          <w:tcPr>
            <w:tcW w:w="642" w:type="dxa"/>
            <w:noWrap w:val="0"/>
            <w:tcMar>
              <w:left w:w="108" w:type="dxa"/>
              <w:right w:w="108" w:type="dxa"/>
            </w:tcMar>
            <w:vAlign w:val="center"/>
          </w:tcPr>
          <w:p>
            <w:pPr>
              <w:jc w:val="both"/>
              <w:rPr>
                <w:rFonts w:hint="eastAsia" w:eastAsia="黑体" w:cs="黑体"/>
                <w:color w:val="000000"/>
                <w:kern w:val="0"/>
                <w:sz w:val="20"/>
                <w:lang w:val="en-US" w:eastAsia="zh-CN" w:bidi="ar"/>
              </w:rPr>
            </w:pPr>
            <w:r>
              <w:rPr>
                <w:rFonts w:hint="eastAsia" w:eastAsia="黑体" w:cs="黑体"/>
                <w:color w:val="000000"/>
                <w:kern w:val="0"/>
                <w:sz w:val="20"/>
                <w:lang w:val="en-US" w:eastAsia="zh-CN" w:bidi="ar"/>
              </w:rPr>
              <w:t> </w:t>
            </w:r>
            <w:r>
              <w:rPr>
                <w:rFonts w:hint="eastAsia" w:eastAsia="黑体" w:cs="黑体"/>
                <w:color w:val="000000"/>
                <w:kern w:val="0"/>
                <w:sz w:val="20"/>
                <w:lang w:val="en-US" w:eastAsia="zh-CN" w:bidi="ar"/>
              </w:rPr>
              <w:t>0</w:t>
            </w:r>
          </w:p>
        </w:tc>
        <w:tc>
          <w:tcPr>
            <w:tcW w:w="642" w:type="dxa"/>
            <w:noWrap w:val="0"/>
            <w:tcMar>
              <w:left w:w="108" w:type="dxa"/>
              <w:right w:w="108" w:type="dxa"/>
            </w:tcMar>
            <w:vAlign w:val="center"/>
          </w:tcPr>
          <w:p>
            <w:pPr>
              <w:jc w:val="both"/>
              <w:rPr>
                <w:rFonts w:hint="eastAsia" w:eastAsia="黑体" w:cs="黑体"/>
                <w:color w:val="000000"/>
                <w:kern w:val="0"/>
                <w:sz w:val="20"/>
                <w:lang w:val="en-US" w:eastAsia="zh-CN" w:bidi="ar"/>
              </w:rPr>
            </w:pPr>
            <w:r>
              <w:rPr>
                <w:rFonts w:hint="eastAsia" w:eastAsia="黑体" w:cs="黑体"/>
                <w:color w:val="000000"/>
                <w:kern w:val="0"/>
                <w:sz w:val="20"/>
                <w:lang w:val="en-US" w:eastAsia="zh-CN" w:bidi="ar"/>
              </w:rPr>
              <w:t>0</w:t>
            </w:r>
          </w:p>
        </w:tc>
        <w:tc>
          <w:tcPr>
            <w:tcW w:w="642" w:type="dxa"/>
            <w:noWrap w:val="0"/>
            <w:tcMar>
              <w:left w:w="108" w:type="dxa"/>
              <w:right w:w="108" w:type="dxa"/>
            </w:tcMar>
            <w:vAlign w:val="center"/>
          </w:tcPr>
          <w:p>
            <w:pPr>
              <w:jc w:val="both"/>
              <w:rPr>
                <w:rFonts w:hint="eastAsia" w:eastAsia="黑体" w:cs="黑体"/>
                <w:color w:val="000000"/>
                <w:kern w:val="0"/>
                <w:sz w:val="20"/>
                <w:lang w:val="en-US" w:eastAsia="zh-CN" w:bidi="ar"/>
              </w:rPr>
            </w:pPr>
            <w:r>
              <w:rPr>
                <w:rFonts w:hint="eastAsia" w:eastAsia="黑体" w:cs="黑体"/>
                <w:color w:val="000000"/>
                <w:kern w:val="0"/>
                <w:sz w:val="20"/>
                <w:lang w:val="en-US" w:eastAsia="zh-CN" w:bidi="ar"/>
              </w:rPr>
              <w:t> </w:t>
            </w:r>
            <w:r>
              <w:rPr>
                <w:rFonts w:hint="eastAsia" w:eastAsia="黑体" w:cs="黑体"/>
                <w:color w:val="000000"/>
                <w:kern w:val="0"/>
                <w:sz w:val="20"/>
                <w:lang w:val="en-US" w:eastAsia="zh-CN" w:bidi="ar"/>
              </w:rPr>
              <w:t>0</w:t>
            </w:r>
          </w:p>
        </w:tc>
        <w:tc>
          <w:tcPr>
            <w:tcW w:w="642" w:type="dxa"/>
            <w:noWrap w:val="0"/>
            <w:tcMar>
              <w:left w:w="108" w:type="dxa"/>
              <w:right w:w="108" w:type="dxa"/>
            </w:tcMar>
            <w:vAlign w:val="center"/>
          </w:tcPr>
          <w:p>
            <w:pPr>
              <w:jc w:val="both"/>
              <w:rPr>
                <w:rFonts w:hint="eastAsia" w:eastAsia="黑体" w:cs="黑体"/>
                <w:color w:val="000000"/>
                <w:kern w:val="0"/>
                <w:sz w:val="20"/>
                <w:lang w:val="en-US" w:eastAsia="zh-CN" w:bidi="ar"/>
              </w:rPr>
            </w:pPr>
            <w:r>
              <w:rPr>
                <w:rFonts w:hint="eastAsia" w:eastAsia="黑体" w:cs="黑体"/>
                <w:color w:val="000000"/>
                <w:kern w:val="0"/>
                <w:sz w:val="20"/>
                <w:lang w:val="en-US" w:eastAsia="zh-CN" w:bidi="ar"/>
              </w:rPr>
              <w:t> </w:t>
            </w:r>
            <w:r>
              <w:rPr>
                <w:rFonts w:hint="eastAsia" w:eastAsia="黑体" w:cs="黑体"/>
                <w:color w:val="000000"/>
                <w:kern w:val="0"/>
                <w:sz w:val="20"/>
                <w:lang w:val="en-US" w:eastAsia="zh-CN" w:bidi="ar"/>
              </w:rPr>
              <w:t>0</w:t>
            </w:r>
          </w:p>
        </w:tc>
        <w:tc>
          <w:tcPr>
            <w:tcW w:w="643" w:type="dxa"/>
            <w:noWrap w:val="0"/>
            <w:tcMar>
              <w:left w:w="108" w:type="dxa"/>
              <w:right w:w="108" w:type="dxa"/>
            </w:tcMar>
            <w:vAlign w:val="center"/>
          </w:tcPr>
          <w:p>
            <w:pPr>
              <w:jc w:val="both"/>
              <w:rPr>
                <w:rFonts w:hint="eastAsia" w:eastAsia="黑体" w:cs="黑体"/>
                <w:color w:val="000000"/>
                <w:kern w:val="0"/>
                <w:sz w:val="20"/>
                <w:lang w:val="en-US" w:eastAsia="zh-CN" w:bidi="ar"/>
              </w:rPr>
            </w:pPr>
            <w:r>
              <w:rPr>
                <w:rFonts w:hint="eastAsia" w:eastAsia="黑体" w:cs="黑体"/>
                <w:color w:val="000000"/>
                <w:kern w:val="0"/>
                <w:sz w:val="20"/>
                <w:lang w:val="en-US" w:eastAsia="zh-CN" w:bidi="ar"/>
              </w:rPr>
              <w:t> </w:t>
            </w:r>
            <w:r>
              <w:rPr>
                <w:rFonts w:hint="eastAsia" w:eastAsia="黑体" w:cs="黑体"/>
                <w:color w:val="000000"/>
                <w:kern w:val="0"/>
                <w:sz w:val="20"/>
                <w:lang w:val="en-US" w:eastAsia="zh-CN" w:bidi="ar"/>
              </w:rPr>
              <w:t>0</w:t>
            </w:r>
          </w:p>
        </w:tc>
        <w:tc>
          <w:tcPr>
            <w:tcW w:w="643" w:type="dxa"/>
            <w:noWrap w:val="0"/>
            <w:tcMar>
              <w:left w:w="108" w:type="dxa"/>
              <w:right w:w="108" w:type="dxa"/>
            </w:tcMar>
            <w:vAlign w:val="center"/>
          </w:tcPr>
          <w:p>
            <w:pPr>
              <w:jc w:val="both"/>
              <w:rPr>
                <w:rFonts w:hint="eastAsia" w:eastAsia="黑体" w:cs="黑体"/>
                <w:color w:val="000000"/>
                <w:kern w:val="0"/>
                <w:sz w:val="20"/>
                <w:lang w:val="en-US" w:eastAsia="zh-CN" w:bidi="ar"/>
              </w:rPr>
            </w:pPr>
            <w:r>
              <w:rPr>
                <w:rFonts w:hint="eastAsia" w:eastAsia="黑体" w:cs="黑体"/>
                <w:color w:val="000000"/>
                <w:kern w:val="0"/>
                <w:sz w:val="20"/>
                <w:lang w:val="en-US" w:eastAsia="zh-CN" w:bidi="ar"/>
              </w:rPr>
              <w:t> </w:t>
            </w:r>
            <w:r>
              <w:rPr>
                <w:rFonts w:hint="eastAsia" w:eastAsia="黑体" w:cs="黑体"/>
                <w:color w:val="000000"/>
                <w:kern w:val="0"/>
                <w:sz w:val="20"/>
                <w:lang w:val="en-US" w:eastAsia="zh-CN" w:bidi="ar"/>
              </w:rPr>
              <w:t>0</w:t>
            </w:r>
          </w:p>
        </w:tc>
        <w:tc>
          <w:tcPr>
            <w:tcW w:w="643" w:type="dxa"/>
            <w:noWrap w:val="0"/>
            <w:tcMar>
              <w:left w:w="108" w:type="dxa"/>
              <w:right w:w="108" w:type="dxa"/>
            </w:tcMar>
            <w:vAlign w:val="center"/>
          </w:tcPr>
          <w:p>
            <w:pPr>
              <w:jc w:val="both"/>
              <w:rPr>
                <w:rFonts w:hint="eastAsia" w:eastAsia="黑体" w:cs="黑体"/>
                <w:color w:val="000000"/>
                <w:kern w:val="0"/>
                <w:sz w:val="20"/>
                <w:lang w:val="en-US" w:eastAsia="zh-CN" w:bidi="ar"/>
              </w:rPr>
            </w:pPr>
            <w:r>
              <w:rPr>
                <w:rFonts w:hint="eastAsia" w:eastAsia="黑体" w:cs="黑体"/>
                <w:color w:val="000000"/>
                <w:kern w:val="0"/>
                <w:sz w:val="20"/>
                <w:lang w:val="en-US" w:eastAsia="zh-CN" w:bidi="ar"/>
              </w:rPr>
              <w:t> 0</w:t>
            </w:r>
          </w:p>
        </w:tc>
        <w:tc>
          <w:tcPr>
            <w:tcW w:w="643" w:type="dxa"/>
            <w:noWrap w:val="0"/>
            <w:tcMar>
              <w:left w:w="108" w:type="dxa"/>
              <w:right w:w="108" w:type="dxa"/>
            </w:tcMar>
            <w:vAlign w:val="center"/>
          </w:tcPr>
          <w:p>
            <w:pPr>
              <w:jc w:val="both"/>
              <w:rPr>
                <w:rFonts w:hint="eastAsia" w:eastAsia="黑体" w:cs="黑体"/>
                <w:color w:val="000000"/>
                <w:kern w:val="0"/>
                <w:sz w:val="20"/>
                <w:lang w:val="en-US" w:eastAsia="zh-CN" w:bidi="ar"/>
              </w:rPr>
            </w:pPr>
            <w:r>
              <w:rPr>
                <w:rFonts w:hint="eastAsia" w:eastAsia="黑体" w:cs="黑体"/>
                <w:color w:val="000000"/>
                <w:kern w:val="0"/>
                <w:sz w:val="20"/>
                <w:lang w:val="en-US" w:eastAsia="zh-CN" w:bidi="ar"/>
              </w:rPr>
              <w:t>0</w:t>
            </w:r>
          </w:p>
        </w:tc>
        <w:tc>
          <w:tcPr>
            <w:tcW w:w="643" w:type="dxa"/>
            <w:noWrap w:val="0"/>
            <w:tcMar>
              <w:left w:w="108" w:type="dxa"/>
              <w:right w:w="108" w:type="dxa"/>
            </w:tcMar>
            <w:vAlign w:val="center"/>
          </w:tcPr>
          <w:p>
            <w:pPr>
              <w:jc w:val="both"/>
              <w:rPr>
                <w:rFonts w:hint="eastAsia" w:eastAsia="黑体" w:cs="黑体"/>
                <w:color w:val="000000"/>
                <w:kern w:val="0"/>
                <w:sz w:val="20"/>
                <w:lang w:val="en-US" w:eastAsia="zh-CN" w:bidi="ar"/>
              </w:rPr>
            </w:pPr>
            <w:r>
              <w:rPr>
                <w:rFonts w:hint="eastAsia" w:eastAsia="黑体" w:cs="黑体"/>
                <w:color w:val="000000"/>
                <w:kern w:val="0"/>
                <w:sz w:val="20"/>
                <w:lang w:val="en-US" w:eastAsia="zh-CN" w:bidi="ar"/>
              </w:rPr>
              <w:t> </w:t>
            </w:r>
            <w:r>
              <w:rPr>
                <w:rFonts w:hint="eastAsia" w:eastAsia="黑体" w:cs="黑体"/>
                <w:color w:val="000000"/>
                <w:kern w:val="0"/>
                <w:sz w:val="20"/>
                <w:lang w:val="en-US" w:eastAsia="zh-CN" w:bidi="ar"/>
              </w:rPr>
              <w:t>0</w:t>
            </w:r>
          </w:p>
        </w:tc>
        <w:tc>
          <w:tcPr>
            <w:tcW w:w="643" w:type="dxa"/>
            <w:noWrap w:val="0"/>
            <w:tcMar>
              <w:left w:w="108" w:type="dxa"/>
              <w:right w:w="108" w:type="dxa"/>
            </w:tcMar>
            <w:vAlign w:val="center"/>
          </w:tcPr>
          <w:p>
            <w:pPr>
              <w:jc w:val="both"/>
              <w:rPr>
                <w:rFonts w:hint="eastAsia" w:eastAsia="黑体" w:cs="黑体"/>
                <w:color w:val="000000"/>
                <w:kern w:val="0"/>
                <w:sz w:val="20"/>
                <w:lang w:val="en-US" w:eastAsia="zh-CN" w:bidi="ar"/>
              </w:rPr>
            </w:pPr>
            <w:r>
              <w:rPr>
                <w:rFonts w:hint="eastAsia" w:eastAsia="黑体" w:cs="黑体"/>
                <w:color w:val="000000"/>
                <w:kern w:val="0"/>
                <w:sz w:val="20"/>
                <w:lang w:val="en-US" w:eastAsia="zh-CN" w:bidi="ar"/>
              </w:rPr>
              <w:t> </w:t>
            </w:r>
            <w:r>
              <w:rPr>
                <w:rFonts w:hint="eastAsia" w:eastAsia="黑体" w:cs="黑体"/>
                <w:color w:val="000000"/>
                <w:kern w:val="0"/>
                <w:sz w:val="20"/>
                <w:lang w:val="en-US" w:eastAsia="zh-CN" w:bidi="ar"/>
              </w:rPr>
              <w:t>0</w:t>
            </w:r>
          </w:p>
        </w:tc>
        <w:tc>
          <w:tcPr>
            <w:tcW w:w="643" w:type="dxa"/>
            <w:noWrap w:val="0"/>
            <w:tcMar>
              <w:left w:w="108" w:type="dxa"/>
              <w:right w:w="108" w:type="dxa"/>
            </w:tcMar>
            <w:vAlign w:val="center"/>
          </w:tcPr>
          <w:p>
            <w:pPr>
              <w:jc w:val="both"/>
              <w:rPr>
                <w:rFonts w:hint="eastAsia" w:eastAsia="黑体" w:cs="黑体"/>
                <w:color w:val="000000"/>
                <w:kern w:val="0"/>
                <w:sz w:val="20"/>
                <w:lang w:val="en-US" w:eastAsia="zh-CN" w:bidi="ar"/>
              </w:rPr>
            </w:pPr>
            <w:r>
              <w:rPr>
                <w:rFonts w:hint="eastAsia" w:eastAsia="黑体" w:cs="黑体"/>
                <w:color w:val="000000"/>
                <w:kern w:val="0"/>
                <w:sz w:val="20"/>
                <w:lang w:val="en-US" w:eastAsia="zh-CN" w:bidi="ar"/>
              </w:rPr>
              <w:t> 0</w:t>
            </w:r>
          </w:p>
        </w:tc>
        <w:tc>
          <w:tcPr>
            <w:tcW w:w="643" w:type="dxa"/>
            <w:noWrap w:val="0"/>
            <w:tcMar>
              <w:left w:w="108" w:type="dxa"/>
              <w:right w:w="108" w:type="dxa"/>
            </w:tcMar>
            <w:vAlign w:val="center"/>
          </w:tcPr>
          <w:p>
            <w:pPr>
              <w:jc w:val="both"/>
              <w:rPr>
                <w:rFonts w:hint="eastAsia" w:eastAsia="黑体" w:cs="黑体"/>
                <w:color w:val="000000"/>
                <w:kern w:val="0"/>
                <w:sz w:val="20"/>
                <w:lang w:val="en-US" w:eastAsia="zh-CN" w:bidi="ar"/>
              </w:rPr>
            </w:pPr>
            <w:r>
              <w:rPr>
                <w:rFonts w:hint="eastAsia" w:eastAsia="黑体" w:cs="黑体"/>
                <w:color w:val="000000"/>
                <w:kern w:val="0"/>
                <w:sz w:val="20"/>
                <w:lang w:val="en-US" w:eastAsia="zh-CN" w:bidi="ar"/>
              </w:rPr>
              <w:t>0</w:t>
            </w:r>
          </w:p>
        </w:tc>
      </w:tr>
    </w:tbl>
    <w:p>
      <w:pPr>
        <w:numPr>
          <w:ilvl w:val="0"/>
          <w:numId w:val="0"/>
        </w:numPr>
        <w:spacing w:beforeAutospacing="0" w:afterAutospacing="0" w:line="600" w:lineRule="exact"/>
        <w:ind w:firstLine="640" w:firstLineChars="200"/>
        <w:jc w:val="both"/>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lang w:eastAsia="zh-CN"/>
        </w:rPr>
        <w:t>五、</w:t>
      </w:r>
      <w:r>
        <w:rPr>
          <w:rFonts w:hint="eastAsia" w:ascii="方正黑体_GBK" w:hAnsi="方正黑体_GBK" w:eastAsia="方正黑体_GBK" w:cs="方正黑体_GBK"/>
          <w:color w:val="000000"/>
          <w:szCs w:val="32"/>
        </w:rPr>
        <w:t>存在的主要问题及改进情况</w:t>
      </w:r>
    </w:p>
    <w:p>
      <w:pPr>
        <w:numPr>
          <w:ilvl w:val="0"/>
          <w:numId w:val="0"/>
        </w:numPr>
        <w:spacing w:beforeAutospacing="0" w:afterAutospacing="0" w:line="600" w:lineRule="exact"/>
        <w:ind w:firstLine="640" w:firstLineChars="200"/>
        <w:jc w:val="both"/>
        <w:rPr>
          <w:rFonts w:hint="eastAsia" w:ascii="方正楷体_GBK" w:hAnsi="方正楷体_GBK" w:eastAsia="方正楷体_GBK" w:cs="方正楷体_GBK"/>
          <w:color w:val="000000"/>
          <w:szCs w:val="32"/>
          <w:lang w:eastAsia="zh-CN"/>
        </w:rPr>
      </w:pPr>
      <w:r>
        <w:rPr>
          <w:rFonts w:hint="eastAsia" w:ascii="方正楷体_GBK" w:hAnsi="方正楷体_GBK" w:eastAsia="方正楷体_GBK" w:cs="方正楷体_GBK"/>
          <w:color w:val="000000"/>
          <w:szCs w:val="32"/>
          <w:lang w:eastAsia="zh-CN"/>
        </w:rPr>
        <w:t>（一）当前存在的问题</w:t>
      </w:r>
      <w:bookmarkStart w:id="0" w:name="_GoBack"/>
      <w:bookmarkEnd w:id="0"/>
    </w:p>
    <w:p>
      <w:pPr>
        <w:numPr>
          <w:ilvl w:val="0"/>
          <w:numId w:val="0"/>
        </w:numPr>
        <w:spacing w:beforeAutospacing="0" w:afterAutospacing="0" w:line="600" w:lineRule="exact"/>
        <w:ind w:firstLine="640" w:firstLineChars="200"/>
        <w:jc w:val="both"/>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高峰镇在政府信息公开工作方面严格按照上级的有关规定开展，取得了一定的成绩，但在工作中依然存在一些不足。一是政务公开信息时效性、动态性有待加强，一些群众关心关注的信息公开还存在不及时、不全面、不具体的问题。二是公开的形势还有待提高。</w:t>
      </w:r>
    </w:p>
    <w:p>
      <w:pPr>
        <w:numPr>
          <w:ilvl w:val="0"/>
          <w:numId w:val="0"/>
        </w:numPr>
        <w:spacing w:beforeAutospacing="0" w:afterAutospacing="0" w:line="600" w:lineRule="exact"/>
        <w:ind w:leftChars="0" w:firstLine="640" w:firstLineChars="200"/>
        <w:jc w:val="both"/>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（二）整改措施</w:t>
      </w:r>
    </w:p>
    <w:p>
      <w:pPr>
        <w:numPr>
          <w:ilvl w:val="0"/>
          <w:numId w:val="0"/>
        </w:numPr>
        <w:spacing w:beforeAutospacing="0" w:afterAutospacing="0" w:line="600" w:lineRule="exact"/>
        <w:ind w:leftChars="0" w:firstLine="640" w:firstLineChars="200"/>
        <w:jc w:val="both"/>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针对以上问题，高峰镇将采取有效措施，认真加以改进。一是及时收集、整理和分析政府信息公开工作中出现的新问题、新情况，增强政府信息公开工作的主动性和时效性；二是加强信息公开相关条例、规定的宣传、培训和学习，提高我镇信息公开工作人员的业务能力和水平。三是加强政府信息公开工作的宣传力，充分利用现代网络信息平台。</w:t>
      </w:r>
    </w:p>
    <w:p>
      <w:pPr>
        <w:spacing w:beforeAutospacing="0" w:afterAutospacing="0" w:line="600"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lang w:eastAsia="zh-CN"/>
        </w:rPr>
        <w:t>六、</w:t>
      </w:r>
      <w:r>
        <w:rPr>
          <w:rFonts w:hint="eastAsia" w:ascii="方正黑体_GBK" w:hAnsi="方正黑体_GBK" w:eastAsia="方正黑体_GBK" w:cs="方正黑体_GBK"/>
          <w:color w:val="000000"/>
          <w:sz w:val="32"/>
          <w:szCs w:val="32"/>
        </w:rPr>
        <w:t>其他需要报告的事项</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olor w:val="333333"/>
          <w:spacing w:val="0"/>
          <w:sz w:val="32"/>
          <w:szCs w:val="32"/>
          <w:shd w:val="clear" w:fill="FFFFFF"/>
        </w:rPr>
        <w:t>本单位严格落实《中华人民共和国政府信息公开条例》、国务院办公厅《202</w:t>
      </w:r>
      <w:r>
        <w:rPr>
          <w:rFonts w:hint="eastAsia" w:ascii="方正仿宋_GBK" w:hAnsi="方正仿宋_GBK" w:eastAsia="方正仿宋_GBK" w:cs="方正仿宋_GBK"/>
          <w:i w:val="0"/>
          <w:iCs w:val="0"/>
          <w:color w:val="333333"/>
          <w:spacing w:val="0"/>
          <w:sz w:val="32"/>
          <w:szCs w:val="32"/>
          <w:shd w:val="clear" w:fill="FFFFFF"/>
          <w:lang w:val="en-US" w:eastAsia="zh-CN"/>
        </w:rPr>
        <w:t>2</w:t>
      </w:r>
      <w:r>
        <w:rPr>
          <w:rFonts w:hint="eastAsia" w:ascii="方正仿宋_GBK" w:hAnsi="方正仿宋_GBK" w:eastAsia="方正仿宋_GBK" w:cs="方正仿宋_GBK"/>
          <w:i w:val="0"/>
          <w:iCs w:val="0"/>
          <w:color w:val="333333"/>
          <w:spacing w:val="0"/>
          <w:sz w:val="32"/>
          <w:szCs w:val="32"/>
          <w:shd w:val="clear" w:fill="FFFFFF"/>
        </w:rPr>
        <w:t>年政务公开工作要点》和重庆市人民政府办公厅《关于印发贯彻落实国务院办公厅202</w:t>
      </w:r>
      <w:r>
        <w:rPr>
          <w:rFonts w:hint="eastAsia" w:ascii="方正仿宋_GBK" w:hAnsi="方正仿宋_GBK" w:eastAsia="方正仿宋_GBK" w:cs="方正仿宋_GBK"/>
          <w:i w:val="0"/>
          <w:iCs w:val="0"/>
          <w:color w:val="333333"/>
          <w:spacing w:val="0"/>
          <w:sz w:val="32"/>
          <w:szCs w:val="32"/>
          <w:shd w:val="clear" w:fill="FFFFFF"/>
          <w:lang w:val="en-US" w:eastAsia="zh-CN"/>
        </w:rPr>
        <w:t>2</w:t>
      </w:r>
      <w:r>
        <w:rPr>
          <w:rFonts w:hint="eastAsia" w:ascii="方正仿宋_GBK" w:hAnsi="方正仿宋_GBK" w:eastAsia="方正仿宋_GBK" w:cs="方正仿宋_GBK"/>
          <w:i w:val="0"/>
          <w:iCs w:val="0"/>
          <w:color w:val="333333"/>
          <w:spacing w:val="0"/>
          <w:sz w:val="32"/>
          <w:szCs w:val="32"/>
          <w:shd w:val="clear" w:fill="FFFFFF"/>
        </w:rPr>
        <w:t>年政务公开工作要点任务分工的通知》要求，完成政务公开各项工作。本机关未收取信息处理费。</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ZWMwYTVjZmUzNjM1MmM1YmRkZDI4MTJjMTczMDgifQ=="/>
  </w:docVars>
  <w:rsids>
    <w:rsidRoot w:val="00000000"/>
    <w:rsid w:val="002B3DAE"/>
    <w:rsid w:val="00814795"/>
    <w:rsid w:val="03261624"/>
    <w:rsid w:val="041D5D6D"/>
    <w:rsid w:val="042B5764"/>
    <w:rsid w:val="05354A8C"/>
    <w:rsid w:val="05DC5E4F"/>
    <w:rsid w:val="0874698D"/>
    <w:rsid w:val="0C3837AC"/>
    <w:rsid w:val="0D480A9C"/>
    <w:rsid w:val="0D7F3E0A"/>
    <w:rsid w:val="0D8D61AC"/>
    <w:rsid w:val="0F1B1021"/>
    <w:rsid w:val="0FD24AAC"/>
    <w:rsid w:val="139A0BA8"/>
    <w:rsid w:val="14826750"/>
    <w:rsid w:val="14F10B3F"/>
    <w:rsid w:val="17CC08A7"/>
    <w:rsid w:val="1B5B7CF4"/>
    <w:rsid w:val="212E25BD"/>
    <w:rsid w:val="23C860B3"/>
    <w:rsid w:val="28592C79"/>
    <w:rsid w:val="292D69B8"/>
    <w:rsid w:val="2BE710A1"/>
    <w:rsid w:val="303D3985"/>
    <w:rsid w:val="303E3DC9"/>
    <w:rsid w:val="318B1757"/>
    <w:rsid w:val="36DB3CBE"/>
    <w:rsid w:val="37215DAE"/>
    <w:rsid w:val="37313B18"/>
    <w:rsid w:val="38934A8A"/>
    <w:rsid w:val="39F5707E"/>
    <w:rsid w:val="3A5E7E93"/>
    <w:rsid w:val="3E815385"/>
    <w:rsid w:val="412344D1"/>
    <w:rsid w:val="41C8098E"/>
    <w:rsid w:val="41F25983"/>
    <w:rsid w:val="48710218"/>
    <w:rsid w:val="4D850279"/>
    <w:rsid w:val="51CE66DB"/>
    <w:rsid w:val="53230050"/>
    <w:rsid w:val="56981066"/>
    <w:rsid w:val="574B3523"/>
    <w:rsid w:val="583354EA"/>
    <w:rsid w:val="5CFF599B"/>
    <w:rsid w:val="5DCD5A99"/>
    <w:rsid w:val="600F36D2"/>
    <w:rsid w:val="607E307A"/>
    <w:rsid w:val="65205679"/>
    <w:rsid w:val="668B64F1"/>
    <w:rsid w:val="66D9120C"/>
    <w:rsid w:val="68365940"/>
    <w:rsid w:val="6A4B0471"/>
    <w:rsid w:val="6BCE135A"/>
    <w:rsid w:val="700057D1"/>
    <w:rsid w:val="76984A3E"/>
    <w:rsid w:val="7AC3280A"/>
    <w:rsid w:val="7B0B23CD"/>
    <w:rsid w:val="7B566745"/>
    <w:rsid w:val="7BC2430B"/>
    <w:rsid w:val="7C3C0483"/>
    <w:rsid w:val="7EA43588"/>
    <w:rsid w:val="7EA60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beforeAutospacing="0" w:afterAutospacing="0"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2397</Words>
  <Characters>2462</Characters>
  <Lines>0</Lines>
  <Paragraphs>0</Paragraphs>
  <TotalTime>16</TotalTime>
  <ScaleCrop>false</ScaleCrop>
  <LinksUpToDate>false</LinksUpToDate>
  <CharactersWithSpaces>2663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2023-01-10T02:17:00Z</dcterms:created>
  <dc:creator>Administrator</dc:creator>
  <cp:lastModifiedBy>Administrator</cp:lastModifiedBy>
  <dcterms:modified xsi:type="dcterms:W3CDTF">2023-01-31T02:16:06Z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0C0EE70D152A441D99BBBC79094B7724</vt:lpwstr>
  </property>
</Properties>
</file>