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jc w:val="center"/>
        <w:rPr>
          <w:rFonts w:hint="default" w:ascii="方正小标宋_GBK" w:hAnsi="方正小标宋_GBK" w:eastAsia="方正小标宋_GBK" w:cs="方正小标宋_GBK"/>
          <w:color w:val="auto"/>
          <w:sz w:val="44"/>
          <w:szCs w:val="44"/>
          <w:shd w:val="clear" w:color="auto" w:fill="FFFFFF"/>
        </w:rPr>
      </w:pPr>
      <w:r>
        <w:rPr>
          <w:rFonts w:ascii="方正小标宋_GBK" w:hAnsi="方正小标宋_GBK" w:eastAsia="方正小标宋_GBK" w:cs="方正小标宋_GBK"/>
          <w:color w:val="auto"/>
          <w:sz w:val="44"/>
          <w:szCs w:val="44"/>
        </w:rPr>
        <w:t>垫江县沙河乡劳动就业和社会保障服务所</w:t>
      </w:r>
      <w:r>
        <w:rPr>
          <w:rFonts w:hint="eastAsia" w:ascii="方正小标宋_GBK" w:hAnsi="方正小标宋_GBK" w:eastAsia="方正小标宋_GBK" w:cs="方正小标宋_GBK"/>
          <w:color w:val="auto"/>
          <w:sz w:val="44"/>
          <w:szCs w:val="44"/>
          <w:shd w:val="clear" w:color="auto" w:fill="FFFFFF"/>
          <w:lang w:eastAsia="zh-CN"/>
        </w:rPr>
        <w:t>2024年</w:t>
      </w:r>
      <w:r>
        <w:rPr>
          <w:rFonts w:ascii="方正小标宋_GBK" w:hAnsi="方正小标宋_GBK" w:eastAsia="方正小标宋_GBK" w:cs="方正小标宋_GBK"/>
          <w:color w:val="auto"/>
          <w:sz w:val="44"/>
          <w:szCs w:val="44"/>
          <w:shd w:val="clear" w:color="auto" w:fill="FFFFFF"/>
        </w:rPr>
        <w:t>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color w:val="auto"/>
          <w:sz w:val="32"/>
          <w:szCs w:val="32"/>
        </w:rPr>
      </w:pPr>
      <w:r>
        <w:rPr>
          <w:rStyle w:val="9"/>
          <w:rFonts w:ascii="黑体" w:hAnsi="黑体" w:eastAsia="黑体" w:cs="黑体"/>
          <w:color w:val="auto"/>
          <w:sz w:val="32"/>
          <w:szCs w:val="32"/>
          <w:shd w:val="clear" w:color="auto" w:fill="FFFFFF"/>
        </w:rPr>
        <w:t>一、</w:t>
      </w:r>
      <w:r>
        <w:rPr>
          <w:rStyle w:val="9"/>
          <w:rFonts w:hint="eastAsia" w:ascii="黑体" w:hAnsi="黑体" w:eastAsia="黑体" w:cs="黑体"/>
          <w:color w:val="auto"/>
          <w:sz w:val="32"/>
          <w:szCs w:val="32"/>
          <w:shd w:val="clear" w:color="auto" w:fill="FFFFFF"/>
          <w:lang w:eastAsia="zh-CN"/>
        </w:rPr>
        <w:t>单位</w:t>
      </w:r>
      <w:r>
        <w:rPr>
          <w:rStyle w:val="9"/>
          <w:rFonts w:ascii="黑体" w:hAnsi="黑体" w:eastAsia="黑体" w:cs="黑体"/>
          <w:color w:val="auto"/>
          <w:sz w:val="32"/>
          <w:szCs w:val="32"/>
          <w:shd w:val="clear" w:color="auto" w:fill="FFFFFF"/>
        </w:rPr>
        <w:t>基本情况</w:t>
      </w:r>
    </w:p>
    <w:p>
      <w:pPr>
        <w:pStyle w:val="7"/>
        <w:shd w:val="clear" w:color="auto" w:fill="FFFFFF"/>
        <w:ind w:firstLine="420"/>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宗旨：为辖区劳动就业和社会保障提供服务。</w:t>
      </w:r>
    </w:p>
    <w:p>
      <w:pPr>
        <w:keepNext w:val="0"/>
        <w:keepLines w:val="0"/>
        <w:pageBreakBefore w:val="0"/>
        <w:widowControl w:val="0"/>
        <w:kinsoku/>
        <w:wordWrap/>
        <w:overflowPunct/>
        <w:topLinePunct w:val="0"/>
        <w:autoSpaceDE/>
        <w:autoSpaceDN/>
        <w:bidi w:val="0"/>
        <w:spacing w:line="594" w:lineRule="exact"/>
        <w:ind w:left="0" w:leftChars="0" w:firstLine="640" w:firstLineChars="200"/>
        <w:textAlignment w:val="auto"/>
        <w:outlineLvl w:val="9"/>
        <w:rPr>
          <w:rFonts w:hint="eastAsia" w:ascii="方正仿宋_GBK" w:hAnsi="仿宋_GB2312" w:eastAsia="方正仿宋_GBK" w:cs="仿宋_GB2312"/>
          <w:color w:val="auto"/>
          <w:sz w:val="32"/>
        </w:rPr>
      </w:pPr>
      <w:r>
        <w:rPr>
          <w:rFonts w:hint="eastAsia" w:ascii="方正仿宋_GBK" w:hAnsi="方正仿宋_GBK" w:eastAsia="方正仿宋_GBK" w:cs="方正仿宋_GBK"/>
          <w:color w:val="auto"/>
          <w:sz w:val="32"/>
          <w:szCs w:val="32"/>
          <w:highlight w:val="none"/>
        </w:rPr>
        <w:t>主要职责：负责劳动就业和社会保障、农村劳务开发管理等具体工作。负责就业培训、职业指导、就业失业登记等相关工作。负责养老、医疗、工伤、生育、失业保险具体办理工作。负责劳动关系协调、离退休人员社会管理服务等工作。</w:t>
      </w:r>
    </w:p>
    <w:p>
      <w:pPr>
        <w:pStyle w:val="7"/>
        <w:shd w:val="clear" w:color="auto" w:fill="FFFFFF"/>
        <w:ind w:firstLine="420"/>
        <w:rPr>
          <w:rFonts w:hint="default" w:ascii="楷体" w:hAnsi="楷体" w:eastAsia="楷体" w:cs="楷体"/>
          <w:color w:val="auto"/>
          <w:sz w:val="32"/>
          <w:szCs w:val="32"/>
        </w:rPr>
      </w:pPr>
      <w:r>
        <w:rPr>
          <w:rStyle w:val="9"/>
          <w:rFonts w:ascii="楷体" w:hAnsi="楷体" w:eastAsia="楷体" w:cs="楷体"/>
          <w:color w:val="auto"/>
          <w:sz w:val="32"/>
          <w:szCs w:val="32"/>
          <w:shd w:val="clear" w:color="auto" w:fill="FFFFFF"/>
        </w:rPr>
        <w:t>（二）机构设置</w:t>
      </w:r>
    </w:p>
    <w:p>
      <w:pPr>
        <w:spacing w:line="600" w:lineRule="exact"/>
        <w:ind w:firstLine="640" w:firstLineChars="200"/>
        <w:rPr>
          <w:rFonts w:hint="default" w:ascii="方正仿宋_GBK" w:hAnsi="仿宋_GB2312" w:eastAsia="方正仿宋_GBK" w:cs="仿宋_GB2312"/>
          <w:color w:val="auto"/>
          <w:sz w:val="32"/>
          <w:lang w:val="en-US" w:eastAsia="zh-CN"/>
        </w:rPr>
      </w:pPr>
      <w:r>
        <w:rPr>
          <w:rFonts w:hint="eastAsia" w:ascii="方正仿宋_GBK" w:hAnsi="仿宋_GB2312" w:eastAsia="方正仿宋_GBK" w:cs="仿宋_GB2312"/>
          <w:color w:val="auto"/>
          <w:sz w:val="32"/>
          <w:lang w:eastAsia="zh-CN"/>
        </w:rPr>
        <w:t>沙河乡社保所编制</w:t>
      </w:r>
      <w:r>
        <w:rPr>
          <w:rFonts w:hint="eastAsia" w:ascii="方正仿宋_GBK" w:hAnsi="仿宋_GB2312" w:eastAsia="方正仿宋_GBK" w:cs="仿宋_GB2312"/>
          <w:color w:val="auto"/>
          <w:sz w:val="32"/>
          <w:lang w:val="en-US" w:eastAsia="zh-CN"/>
        </w:rPr>
        <w:t>2人，人员构成为八级职员1人，中级九级1人。</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二、</w:t>
      </w:r>
      <w:r>
        <w:rPr>
          <w:rStyle w:val="9"/>
          <w:rFonts w:hint="eastAsia" w:ascii="黑体" w:hAnsi="黑体" w:eastAsia="黑体" w:cs="黑体"/>
          <w:color w:val="auto"/>
          <w:sz w:val="32"/>
          <w:szCs w:val="32"/>
          <w:shd w:val="clear" w:color="auto" w:fill="FFFFFF"/>
          <w:lang w:eastAsia="zh-CN"/>
        </w:rPr>
        <w:t>单位</w:t>
      </w:r>
      <w:r>
        <w:rPr>
          <w:rStyle w:val="9"/>
          <w:rFonts w:ascii="黑体" w:hAnsi="黑体" w:eastAsia="黑体" w:cs="黑体"/>
          <w:color w:val="auto"/>
          <w:sz w:val="32"/>
          <w:szCs w:val="32"/>
          <w:shd w:val="clear" w:color="auto" w:fill="FFFFFF"/>
        </w:rPr>
        <w:t>决算情况说明</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7"/>
        <w:shd w:val="clear" w:color="auto" w:fill="FFFFFF"/>
        <w:ind w:firstLine="640" w:firstLineChars="200"/>
        <w:rPr>
          <w:rFonts w:hint="default" w:ascii="方正仿宋_GBK" w:hAnsi="方正仿宋_GBK" w:eastAsia="方正仿宋_GBK" w:cs="方正仿宋_GBK"/>
          <w:color w:val="auto"/>
          <w:sz w:val="32"/>
          <w:szCs w:val="32"/>
          <w:lang w:val="en-US" w:eastAsia="zh-CN"/>
        </w:rPr>
      </w:pPr>
      <w:r>
        <w:rPr>
          <w:rStyle w:val="9"/>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度收入总计69.67万元，支出总计</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万元。收、支与2023年度相比，减少1.77万元，下降2.48%，主要原因</w:t>
      </w:r>
      <w:r>
        <w:rPr>
          <w:rFonts w:hint="eastAsia" w:ascii="方正仿宋_GBK" w:hAnsi="方正仿宋_GBK" w:eastAsia="方正仿宋_GBK" w:cs="方正仿宋_GBK"/>
          <w:color w:val="auto"/>
          <w:sz w:val="32"/>
          <w:szCs w:val="32"/>
          <w:shd w:val="clear" w:color="auto" w:fill="FFFFFF"/>
          <w:lang w:eastAsia="zh-CN"/>
        </w:rPr>
        <w:t>是本单位</w:t>
      </w:r>
      <w:r>
        <w:rPr>
          <w:rFonts w:hint="eastAsia" w:ascii="方正仿宋_GBK" w:hAnsi="方正仿宋_GBK" w:eastAsia="方正仿宋_GBK" w:cs="方正仿宋_GBK"/>
          <w:color w:val="auto"/>
          <w:sz w:val="32"/>
          <w:szCs w:val="32"/>
          <w:shd w:val="clear" w:color="auto" w:fill="FFFFFF"/>
          <w:lang w:val="en-US" w:eastAsia="zh-CN"/>
        </w:rPr>
        <w:t>7月退休1人。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度收入合计69.67万元，与2023年度相比，减少1.77万元，下降2.48%，主要原因是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7月退休1人。</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万元，与2023年度相比，减少1.77万元，下降2.48%，主要原因是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7月退休1人。</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万元，占100.00%；项目支出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度财政拨款收、支总计69.67万元。与202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年相比，财政拨款收、支总计各减少1.77万元，下降2.48%。主要原因是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7月退休1人。</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万元，与2023年度相比，减少1.77万元，下降2.48%。主要原因是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7月退休1人。</w:t>
      </w:r>
      <w:r>
        <w:rPr>
          <w:rFonts w:ascii="方正仿宋_GBK" w:hAnsi="方正仿宋_GBK" w:eastAsia="方正仿宋_GBK" w:cs="方正仿宋_GBK"/>
          <w:color w:val="auto"/>
          <w:sz w:val="32"/>
          <w:szCs w:val="32"/>
          <w:shd w:val="clear" w:color="auto" w:fill="FFFFFF"/>
        </w:rPr>
        <w:t>较年初预算数增加6.34万元，增长10.01%。主要原因是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Style w:val="9"/>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万元，与2023年度相比，减少1.77万元，下降2.48%。主要原因是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7月退休1人。</w:t>
      </w:r>
      <w:r>
        <w:rPr>
          <w:rFonts w:ascii="方正仿宋_GBK" w:hAnsi="方正仿宋_GBK" w:eastAsia="方正仿宋_GBK" w:cs="方正仿宋_GBK"/>
          <w:color w:val="auto"/>
          <w:sz w:val="32"/>
          <w:szCs w:val="32"/>
          <w:shd w:val="clear" w:color="auto" w:fill="FFFFFF"/>
        </w:rPr>
        <w:t>较年初预算数增加6.34万元，增长10.01%。主要原因是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本单位上年无结余。</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 xml:space="preserve"> 4.比较情况。</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61.95</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88.93</w:t>
      </w:r>
      <w:r>
        <w:rPr>
          <w:rFonts w:ascii="方正仿宋_GBK" w:hAnsi="方正仿宋_GBK" w:eastAsia="方正仿宋_GBK" w:cs="方正仿宋_GBK"/>
          <w:color w:val="auto"/>
          <w:sz w:val="32"/>
          <w:szCs w:val="32"/>
          <w:shd w:val="clear" w:color="auto" w:fill="FFFFFF"/>
        </w:rPr>
        <w:t>%，较年初预算数增加4.24万元，增长7.35%，主要原因是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hint="eastAsia" w:ascii="方正仿宋_GBK" w:hAnsi="方正仿宋_GBK" w:eastAsia="方正仿宋_GBK" w:cs="方正仿宋_GBK"/>
          <w:color w:val="auto"/>
          <w:sz w:val="32"/>
          <w:szCs w:val="32"/>
          <w:shd w:val="clear" w:color="auto" w:fill="FFFFFF"/>
          <w:lang w:val="en-US" w:eastAsia="zh-CN"/>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3.61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5.18</w:t>
      </w:r>
      <w:r>
        <w:rPr>
          <w:rFonts w:ascii="方正仿宋_GBK" w:hAnsi="方正仿宋_GBK" w:eastAsia="方正仿宋_GBK" w:cs="方正仿宋_GBK"/>
          <w:color w:val="auto"/>
          <w:sz w:val="32"/>
          <w:szCs w:val="32"/>
          <w:shd w:val="clear" w:color="auto" w:fill="FFFFFF"/>
        </w:rPr>
        <w:t>%，较年初预算数增加1.06万元，增长41.57%，主要原因是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 xml:space="preserve">   </w:t>
      </w:r>
    </w:p>
    <w:p>
      <w:pPr>
        <w:ind w:firstLine="640" w:firstLineChars="200"/>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住房保障支出4.10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5.89</w:t>
      </w:r>
      <w:r>
        <w:rPr>
          <w:rFonts w:ascii="方正仿宋_GBK" w:hAnsi="方正仿宋_GBK" w:eastAsia="方正仿宋_GBK" w:cs="方正仿宋_GBK"/>
          <w:color w:val="auto"/>
          <w:sz w:val="32"/>
          <w:szCs w:val="32"/>
          <w:shd w:val="clear" w:color="auto" w:fill="FFFFFF"/>
        </w:rPr>
        <w:t>%，较年初预算数增加1.03万元，增长33.55%，主要原因是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hint="eastAsia" w:ascii="方正仿宋_GBK" w:hAnsi="方正仿宋_GBK" w:eastAsia="方正仿宋_GBK" w:cs="方正仿宋_GBK"/>
          <w:color w:val="auto"/>
          <w:sz w:val="32"/>
          <w:szCs w:val="32"/>
          <w:shd w:val="clear" w:color="auto" w:fill="FFFFFF"/>
          <w:lang w:val="en-US" w:eastAsia="zh-CN"/>
        </w:rPr>
        <w:t>。</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度一般公共财政拨款基本支出</w:t>
      </w:r>
      <w:r>
        <w:rPr>
          <w:rFonts w:ascii="方正仿宋_GBK" w:hAnsi="方正仿宋_GBK" w:eastAsia="方正仿宋_GBK" w:cs="方正仿宋_GBK"/>
          <w:color w:val="auto"/>
          <w:sz w:val="32"/>
          <w:szCs w:val="32"/>
        </w:rPr>
        <w:t>69.67</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64.97</w:t>
      </w:r>
      <w:r>
        <w:rPr>
          <w:rFonts w:ascii="方正仿宋_GBK" w:hAnsi="方正仿宋_GBK" w:eastAsia="方正仿宋_GBK" w:cs="方正仿宋_GBK"/>
          <w:color w:val="auto"/>
          <w:sz w:val="32"/>
          <w:szCs w:val="32"/>
          <w:shd w:val="clear" w:color="auto" w:fill="FFFFFF"/>
        </w:rPr>
        <w:t>万元，与2023年度相比，增加1.24万元，增长1.95%，主要原因是</w:t>
      </w:r>
      <w:r>
        <w:rPr>
          <w:rFonts w:hint="eastAsia" w:ascii="方正仿宋_GBK" w:hAnsi="方正仿宋_GBK" w:eastAsia="方正仿宋_GBK" w:cs="方正仿宋_GBK"/>
          <w:color w:val="auto"/>
          <w:sz w:val="32"/>
          <w:szCs w:val="32"/>
          <w:shd w:val="clear" w:color="auto" w:fill="FFFFFF"/>
          <w:lang w:eastAsia="zh-CN"/>
        </w:rPr>
        <w:t>人员增资及保险调标</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color w:val="auto"/>
          <w:sz w:val="32"/>
          <w:szCs w:val="32"/>
          <w:shd w:val="clear" w:color="auto" w:fill="FFFFFF"/>
        </w:rPr>
        <w:t>人员经费用途主要包括基本工资、津贴补贴、</w:t>
      </w:r>
      <w:r>
        <w:rPr>
          <w:rFonts w:hint="eastAsia" w:ascii="方正仿宋_GBK" w:hAnsi="方正仿宋_GBK" w:eastAsia="方正仿宋_GBK" w:cs="方正仿宋_GBK"/>
          <w:color w:val="auto"/>
          <w:sz w:val="32"/>
          <w:szCs w:val="32"/>
          <w:shd w:val="clear" w:color="auto" w:fill="FFFFFF"/>
          <w:lang w:eastAsia="zh-CN"/>
        </w:rPr>
        <w:t>基础绩效</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超额绩效、</w:t>
      </w:r>
      <w:r>
        <w:rPr>
          <w:rFonts w:ascii="方正仿宋_GBK" w:hAnsi="方正仿宋_GBK" w:eastAsia="方正仿宋_GBK" w:cs="方正仿宋_GBK"/>
          <w:color w:val="auto"/>
          <w:sz w:val="32"/>
          <w:szCs w:val="32"/>
          <w:shd w:val="clear" w:color="auto" w:fill="FFFFFF"/>
        </w:rPr>
        <w:t>社会保障缴费、其他工资福利、公积金等支出</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4.69</w:t>
      </w:r>
      <w:r>
        <w:rPr>
          <w:rFonts w:ascii="方正仿宋_GBK" w:hAnsi="方正仿宋_GBK" w:eastAsia="方正仿宋_GBK" w:cs="方正仿宋_GBK"/>
          <w:color w:val="auto"/>
          <w:sz w:val="32"/>
          <w:szCs w:val="32"/>
          <w:shd w:val="clear" w:color="auto" w:fill="FFFFFF"/>
        </w:rPr>
        <w:t>万元，与2023年度相比，减少3.02万元，下降39.17%，主要原因是</w:t>
      </w:r>
      <w:r>
        <w:rPr>
          <w:rFonts w:hint="eastAsia" w:ascii="方正仿宋_GBK" w:hAnsi="方正仿宋_GBK" w:eastAsia="方正仿宋_GBK" w:cs="方正仿宋_GBK"/>
          <w:color w:val="auto"/>
          <w:sz w:val="32"/>
          <w:szCs w:val="32"/>
          <w:shd w:val="clear" w:color="auto" w:fill="FFFFFF"/>
          <w:lang w:eastAsia="zh-CN"/>
        </w:rPr>
        <w:t>严格控制公用经费支出。</w:t>
      </w:r>
      <w:r>
        <w:rPr>
          <w:rFonts w:ascii="方正仿宋_GBK" w:hAnsi="方正仿宋_GBK" w:eastAsia="方正仿宋_GBK" w:cs="方正仿宋_GBK"/>
          <w:color w:val="auto"/>
          <w:sz w:val="32"/>
          <w:szCs w:val="32"/>
          <w:shd w:val="clear" w:color="auto" w:fill="FFFFFF"/>
        </w:rPr>
        <w:t>公用经费用途主要包括办公费、印刷费、水费、电费、差旅费、维修费、劳务费、委托业务费、工会经费、公务车运行维护费、公务接待费、会议费、培训费、其他商品服务支出等组成。</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ind w:firstLine="640" w:firstLineChars="200"/>
        <w:rPr>
          <w:rFonts w:hint="default"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本单位2024年度无政府性基金预算财政拨款收支。</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b w:val="0"/>
          <w:bCs w:val="0"/>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本单位2024年</w:t>
      </w:r>
      <w:r>
        <w:rPr>
          <w:rFonts w:ascii="方正仿宋_GBK" w:hAnsi="方正仿宋_GBK" w:eastAsia="方正仿宋_GBK" w:cs="方正仿宋_GBK"/>
          <w:color w:val="auto"/>
          <w:sz w:val="32"/>
          <w:szCs w:val="32"/>
          <w:shd w:val="clear" w:color="auto" w:fill="FFFFFF"/>
        </w:rPr>
        <w:t>度无国有资本经营预算财政拨款支出。</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p>
    <w:p>
      <w:pPr>
        <w:pStyle w:val="7"/>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240" w:lineRule="auto"/>
        <w:ind w:firstLine="643" w:firstLineChars="200"/>
        <w:jc w:val="both"/>
        <w:textAlignment w:val="auto"/>
        <w:rPr>
          <w:rStyle w:val="9"/>
          <w:rFonts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“三公”经费情况说明</w:t>
      </w:r>
    </w:p>
    <w:p>
      <w:pPr>
        <w:pStyle w:val="7"/>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240" w:lineRule="auto"/>
        <w:jc w:val="both"/>
        <w:textAlignment w:val="auto"/>
        <w:rPr>
          <w:rStyle w:val="9"/>
          <w:rFonts w:hint="default" w:ascii="黑体" w:hAnsi="黑体" w:eastAsia="黑体" w:cs="黑体"/>
          <w:color w:val="auto"/>
          <w:sz w:val="32"/>
          <w:szCs w:val="32"/>
          <w:shd w:val="clear" w:color="auto" w:fill="FFFFFF"/>
        </w:rPr>
      </w:pP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万元，较年初预算数无增减，主要原因是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无三公经费。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本单位无因公出国（境）费用。</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本单位无因公出国（境）费用。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本单位公务车购置</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本单位无公务车购置</w:t>
      </w:r>
      <w:r>
        <w:rPr>
          <w:rFonts w:ascii="方正仿宋_GBK" w:hAnsi="方正仿宋_GBK" w:eastAsia="方正仿宋_GBK" w:cs="方正仿宋_GBK"/>
          <w:color w:val="auto"/>
          <w:sz w:val="32"/>
          <w:szCs w:val="32"/>
          <w:shd w:val="clear" w:color="auto" w:fill="FFFFFF"/>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公务车油费、保险及维护维修费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无公务车运行维护费。</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接待市、县级部门来乡检查各项工作</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r>
        <w:rPr>
          <w:rFonts w:ascii="方正仿宋_GBK" w:hAnsi="方正仿宋_GBK" w:eastAsia="方正仿宋_GBK" w:cs="方正仿宋_GBK"/>
          <w:color w:val="auto"/>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单位无公务接待费。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2024年本单位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ascii="黑体" w:hAnsi="黑体" w:eastAsia="黑体" w:cs="黑体"/>
          <w:color w:val="auto"/>
          <w:sz w:val="32"/>
          <w:szCs w:val="32"/>
          <w:shd w:val="clear" w:color="auto" w:fill="FFFFFF"/>
        </w:rPr>
        <w:t>四、其他需要说明的事项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无会议费。</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万元，与2023年度相比，无变化，主要原因是主要原因是</w:t>
      </w:r>
      <w:r>
        <w:rPr>
          <w:rFonts w:hint="eastAsia" w:ascii="方正仿宋_GBK" w:hAnsi="方正仿宋_GBK" w:eastAsia="方正仿宋_GBK" w:cs="方正仿宋_GBK"/>
          <w:color w:val="auto"/>
          <w:sz w:val="32"/>
          <w:szCs w:val="32"/>
          <w:shd w:val="clear" w:color="auto" w:fill="FFFFFF"/>
          <w:lang w:eastAsia="zh-CN"/>
        </w:rPr>
        <w:t>本单位无培训费。</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bookmarkStart w:id="0" w:name="_GoBack"/>
      <w:bookmarkEnd w:id="0"/>
    </w:p>
    <w:p>
      <w:pPr>
        <w:pStyle w:val="12"/>
        <w:autoSpaceDE w:val="0"/>
        <w:ind w:firstLine="643"/>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12"/>
        <w:autoSpaceDE w:val="0"/>
        <w:ind w:firstLine="643"/>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为沙河乡人民政府合并办公，故无国有资产</w:t>
      </w:r>
      <w:r>
        <w:rPr>
          <w:rFonts w:ascii="方正仿宋_GBK" w:hAnsi="方正仿宋_GBK" w:eastAsia="方正仿宋_GBK" w:cs="方正仿宋_GBK"/>
          <w:color w:val="auto"/>
          <w:sz w:val="32"/>
          <w:szCs w:val="32"/>
          <w:shd w:val="clear" w:color="auto" w:fill="FFFFFF"/>
        </w:rPr>
        <w:t>。</w:t>
      </w:r>
    </w:p>
    <w:p>
      <w:pPr>
        <w:pStyle w:val="12"/>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r>
        <w:rPr>
          <w:rFonts w:hint="eastAsia" w:ascii="方正仿宋_GBK" w:hAnsi="方正仿宋_GBK" w:eastAsia="方正仿宋_GBK" w:cs="方正仿宋_GBK"/>
          <w:color w:val="auto"/>
          <w:sz w:val="32"/>
          <w:szCs w:val="32"/>
          <w:shd w:val="clear" w:color="auto" w:fill="FFFFFF"/>
          <w:lang w:eastAsia="zh-CN"/>
        </w:rPr>
        <w:t>本单位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0.00万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9"/>
          <w:rFonts w:hint="default" w:ascii="黑体" w:hAnsi="黑体" w:eastAsia="黑体" w:cs="黑体"/>
          <w:color w:val="auto"/>
          <w:sz w:val="32"/>
          <w:szCs w:val="32"/>
          <w:shd w:val="clear" w:color="auto" w:fill="FFFFFF"/>
        </w:rPr>
      </w:pPr>
      <w:r>
        <w:rPr>
          <w:rStyle w:val="9"/>
          <w:rFonts w:hint="eastAsia" w:ascii="黑体" w:hAnsi="黑体" w:eastAsia="黑体" w:cs="黑体"/>
          <w:color w:val="auto"/>
          <w:sz w:val="32"/>
          <w:szCs w:val="32"/>
          <w:shd w:val="clear" w:color="auto" w:fill="FFFFFF"/>
          <w:lang w:val="en-US" w:eastAsia="zh-CN"/>
        </w:rPr>
        <w:t>五、</w:t>
      </w:r>
      <w:r>
        <w:rPr>
          <w:rStyle w:val="9"/>
          <w:rFonts w:ascii="黑体" w:hAnsi="黑体" w:eastAsia="黑体" w:cs="黑体"/>
          <w:color w:val="auto"/>
          <w:sz w:val="32"/>
          <w:szCs w:val="32"/>
          <w:shd w:val="clear" w:color="auto" w:fill="FFFFFF"/>
        </w:rPr>
        <w:t>预算绩效管理情况说明</w:t>
      </w:r>
    </w:p>
    <w:p>
      <w:pPr>
        <w:pStyle w:val="12"/>
        <w:numPr>
          <w:ilvl w:val="0"/>
          <w:numId w:val="2"/>
        </w:numPr>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单位自评情况</w:t>
      </w:r>
    </w:p>
    <w:p>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我单位未组织开展预算绩效管理绩效评价。</w:t>
      </w:r>
    </w:p>
    <w:p>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（二）</w:t>
      </w:r>
      <w:r>
        <w:rPr>
          <w:rFonts w:hint="eastAsia" w:ascii="楷体" w:hAnsi="楷体" w:eastAsia="楷体" w:cs="楷体"/>
          <w:b/>
          <w:bCs/>
          <w:color w:val="auto"/>
          <w:sz w:val="32"/>
          <w:szCs w:val="32"/>
          <w:shd w:val="clear" w:color="auto" w:fill="FFFFFF"/>
          <w:lang w:eastAsia="zh-CN" w:bidi="ar"/>
        </w:rPr>
        <w:t>单位</w:t>
      </w:r>
      <w:r>
        <w:rPr>
          <w:rFonts w:hint="eastAsia" w:ascii="楷体" w:hAnsi="楷体" w:eastAsia="楷体" w:cs="楷体"/>
          <w:b/>
          <w:bCs/>
          <w:color w:val="auto"/>
          <w:sz w:val="32"/>
          <w:szCs w:val="32"/>
          <w:shd w:val="clear" w:color="auto" w:fill="FFFFFF"/>
          <w:lang w:bidi="ar"/>
        </w:rPr>
        <w:t>绩效评价情况</w:t>
      </w:r>
    </w:p>
    <w:p>
      <w:pPr>
        <w:pStyle w:val="12"/>
        <w:autoSpaceDE w:val="0"/>
        <w:ind w:firstLine="640"/>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我单位未组织开展绩效评价。</w:t>
      </w:r>
    </w:p>
    <w:p>
      <w:pPr>
        <w:pStyle w:val="12"/>
        <w:autoSpaceDE w:val="0"/>
        <w:ind w:firstLine="640"/>
        <w:rPr>
          <w:rFonts w:hint="eastAsia" w:ascii="楷体" w:hAnsi="楷体" w:eastAsia="楷体" w:cs="楷体"/>
          <w:b/>
          <w:bCs/>
          <w:color w:val="auto"/>
          <w:sz w:val="32"/>
          <w:szCs w:val="32"/>
          <w:shd w:val="clear" w:color="auto" w:fill="FFFFFF"/>
          <w:lang w:bidi="ar"/>
        </w:rPr>
      </w:pPr>
      <w:r>
        <w:rPr>
          <w:rFonts w:hint="eastAsia" w:ascii="楷体" w:hAnsi="楷体" w:eastAsia="楷体" w:cs="楷体"/>
          <w:b/>
          <w:bCs/>
          <w:color w:val="auto"/>
          <w:sz w:val="32"/>
          <w:szCs w:val="32"/>
          <w:shd w:val="clear" w:color="auto" w:fill="FFFFFF"/>
          <w:lang w:bidi="ar"/>
        </w:rPr>
        <w:t>（三）财政绩效评价情况</w:t>
      </w:r>
    </w:p>
    <w:p>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pPr>
        <w:pStyle w:val="7"/>
        <w:keepNext w:val="0"/>
        <w:keepLines w:val="0"/>
        <w:pageBreakBefore w:val="0"/>
        <w:widowControl/>
        <w:shd w:val="clear" w:color="auto" w:fill="FFFFFF"/>
        <w:kinsoku/>
        <w:wordWrap/>
        <w:overflowPunct/>
        <w:topLinePunct w:val="0"/>
        <w:autoSpaceDE/>
        <w:autoSpaceDN/>
        <w:bidi w:val="0"/>
        <w:adjustRightInd/>
        <w:snapToGrid/>
        <w:ind w:firstLine="640" w:firstLineChars="200"/>
        <w:textAlignment w:val="auto"/>
        <w:rPr>
          <w:rStyle w:val="9"/>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 xml:space="preserve">  </w:t>
      </w:r>
      <w:r>
        <w:rPr>
          <w:rStyle w:val="9"/>
          <w:rFonts w:ascii="黑体" w:hAnsi="黑体" w:eastAsia="黑体" w:cs="黑体"/>
          <w:color w:val="auto"/>
          <w:sz w:val="32"/>
          <w:szCs w:val="32"/>
          <w:shd w:val="clear" w:color="auto" w:fill="FFFFFF"/>
        </w:rPr>
        <w:t>六、专业名词解释</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b/>
          <w:bCs/>
          <w:color w:val="auto"/>
          <w:sz w:val="32"/>
          <w:szCs w:val="32"/>
          <w:shd w:val="clear" w:color="auto" w:fill="FFFFFF"/>
        </w:rPr>
        <w:t> </w:t>
      </w:r>
      <w:r>
        <w:rPr>
          <w:rFonts w:ascii="楷体" w:hAnsi="楷体" w:eastAsia="楷体" w:cs="楷体"/>
          <w:b/>
          <w:bCs/>
          <w:color w:val="auto"/>
          <w:sz w:val="32"/>
          <w:szCs w:val="32"/>
          <w:shd w:val="clear" w:color="auto" w:fill="FFFFFF"/>
        </w:rPr>
        <w:t>（一）财政拨款收入：</w:t>
      </w:r>
      <w:r>
        <w:rPr>
          <w:rFonts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（二）事业收入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（三）经营收入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（四）其他收入</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（五）使用非财政拨款结余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（六）年初结转和结余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（七）结余分配</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（八）年末结转和结余</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（九）基本支出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（十）项目支出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（十一）经营支出</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（十二）“三公”经费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（十三）机关运行经费</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（十四）工资福利支出（支出经济分类科目类级）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（十五）商品和服务支出（支出经济分类科目类级）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7"/>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9"/>
          <w:rFonts w:ascii="楷体" w:hAnsi="楷体" w:eastAsia="楷体" w:cs="楷体"/>
          <w:color w:val="auto"/>
          <w:sz w:val="32"/>
          <w:szCs w:val="32"/>
          <w:shd w:val="clear" w:color="auto" w:fill="FFFFFF"/>
        </w:rPr>
        <w:t> （十六）对个人和家庭的补助（支出经济分类科目类级）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反映用于对个人和家庭的补助支出。</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Style w:val="9"/>
          <w:rFonts w:ascii="方正仿宋_GBK" w:hAnsi="方正仿宋_GBK" w:eastAsia="方正仿宋_GBK" w:cs="方正仿宋_GBK"/>
          <w:color w:val="auto"/>
          <w:sz w:val="32"/>
          <w:szCs w:val="32"/>
          <w:shd w:val="clear" w:color="auto" w:fill="FFFFFF"/>
        </w:rPr>
        <w:t> </w:t>
      </w:r>
      <w:r>
        <w:rPr>
          <w:rStyle w:val="9"/>
          <w:rFonts w:ascii="楷体" w:hAnsi="楷体" w:eastAsia="楷体" w:cs="楷体"/>
          <w:color w:val="auto"/>
          <w:sz w:val="32"/>
          <w:szCs w:val="32"/>
          <w:shd w:val="clear" w:color="auto" w:fill="FFFFFF"/>
        </w:rPr>
        <w:t>（十七）其他资本性支出（支出经济分类科目类级）</w:t>
      </w:r>
      <w:r>
        <w:rPr>
          <w:rFonts w:ascii="楷体" w:hAnsi="楷体" w:eastAsia="楷体" w:cs="楷体"/>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shd w:val="clear" w:color="auto" w:fill="FFFFFF"/>
        <w:rPr>
          <w:rStyle w:val="9"/>
          <w:rFonts w:hint="default" w:ascii="方正仿宋_GBK" w:hAnsi="方正仿宋_GBK" w:eastAsia="方正仿宋_GBK" w:cs="方正仿宋_GBK"/>
          <w:color w:val="auto"/>
          <w:sz w:val="32"/>
          <w:szCs w:val="32"/>
          <w:shd w:val="clear" w:color="auto" w:fill="FFFFFF"/>
        </w:rPr>
      </w:pPr>
      <w:r>
        <w:rPr>
          <w:rStyle w:val="9"/>
          <w:rFonts w:ascii="方正仿宋_GBK" w:hAnsi="方正仿宋_GBK" w:eastAsia="方正仿宋_GBK" w:cs="方正仿宋_GBK"/>
          <w:color w:val="auto"/>
          <w:sz w:val="32"/>
          <w:szCs w:val="32"/>
          <w:shd w:val="clear" w:color="auto" w:fill="FFFFFF"/>
        </w:rPr>
        <w:t xml:space="preserve">  </w:t>
      </w:r>
      <w:r>
        <w:rPr>
          <w:rStyle w:val="9"/>
          <w:rFonts w:ascii="黑体" w:hAnsi="黑体" w:eastAsia="黑体" w:cs="黑体"/>
          <w:color w:val="auto"/>
          <w:sz w:val="32"/>
          <w:szCs w:val="32"/>
          <w:shd w:val="clear" w:color="auto" w:fill="FFFFFF"/>
        </w:rPr>
        <w:t>七、决算公开联系方式及信息反馈渠道</w:t>
      </w:r>
    </w:p>
    <w:p>
      <w:pPr>
        <w:pStyle w:val="12"/>
        <w:keepNext w:val="0"/>
        <w:keepLines w:val="0"/>
        <w:pageBreakBefore w:val="0"/>
        <w:widowControl/>
        <w:kinsoku/>
        <w:wordWrap/>
        <w:overflowPunct/>
        <w:topLinePunct w:val="0"/>
        <w:autoSpaceDE w:val="0"/>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本单位决算公开信息反馈和联系方式：</w:t>
      </w:r>
      <w:r>
        <w:rPr>
          <w:rFonts w:ascii="方正仿宋_GBK" w:hAnsi="方正仿宋_GBK" w:eastAsia="方正仿宋_GBK" w:cs="方正仿宋_GBK"/>
          <w:color w:val="auto"/>
          <w:kern w:val="2"/>
          <w:sz w:val="32"/>
          <w:szCs w:val="32"/>
          <w:lang w:bidi="ar"/>
        </w:rPr>
        <w:t>垫江县</w:t>
      </w:r>
      <w:r>
        <w:rPr>
          <w:rFonts w:hint="eastAsia" w:ascii="方正仿宋_GBK" w:hAnsi="方正仿宋_GBK" w:eastAsia="方正仿宋_GBK" w:cs="方正仿宋_GBK"/>
          <w:color w:val="auto"/>
          <w:kern w:val="2"/>
          <w:sz w:val="32"/>
          <w:szCs w:val="32"/>
          <w:lang w:eastAsia="zh-CN" w:bidi="ar"/>
        </w:rPr>
        <w:t>沙河乡</w:t>
      </w:r>
      <w:r>
        <w:rPr>
          <w:rFonts w:ascii="方正仿宋_GBK" w:hAnsi="方正仿宋_GBK" w:eastAsia="方正仿宋_GBK" w:cs="方正仿宋_GBK"/>
          <w:color w:val="auto"/>
          <w:kern w:val="2"/>
          <w:sz w:val="32"/>
          <w:szCs w:val="32"/>
          <w:lang w:bidi="ar"/>
        </w:rPr>
        <w:t>人民政府办公室电话</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023-74559601。</w:t>
      </w:r>
    </w:p>
    <w:p>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pPr>
        <w:pStyle w:val="12"/>
        <w:autoSpaceDE w:val="0"/>
        <w:ind w:firstLine="0" w:firstLineChars="0"/>
        <w:rPr>
          <w:rFonts w:hint="eastAsia" w:ascii="方正仿宋_GBK" w:hAnsi="方正仿宋_GBK" w:eastAsia="方正仿宋_GBK" w:cs="方正仿宋_GBK"/>
          <w:color w:val="auto"/>
          <w:sz w:val="32"/>
          <w:szCs w:val="32"/>
          <w:shd w:val="clear" w:color="auto" w:fill="FFFFFF"/>
          <w:lang w:val="en-US" w:eastAsia="zh-CN"/>
        </w:rPr>
      </w:pPr>
    </w:p>
    <w:p>
      <w:p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附表：</w:t>
      </w:r>
    </w:p>
    <w:p>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收入支出决算总表</w:t>
      </w:r>
    </w:p>
    <w:p>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收入决算表</w:t>
      </w:r>
    </w:p>
    <w:p>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支出决算表</w:t>
      </w:r>
    </w:p>
    <w:p>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财政拨款收入支出决算总表</w:t>
      </w:r>
    </w:p>
    <w:p>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一般公共预算财政拨款支出决算表</w:t>
      </w:r>
    </w:p>
    <w:p>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一般公共预算财政拨款基本支出决算表</w:t>
      </w:r>
    </w:p>
    <w:p>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政府性基金预算财政拨款收入支出决算表</w:t>
      </w:r>
    </w:p>
    <w:p>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bidi="ar"/>
        </w:rPr>
      </w:pPr>
      <w:r>
        <w:rPr>
          <w:rFonts w:ascii="方正仿宋_GBK" w:hAnsi="方正仿宋_GBK" w:eastAsia="方正仿宋_GBK" w:cs="方正仿宋_GBK"/>
          <w:color w:val="auto"/>
          <w:kern w:val="2"/>
          <w:sz w:val="32"/>
          <w:szCs w:val="32"/>
          <w:lang w:bidi="ar"/>
        </w:rPr>
        <w:t>国有资本经营预算财政拨款支出决算表</w:t>
      </w:r>
    </w:p>
    <w:p>
      <w:pPr>
        <w:numPr>
          <w:ilvl w:val="0"/>
          <w:numId w:val="3"/>
        </w:numPr>
        <w:spacing w:after="100" w:afterAutospacing="1" w:line="594" w:lineRule="exact"/>
        <w:rPr>
          <w:rFonts w:hint="default" w:ascii="方正仿宋_GBK" w:hAnsi="方正仿宋_GBK" w:eastAsia="方正仿宋_GBK" w:cs="方正仿宋_GBK"/>
          <w:color w:val="auto"/>
          <w:kern w:val="2"/>
          <w:sz w:val="32"/>
          <w:szCs w:val="32"/>
          <w:lang w:val="en-US" w:eastAsia="zh-CN" w:bidi="ar"/>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color w:val="auto"/>
          <w:kern w:val="2"/>
          <w:sz w:val="32"/>
          <w:szCs w:val="32"/>
          <w:lang w:bidi="ar"/>
        </w:rPr>
        <w:t>机构运行信息表</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垫江县沙河乡劳动就业和社会保障服务所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61.95</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69.67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69.67</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69.67</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垫江县沙河乡劳动就业和社会保障服务所</w:t>
            </w: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0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2080150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10"/>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 xml:space="preserve">垫江县沙河乡劳动就业和社会保障服务所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2080150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垫江县沙河乡劳动就业和社会保障服务所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61.95</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4.10</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69.67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垫江县沙河乡劳动就业和社会保障服务所</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69.67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61.95</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45.73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2080150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45.73</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16.23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9.31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4.65</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2.26</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3.61</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4.10</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4.10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垫江县沙河乡劳动就业和社会保障服务所</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62.71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11.15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0.62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1.95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26.67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9.31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4.65</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0.11</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4.10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0.43</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0.50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2.26</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64.97</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4.69</w:t>
            </w:r>
            <w:r>
              <w:rPr>
                <w:rFonts w:ascii="Times New Roman" w:hAnsi="Times New Roman"/>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垫江县沙河乡劳动就业和社会保障服务所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备注：本表反映部门本年度政府性基金预算财政拨款收入支出及结转和结余情况。</w:t>
      </w:r>
      <w:r>
        <w:rPr>
          <w:rFonts w:hint="eastAsia" w:cs="宋体"/>
          <w:color w:val="auto"/>
          <w:sz w:val="20"/>
          <w:szCs w:val="20"/>
          <w:lang w:eastAsia="zh-CN"/>
        </w:rPr>
        <w:t>本单位</w:t>
      </w:r>
      <w:r>
        <w:rPr>
          <w:rFonts w:cs="宋体"/>
          <w:color w:val="auto"/>
          <w:sz w:val="20"/>
          <w:szCs w:val="20"/>
        </w:rPr>
        <w:t>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垫江县沙河乡劳动就业和社会保障服务所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备注：本表反映部门本年度国有资本经营预算财政拨款支出情况。</w:t>
      </w:r>
      <w:r>
        <w:rPr>
          <w:rFonts w:hint="eastAsia" w:cs="宋体"/>
          <w:color w:val="auto"/>
          <w:sz w:val="20"/>
          <w:szCs w:val="20"/>
          <w:lang w:eastAsia="zh-CN"/>
        </w:rPr>
        <w:t>本单位</w:t>
      </w:r>
      <w:r>
        <w:rPr>
          <w:rFonts w:cs="宋体"/>
          <w:color w:val="auto"/>
          <w:sz w:val="20"/>
          <w:szCs w:val="20"/>
        </w:rPr>
        <w:t>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垫江县沙河乡劳动就业和社会保障服务所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2.26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olor w:val="auto"/>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E1DD1A"/>
    <w:multiLevelType w:val="singleLevel"/>
    <w:tmpl w:val="91E1DD1A"/>
    <w:lvl w:ilvl="0" w:tentative="0">
      <w:start w:val="3"/>
      <w:numFmt w:val="chineseCounting"/>
      <w:suff w:val="nothing"/>
      <w:lvlText w:val="%1、"/>
      <w:lvlJc w:val="left"/>
      <w:rPr>
        <w:rFonts w:hint="eastAsia"/>
      </w:rPr>
    </w:lvl>
  </w:abstractNum>
  <w:abstractNum w:abstractNumId="1">
    <w:nsid w:val="9EF26B15"/>
    <w:multiLevelType w:val="singleLevel"/>
    <w:tmpl w:val="9EF26B15"/>
    <w:lvl w:ilvl="0" w:tentative="0">
      <w:start w:val="1"/>
      <w:numFmt w:val="decimal"/>
      <w:suff w:val="nothing"/>
      <w:lvlText w:val="%1、"/>
      <w:lvlJc w:val="left"/>
      <w:pPr>
        <w:ind w:left="320" w:firstLine="0"/>
      </w:pPr>
    </w:lvl>
  </w:abstractNum>
  <w:abstractNum w:abstractNumId="2">
    <w:nsid w:val="4B6977A6"/>
    <w:multiLevelType w:val="singleLevel"/>
    <w:tmpl w:val="4B6977A6"/>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480BD9"/>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6E1F1F"/>
    <w:rsid w:val="0C7927C4"/>
    <w:rsid w:val="0C9B098C"/>
    <w:rsid w:val="0D673E11"/>
    <w:rsid w:val="0DDA54E4"/>
    <w:rsid w:val="0E3A5F83"/>
    <w:rsid w:val="0E74421A"/>
    <w:rsid w:val="0F836721"/>
    <w:rsid w:val="0FA25D96"/>
    <w:rsid w:val="107B59E5"/>
    <w:rsid w:val="10E70D8F"/>
    <w:rsid w:val="10EC0126"/>
    <w:rsid w:val="10F70B9A"/>
    <w:rsid w:val="111445C7"/>
    <w:rsid w:val="114278C6"/>
    <w:rsid w:val="1158083A"/>
    <w:rsid w:val="11643A4B"/>
    <w:rsid w:val="11A6353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2F61A2"/>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46624"/>
    <w:rsid w:val="1FCD26AF"/>
    <w:rsid w:val="20642787"/>
    <w:rsid w:val="21556F04"/>
    <w:rsid w:val="22403BD3"/>
    <w:rsid w:val="23DA37D9"/>
    <w:rsid w:val="2435262D"/>
    <w:rsid w:val="24B92327"/>
    <w:rsid w:val="24C14514"/>
    <w:rsid w:val="2533755C"/>
    <w:rsid w:val="25791755"/>
    <w:rsid w:val="26396DF4"/>
    <w:rsid w:val="27167136"/>
    <w:rsid w:val="27B23302"/>
    <w:rsid w:val="27BF5EC9"/>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14F3D"/>
    <w:rsid w:val="33E31118"/>
    <w:rsid w:val="33EF7674"/>
    <w:rsid w:val="342D7BC6"/>
    <w:rsid w:val="34F52EAA"/>
    <w:rsid w:val="352930DB"/>
    <w:rsid w:val="35573069"/>
    <w:rsid w:val="355F6038"/>
    <w:rsid w:val="358C217E"/>
    <w:rsid w:val="35937598"/>
    <w:rsid w:val="36C9128A"/>
    <w:rsid w:val="372E3953"/>
    <w:rsid w:val="37841E99"/>
    <w:rsid w:val="37BF1123"/>
    <w:rsid w:val="383C3F15"/>
    <w:rsid w:val="38BE4696"/>
    <w:rsid w:val="390901C7"/>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3B7E56"/>
    <w:rsid w:val="3E42660A"/>
    <w:rsid w:val="3E7555B1"/>
    <w:rsid w:val="3E787ED9"/>
    <w:rsid w:val="3EEC37F3"/>
    <w:rsid w:val="3F032E93"/>
    <w:rsid w:val="3F0527E5"/>
    <w:rsid w:val="3F694D83"/>
    <w:rsid w:val="3F885DCC"/>
    <w:rsid w:val="3FCD675E"/>
    <w:rsid w:val="4004000C"/>
    <w:rsid w:val="410359ED"/>
    <w:rsid w:val="410C4B1F"/>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2507D4"/>
    <w:rsid w:val="488F422B"/>
    <w:rsid w:val="48E36915"/>
    <w:rsid w:val="495C4A24"/>
    <w:rsid w:val="497135DF"/>
    <w:rsid w:val="4A263DF2"/>
    <w:rsid w:val="4A6F6675"/>
    <w:rsid w:val="4AB52E4F"/>
    <w:rsid w:val="4B0502DF"/>
    <w:rsid w:val="4B135857"/>
    <w:rsid w:val="4B7951CB"/>
    <w:rsid w:val="4B7C315C"/>
    <w:rsid w:val="4DAC4ACA"/>
    <w:rsid w:val="4DBE01D2"/>
    <w:rsid w:val="4EFC6D10"/>
    <w:rsid w:val="4F0C6BA3"/>
    <w:rsid w:val="4F10477D"/>
    <w:rsid w:val="4F186D58"/>
    <w:rsid w:val="4FD4089D"/>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33464F"/>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2CF14CB"/>
    <w:rsid w:val="6319381F"/>
    <w:rsid w:val="63236436"/>
    <w:rsid w:val="63394363"/>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023633"/>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1E77F9"/>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567"/>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6152</Words>
  <Characters>14629</Characters>
  <Lines>194</Lines>
  <Paragraphs>54</Paragraphs>
  <TotalTime>4</TotalTime>
  <ScaleCrop>false</ScaleCrop>
  <LinksUpToDate>false</LinksUpToDate>
  <CharactersWithSpaces>14716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2025-09-10T02:50:08Z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