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jc w:val="center"/>
        <w:rPr>
          <w:rFonts w:hint="default"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rPr>
        <w:t>垫江县沙河乡综合行政执法大队</w:t>
      </w:r>
      <w:r>
        <w:rPr>
          <w:rFonts w:hint="eastAsia" w:ascii="方正小标宋_GBK" w:hAnsi="方正小标宋_GBK" w:eastAsia="方正小标宋_GBK" w:cs="方正小标宋_GBK"/>
          <w:color w:val="auto"/>
          <w:sz w:val="44"/>
          <w:szCs w:val="44"/>
          <w:shd w:val="clear" w:color="auto" w:fill="FFFFFF"/>
          <w:lang w:eastAsia="zh-CN"/>
        </w:rPr>
        <w:t>2024年</w:t>
      </w:r>
      <w:r>
        <w:rPr>
          <w:rFonts w:ascii="方正小标宋_GBK" w:hAnsi="方正小标宋_GBK" w:eastAsia="方正小标宋_GBK" w:cs="方正小标宋_GBK"/>
          <w:color w:val="auto"/>
          <w:sz w:val="44"/>
          <w:szCs w:val="44"/>
          <w:shd w:val="clear" w:color="auto" w:fill="FFFFFF"/>
        </w:rPr>
        <w:t>度决算公开说明</w:t>
      </w:r>
    </w:p>
    <w:p>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color w:val="auto"/>
          <w:sz w:val="32"/>
          <w:szCs w:val="32"/>
        </w:rPr>
      </w:pPr>
      <w:r>
        <w:rPr>
          <w:rStyle w:val="10"/>
          <w:rFonts w:ascii="黑体" w:hAnsi="黑体" w:eastAsia="黑体" w:cs="黑体"/>
          <w:color w:val="auto"/>
          <w:sz w:val="32"/>
          <w:szCs w:val="32"/>
          <w:shd w:val="clear" w:color="auto" w:fill="FFFFFF"/>
        </w:rPr>
        <w:t>一、</w:t>
      </w:r>
      <w:r>
        <w:rPr>
          <w:rStyle w:val="10"/>
          <w:rFonts w:hint="eastAsia" w:ascii="黑体" w:hAnsi="黑体" w:eastAsia="黑体" w:cs="黑体"/>
          <w:color w:val="auto"/>
          <w:sz w:val="32"/>
          <w:szCs w:val="32"/>
          <w:shd w:val="clear" w:color="auto" w:fill="FFFFFF"/>
          <w:lang w:eastAsia="zh-CN"/>
        </w:rPr>
        <w:t>单位</w:t>
      </w:r>
      <w:r>
        <w:rPr>
          <w:rStyle w:val="10"/>
          <w:rFonts w:ascii="黑体" w:hAnsi="黑体" w:eastAsia="黑体" w:cs="黑体"/>
          <w:color w:val="auto"/>
          <w:sz w:val="32"/>
          <w:szCs w:val="32"/>
          <w:shd w:val="clear" w:color="auto" w:fill="FFFFFF"/>
        </w:rPr>
        <w:t>基本情况</w:t>
      </w:r>
    </w:p>
    <w:p>
      <w:pPr>
        <w:pStyle w:val="8"/>
        <w:shd w:val="clear" w:color="auto" w:fill="FFFFFF"/>
        <w:ind w:firstLine="420"/>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（一）职能职责</w:t>
      </w:r>
    </w:p>
    <w:p>
      <w:pPr>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宗旨：弘扬法治精神，建设法治政府、法治社会。</w:t>
      </w:r>
    </w:p>
    <w:p>
      <w:pPr>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outlineLvl w:val="9"/>
        <w:rPr>
          <w:rFonts w:hint="eastAsia" w:ascii="方正仿宋_GBK" w:hAnsi="仿宋_GB2312" w:eastAsia="方正仿宋_GBK" w:cs="仿宋_GB2312"/>
          <w:color w:val="auto"/>
          <w:sz w:val="32"/>
        </w:rPr>
      </w:pPr>
      <w:r>
        <w:rPr>
          <w:rFonts w:hint="eastAsia" w:ascii="方正仿宋_GBK" w:hAnsi="方正仿宋_GBK" w:eastAsia="方正仿宋_GBK" w:cs="方正仿宋_GBK"/>
          <w:color w:val="auto"/>
          <w:sz w:val="32"/>
          <w:szCs w:val="32"/>
          <w:highlight w:val="none"/>
        </w:rPr>
        <w:t>主要职责：</w:t>
      </w:r>
      <w:r>
        <w:rPr>
          <w:rFonts w:hint="eastAsia" w:ascii="方正仿宋_GBK" w:hAnsi="方正仿宋_GBK" w:eastAsia="方正仿宋_GBK" w:cs="方正仿宋_GBK"/>
          <w:color w:val="auto"/>
          <w:sz w:val="32"/>
          <w:szCs w:val="32"/>
          <w:highlight w:val="none"/>
          <w:u w:val="none"/>
        </w:rPr>
        <w:t>负责配合综合行政执法办公室做好有关</w:t>
      </w:r>
      <w:r>
        <w:rPr>
          <w:rStyle w:val="18"/>
          <w:rFonts w:hint="eastAsia" w:ascii="方正仿宋_GBK" w:hAnsi="方正仿宋_GBK" w:eastAsia="方正仿宋_GBK" w:cs="方正仿宋_GBK"/>
          <w:color w:val="auto"/>
          <w:sz w:val="32"/>
          <w:szCs w:val="32"/>
          <w:highlight w:val="none"/>
          <w:u w:val="none"/>
        </w:rPr>
        <w:t>农林水利、规划建设、卫生</w:t>
      </w:r>
      <w:r>
        <w:rPr>
          <w:rStyle w:val="18"/>
          <w:rFonts w:hint="eastAsia" w:ascii="方正仿宋_GBK" w:hAnsi="方正仿宋_GBK" w:eastAsia="方正仿宋_GBK" w:cs="方正仿宋_GBK"/>
          <w:color w:val="auto"/>
          <w:sz w:val="32"/>
          <w:szCs w:val="32"/>
          <w:highlight w:val="none"/>
          <w:u w:val="none"/>
          <w:lang w:eastAsia="zh-CN"/>
        </w:rPr>
        <w:t>健康</w:t>
      </w:r>
      <w:r>
        <w:rPr>
          <w:rStyle w:val="18"/>
          <w:rFonts w:hint="eastAsia" w:ascii="方正仿宋_GBK" w:hAnsi="方正仿宋_GBK" w:eastAsia="方正仿宋_GBK" w:cs="方正仿宋_GBK"/>
          <w:color w:val="auto"/>
          <w:sz w:val="32"/>
          <w:szCs w:val="32"/>
          <w:highlight w:val="none"/>
          <w:u w:val="none"/>
        </w:rPr>
        <w:t>、市容环卫、环境保护、文化旅游、民政管理</w:t>
      </w:r>
      <w:r>
        <w:rPr>
          <w:rStyle w:val="18"/>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lang w:eastAsia="zh-CN"/>
        </w:rPr>
        <w:t>消防</w:t>
      </w:r>
      <w:r>
        <w:rPr>
          <w:rFonts w:hint="eastAsia" w:ascii="方正仿宋_GBK" w:hAnsi="方正仿宋_GBK" w:eastAsia="方正仿宋_GBK" w:cs="方正仿宋_GBK"/>
          <w:color w:val="auto"/>
          <w:sz w:val="32"/>
          <w:szCs w:val="32"/>
          <w:highlight w:val="none"/>
          <w:u w:val="none"/>
        </w:rPr>
        <w:t>等方面的执法工作。</w:t>
      </w:r>
    </w:p>
    <w:p>
      <w:pPr>
        <w:pStyle w:val="8"/>
        <w:shd w:val="clear" w:color="auto" w:fill="FFFFFF"/>
        <w:ind w:firstLine="420"/>
        <w:rPr>
          <w:rFonts w:hint="default" w:ascii="楷体" w:hAnsi="楷体" w:eastAsia="楷体" w:cs="楷体"/>
          <w:color w:val="auto"/>
          <w:sz w:val="32"/>
          <w:szCs w:val="32"/>
        </w:rPr>
      </w:pPr>
      <w:r>
        <w:rPr>
          <w:rStyle w:val="10"/>
          <w:rFonts w:ascii="楷体" w:hAnsi="楷体" w:eastAsia="楷体" w:cs="楷体"/>
          <w:color w:val="auto"/>
          <w:sz w:val="32"/>
          <w:szCs w:val="32"/>
          <w:shd w:val="clear" w:color="auto" w:fill="FFFFFF"/>
        </w:rPr>
        <w:t>（二）机构设置</w:t>
      </w:r>
    </w:p>
    <w:p>
      <w:pPr>
        <w:spacing w:line="600" w:lineRule="exact"/>
        <w:ind w:firstLine="960" w:firstLineChars="300"/>
        <w:rPr>
          <w:rFonts w:hint="default" w:ascii="方正仿宋_GBK" w:hAnsi="仿宋_GB2312" w:eastAsia="方正仿宋_GBK" w:cs="仿宋_GB2312"/>
          <w:color w:val="auto"/>
          <w:sz w:val="32"/>
          <w:lang w:val="en-US" w:eastAsia="zh-CN"/>
        </w:rPr>
      </w:pPr>
      <w:r>
        <w:rPr>
          <w:rFonts w:hint="eastAsia" w:ascii="方正仿宋_GBK" w:hAnsi="仿宋_GB2312" w:eastAsia="方正仿宋_GBK" w:cs="仿宋_GB2312"/>
          <w:color w:val="auto"/>
          <w:sz w:val="32"/>
          <w:lang w:eastAsia="zh-CN"/>
        </w:rPr>
        <w:t>沙河乡综合执法大队现有编制</w:t>
      </w:r>
      <w:r>
        <w:rPr>
          <w:rFonts w:hint="eastAsia" w:ascii="方正仿宋_GBK" w:hAnsi="仿宋_GB2312" w:eastAsia="方正仿宋_GBK" w:cs="仿宋_GB2312"/>
          <w:color w:val="auto"/>
          <w:sz w:val="32"/>
          <w:lang w:val="en-US" w:eastAsia="zh-CN"/>
        </w:rPr>
        <w:t>4人，人员构成管理十级4人。</w:t>
      </w:r>
    </w:p>
    <w:p>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方正仿宋_GBK" w:hAnsi="方正仿宋_GBK" w:eastAsia="方正仿宋_GBK" w:cs="方正仿宋_GBK"/>
          <w:color w:val="auto"/>
          <w:sz w:val="32"/>
          <w:szCs w:val="32"/>
        </w:rPr>
      </w:pPr>
      <w:r>
        <w:rPr>
          <w:rStyle w:val="10"/>
          <w:rFonts w:ascii="黑体" w:hAnsi="黑体" w:eastAsia="黑体" w:cs="黑体"/>
          <w:color w:val="auto"/>
          <w:sz w:val="32"/>
          <w:szCs w:val="32"/>
          <w:shd w:val="clear" w:color="auto" w:fill="FFFFFF"/>
        </w:rPr>
        <w:t>二、</w:t>
      </w:r>
      <w:r>
        <w:rPr>
          <w:rStyle w:val="10"/>
          <w:rFonts w:hint="eastAsia" w:ascii="黑体" w:hAnsi="黑体" w:eastAsia="黑体" w:cs="黑体"/>
          <w:color w:val="auto"/>
          <w:sz w:val="32"/>
          <w:szCs w:val="32"/>
          <w:shd w:val="clear" w:color="auto" w:fill="FFFFFF"/>
          <w:lang w:eastAsia="zh-CN"/>
        </w:rPr>
        <w:t>单位</w:t>
      </w:r>
      <w:r>
        <w:rPr>
          <w:rStyle w:val="10"/>
          <w:rFonts w:ascii="黑体" w:hAnsi="黑体" w:eastAsia="黑体" w:cs="黑体"/>
          <w:color w:val="auto"/>
          <w:sz w:val="32"/>
          <w:szCs w:val="32"/>
          <w:shd w:val="clear" w:color="auto" w:fill="FFFFFF"/>
        </w:rPr>
        <w:t>决算情况说明</w:t>
      </w:r>
    </w:p>
    <w:p>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8"/>
        <w:shd w:val="clear" w:color="auto" w:fill="FFFFFF"/>
        <w:ind w:firstLine="643" w:firstLineChars="200"/>
        <w:rPr>
          <w:rFonts w:hint="eastAsia" w:ascii="方正仿宋_GBK" w:hAnsi="方正仿宋_GBK" w:eastAsia="方正仿宋_GBK" w:cs="方正仿宋_GBK"/>
          <w:color w:val="auto"/>
          <w:sz w:val="32"/>
          <w:szCs w:val="32"/>
          <w:lang w:val="en-US" w:eastAsia="zh-CN"/>
        </w:rPr>
      </w:pPr>
      <w:r>
        <w:rPr>
          <w:rStyle w:val="10"/>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度收入总计56.67万元，支出总计</w:t>
      </w:r>
      <w:r>
        <w:rPr>
          <w:rFonts w:ascii="方正仿宋_GBK" w:hAnsi="方正仿宋_GBK" w:eastAsia="方正仿宋_GBK" w:cs="方正仿宋_GBK"/>
          <w:color w:val="auto"/>
          <w:sz w:val="32"/>
          <w:szCs w:val="32"/>
        </w:rPr>
        <w:t>56.67</w:t>
      </w:r>
      <w:r>
        <w:rPr>
          <w:rFonts w:ascii="方正仿宋_GBK" w:hAnsi="方正仿宋_GBK" w:eastAsia="方正仿宋_GBK" w:cs="方正仿宋_GBK"/>
          <w:color w:val="auto"/>
          <w:sz w:val="32"/>
          <w:szCs w:val="32"/>
          <w:shd w:val="clear" w:color="auto" w:fill="FFFFFF"/>
        </w:rPr>
        <w:t>万元。收、支与2023年度相比，减少3.19万元，下降5.33%，主要原因是</w:t>
      </w:r>
      <w:r>
        <w:rPr>
          <w:rFonts w:hint="eastAsia" w:ascii="方正仿宋_GBK" w:hAnsi="方正仿宋_GBK" w:eastAsia="方正仿宋_GBK" w:cs="方正仿宋_GBK"/>
          <w:color w:val="auto"/>
          <w:sz w:val="32"/>
          <w:szCs w:val="32"/>
          <w:shd w:val="clear" w:color="auto" w:fill="FFFFFF"/>
          <w:lang w:eastAsia="zh-CN"/>
        </w:rPr>
        <w:t>严格控制日常公用经费。</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度收入合计56.67万元，与2023年度相比，减少3.19万元，下降5.33%，主要原因是</w:t>
      </w:r>
      <w:r>
        <w:rPr>
          <w:rFonts w:hint="eastAsia" w:ascii="方正仿宋_GBK" w:hAnsi="方正仿宋_GBK" w:eastAsia="方正仿宋_GBK" w:cs="方正仿宋_GBK"/>
          <w:color w:val="auto"/>
          <w:sz w:val="32"/>
          <w:szCs w:val="32"/>
          <w:shd w:val="clear" w:color="auto" w:fill="FFFFFF"/>
          <w:lang w:eastAsia="zh-CN"/>
        </w:rPr>
        <w:t>严格控制日常公用经费。</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56.67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56.67</w:t>
      </w:r>
      <w:r>
        <w:rPr>
          <w:rFonts w:ascii="方正仿宋_GBK" w:hAnsi="方正仿宋_GBK" w:eastAsia="方正仿宋_GBK" w:cs="方正仿宋_GBK"/>
          <w:color w:val="auto"/>
          <w:sz w:val="32"/>
          <w:szCs w:val="32"/>
          <w:shd w:val="clear" w:color="auto" w:fill="FFFFFF"/>
        </w:rPr>
        <w:t>万元，与2023年度相比，减少3.19万元，下降5.33%，主要原因是</w:t>
      </w:r>
      <w:r>
        <w:rPr>
          <w:rFonts w:hint="eastAsia" w:ascii="方正仿宋_GBK" w:hAnsi="方正仿宋_GBK" w:eastAsia="方正仿宋_GBK" w:cs="方正仿宋_GBK"/>
          <w:color w:val="auto"/>
          <w:sz w:val="32"/>
          <w:szCs w:val="32"/>
          <w:shd w:val="clear" w:color="auto" w:fill="FFFFFF"/>
          <w:lang w:eastAsia="zh-CN"/>
        </w:rPr>
        <w:t>严格控制日常公用经费。</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56.67</w:t>
      </w:r>
      <w:r>
        <w:rPr>
          <w:rFonts w:ascii="方正仿宋_GBK" w:hAnsi="方正仿宋_GBK" w:eastAsia="方正仿宋_GBK" w:cs="方正仿宋_GBK"/>
          <w:color w:val="auto"/>
          <w:sz w:val="32"/>
          <w:szCs w:val="32"/>
          <w:shd w:val="clear" w:color="auto" w:fill="FFFFFF"/>
        </w:rPr>
        <w:t>万元，占100.00%；项目支出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本单位上年无结余。</w:t>
      </w:r>
    </w:p>
    <w:p>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度财政拨款收、支总计56.67万元。与202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年相比，财政拨款收、支总计各减少3.19万元，下降5.33%。主要原因是</w:t>
      </w:r>
      <w:r>
        <w:rPr>
          <w:rFonts w:hint="eastAsia" w:ascii="方正仿宋_GBK" w:hAnsi="方正仿宋_GBK" w:eastAsia="方正仿宋_GBK" w:cs="方正仿宋_GBK"/>
          <w:color w:val="auto"/>
          <w:sz w:val="32"/>
          <w:szCs w:val="32"/>
          <w:shd w:val="clear" w:color="auto" w:fill="FFFFFF"/>
          <w:lang w:eastAsia="zh-CN"/>
        </w:rPr>
        <w:t>严格控制日常公用经费。</w:t>
      </w:r>
    </w:p>
    <w:p>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56.67</w:t>
      </w:r>
      <w:r>
        <w:rPr>
          <w:rFonts w:ascii="方正仿宋_GBK" w:hAnsi="方正仿宋_GBK" w:eastAsia="方正仿宋_GBK" w:cs="方正仿宋_GBK"/>
          <w:color w:val="auto"/>
          <w:sz w:val="32"/>
          <w:szCs w:val="32"/>
          <w:shd w:val="clear" w:color="auto" w:fill="FFFFFF"/>
        </w:rPr>
        <w:t>万元，与2023年度相比，减少3.19万元，下降5.33%。主要原因</w:t>
      </w:r>
      <w:r>
        <w:rPr>
          <w:rFonts w:hint="eastAsia" w:ascii="方正仿宋_GBK" w:hAnsi="方正仿宋_GBK" w:eastAsia="方正仿宋_GBK" w:cs="方正仿宋_GBK"/>
          <w:color w:val="auto"/>
          <w:sz w:val="32"/>
          <w:szCs w:val="32"/>
          <w:shd w:val="clear" w:color="auto" w:fill="FFFFFF"/>
          <w:lang w:eastAsia="zh-CN"/>
        </w:rPr>
        <w:t>减少日常公用运转经费收入。</w:t>
      </w:r>
      <w:r>
        <w:rPr>
          <w:rFonts w:ascii="方正仿宋_GBK" w:hAnsi="方正仿宋_GBK" w:eastAsia="方正仿宋_GBK" w:cs="方正仿宋_GBK"/>
          <w:color w:val="auto"/>
          <w:sz w:val="32"/>
          <w:szCs w:val="32"/>
          <w:shd w:val="clear" w:color="auto" w:fill="FFFFFF"/>
        </w:rPr>
        <w:t>较年初预算数增加1.82万元，增长3.32%。主要原因是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10"/>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56.67</w:t>
      </w:r>
      <w:r>
        <w:rPr>
          <w:rFonts w:ascii="方正仿宋_GBK" w:hAnsi="方正仿宋_GBK" w:eastAsia="方正仿宋_GBK" w:cs="方正仿宋_GBK"/>
          <w:color w:val="auto"/>
          <w:sz w:val="32"/>
          <w:szCs w:val="32"/>
          <w:shd w:val="clear" w:color="auto" w:fill="FFFFFF"/>
        </w:rPr>
        <w:t>万元，与2023年度相比，减少3.19万元，下降5.33%。主要原因是</w:t>
      </w:r>
      <w:r>
        <w:rPr>
          <w:rFonts w:hint="eastAsia" w:ascii="方正仿宋_GBK" w:hAnsi="方正仿宋_GBK" w:eastAsia="方正仿宋_GBK" w:cs="方正仿宋_GBK"/>
          <w:color w:val="auto"/>
          <w:sz w:val="32"/>
          <w:szCs w:val="32"/>
          <w:shd w:val="clear" w:color="auto" w:fill="FFFFFF"/>
          <w:lang w:eastAsia="zh-CN"/>
        </w:rPr>
        <w:t>严格控制日常公用经费。</w:t>
      </w:r>
      <w:r>
        <w:rPr>
          <w:rFonts w:ascii="方正仿宋_GBK" w:hAnsi="方正仿宋_GBK" w:eastAsia="方正仿宋_GBK" w:cs="方正仿宋_GBK"/>
          <w:color w:val="auto"/>
          <w:sz w:val="32"/>
          <w:szCs w:val="32"/>
          <w:shd w:val="clear" w:color="auto" w:fill="FFFFFF"/>
        </w:rPr>
        <w:t>较年初预算数增加1.82万元，增长3.32%。主要原因是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本单位上年无结余。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xml:space="preserve"> 4.比较情况。</w:t>
      </w: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2.17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3.82</w:t>
      </w:r>
      <w:r>
        <w:rPr>
          <w:rFonts w:ascii="方正仿宋_GBK" w:hAnsi="方正仿宋_GBK" w:eastAsia="方正仿宋_GBK" w:cs="方正仿宋_GBK"/>
          <w:color w:val="auto"/>
          <w:sz w:val="32"/>
          <w:szCs w:val="32"/>
          <w:shd w:val="clear" w:color="auto" w:fill="FFFFFF"/>
        </w:rPr>
        <w:t>%，较年初预算数减少2.62万元，下降54.70%，主要原因是</w:t>
      </w:r>
      <w:r>
        <w:rPr>
          <w:rFonts w:hint="eastAsia" w:ascii="方正仿宋_GBK" w:hAnsi="方正仿宋_GBK" w:eastAsia="方正仿宋_GBK" w:cs="方正仿宋_GBK"/>
          <w:color w:val="auto"/>
          <w:sz w:val="32"/>
          <w:szCs w:val="32"/>
          <w:highlight w:val="none"/>
          <w:shd w:val="clear" w:color="auto" w:fill="FFFFFF"/>
          <w:lang w:eastAsia="zh-CN"/>
        </w:rPr>
        <w:t>人员调整后保险基数调整。</w:t>
      </w:r>
    </w:p>
    <w:p>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0.90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1.59</w:t>
      </w:r>
      <w:r>
        <w:rPr>
          <w:rFonts w:ascii="方正仿宋_GBK" w:hAnsi="方正仿宋_GBK" w:eastAsia="方正仿宋_GBK" w:cs="方正仿宋_GBK"/>
          <w:color w:val="auto"/>
          <w:sz w:val="32"/>
          <w:szCs w:val="32"/>
          <w:shd w:val="clear" w:color="auto" w:fill="FFFFFF"/>
        </w:rPr>
        <w:t>%，较年初预算数减少1.10万元，下降55.00%，主要原因是</w:t>
      </w:r>
      <w:r>
        <w:rPr>
          <w:rFonts w:hint="eastAsia" w:ascii="方正仿宋_GBK" w:hAnsi="方正仿宋_GBK" w:eastAsia="方正仿宋_GBK" w:cs="方正仿宋_GBK"/>
          <w:color w:val="auto"/>
          <w:sz w:val="32"/>
          <w:szCs w:val="32"/>
          <w:highlight w:val="none"/>
          <w:shd w:val="clear" w:color="auto" w:fill="FFFFFF"/>
          <w:lang w:eastAsia="zh-CN"/>
        </w:rPr>
        <w:t>人员调整后保险基数调整。</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）城乡社区支出</w:t>
      </w:r>
      <w:r>
        <w:rPr>
          <w:rFonts w:ascii="方正仿宋_GBK" w:hAnsi="方正仿宋_GBK" w:eastAsia="方正仿宋_GBK" w:cs="方正仿宋_GBK"/>
          <w:color w:val="auto"/>
          <w:sz w:val="32"/>
          <w:szCs w:val="32"/>
        </w:rPr>
        <w:t>48.65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85.85</w:t>
      </w:r>
      <w:r>
        <w:rPr>
          <w:rFonts w:ascii="方正仿宋_GBK" w:hAnsi="方正仿宋_GBK" w:eastAsia="方正仿宋_GBK" w:cs="方正仿宋_GBK"/>
          <w:color w:val="auto"/>
          <w:sz w:val="32"/>
          <w:szCs w:val="32"/>
          <w:shd w:val="clear" w:color="auto" w:fill="FFFFFF"/>
        </w:rPr>
        <w:t>%，较年初预算数增加2.98万元，增长6.53%，主要原因是</w:t>
      </w:r>
      <w:r>
        <w:rPr>
          <w:rFonts w:hint="eastAsia" w:ascii="方正仿宋_GBK" w:hAnsi="方正仿宋_GBK" w:eastAsia="方正仿宋_GBK" w:cs="方正仿宋_GBK"/>
          <w:color w:val="auto"/>
          <w:sz w:val="32"/>
          <w:szCs w:val="32"/>
          <w:shd w:val="clear" w:color="auto" w:fill="FFFFFF"/>
          <w:lang w:eastAsia="zh-CN"/>
        </w:rPr>
        <w:t>人员增资。</w:t>
      </w:r>
    </w:p>
    <w:p>
      <w:pPr>
        <w:ind w:firstLine="640" w:firstLineChars="200"/>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住房保障支出4.95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8.73</w:t>
      </w:r>
      <w:r>
        <w:rPr>
          <w:rFonts w:ascii="方正仿宋_GBK" w:hAnsi="方正仿宋_GBK" w:eastAsia="方正仿宋_GBK" w:cs="方正仿宋_GBK"/>
          <w:color w:val="auto"/>
          <w:sz w:val="32"/>
          <w:szCs w:val="32"/>
          <w:shd w:val="clear" w:color="auto" w:fill="FFFFFF"/>
        </w:rPr>
        <w:t>%，较年初预算数增加2.56万元，增长107.11%，主要原因是</w:t>
      </w:r>
      <w:r>
        <w:rPr>
          <w:rFonts w:hint="eastAsia" w:ascii="方正仿宋_GBK" w:hAnsi="方正仿宋_GBK" w:eastAsia="方正仿宋_GBK" w:cs="方正仿宋_GBK"/>
          <w:color w:val="auto"/>
          <w:sz w:val="32"/>
          <w:szCs w:val="32"/>
          <w:shd w:val="clear" w:color="auto" w:fill="FFFFFF"/>
          <w:lang w:eastAsia="zh-CN"/>
        </w:rPr>
        <w:t>人员增资后保险提标。</w:t>
      </w:r>
    </w:p>
    <w:p>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56.67</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52.39</w:t>
      </w:r>
      <w:r>
        <w:rPr>
          <w:rFonts w:ascii="方正仿宋_GBK" w:hAnsi="方正仿宋_GBK" w:eastAsia="方正仿宋_GBK" w:cs="方正仿宋_GBK"/>
          <w:color w:val="auto"/>
          <w:sz w:val="32"/>
          <w:szCs w:val="32"/>
          <w:shd w:val="clear" w:color="auto" w:fill="FFFFFF"/>
        </w:rPr>
        <w:t>万元，与2023年度相比，减少1.75万元，下降3.23%，主要原因是</w:t>
      </w:r>
      <w:r>
        <w:rPr>
          <w:rFonts w:hint="eastAsia" w:ascii="方正仿宋_GBK" w:hAnsi="方正仿宋_GBK" w:eastAsia="方正仿宋_GBK" w:cs="方正仿宋_GBK"/>
          <w:color w:val="auto"/>
          <w:sz w:val="32"/>
          <w:szCs w:val="32"/>
          <w:highlight w:val="none"/>
          <w:shd w:val="clear" w:color="auto" w:fill="FFFFFF"/>
          <w:lang w:eastAsia="zh-CN"/>
        </w:rPr>
        <w:t>人员调整后保险基数调整</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人</w:t>
      </w:r>
      <w:bookmarkStart w:id="0" w:name="_GoBack"/>
      <w:bookmarkEnd w:id="0"/>
      <w:r>
        <w:rPr>
          <w:rFonts w:ascii="方正仿宋_GBK" w:hAnsi="方正仿宋_GBK" w:eastAsia="方正仿宋_GBK" w:cs="方正仿宋_GBK"/>
          <w:color w:val="auto"/>
          <w:sz w:val="32"/>
          <w:szCs w:val="32"/>
          <w:shd w:val="clear" w:color="auto" w:fill="FFFFFF"/>
        </w:rPr>
        <w:t>员经费用途主要包括基本工资、津贴补贴、</w:t>
      </w:r>
      <w:r>
        <w:rPr>
          <w:rFonts w:hint="eastAsia" w:ascii="方正仿宋_GBK" w:hAnsi="方正仿宋_GBK" w:eastAsia="方正仿宋_GBK" w:cs="方正仿宋_GBK"/>
          <w:color w:val="auto"/>
          <w:sz w:val="32"/>
          <w:szCs w:val="32"/>
          <w:shd w:val="clear" w:color="auto" w:fill="FFFFFF"/>
          <w:lang w:eastAsia="zh-CN"/>
        </w:rPr>
        <w:t>基础绩效</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超额绩效、</w:t>
      </w:r>
      <w:r>
        <w:rPr>
          <w:rFonts w:ascii="方正仿宋_GBK" w:hAnsi="方正仿宋_GBK" w:eastAsia="方正仿宋_GBK" w:cs="方正仿宋_GBK"/>
          <w:color w:val="auto"/>
          <w:sz w:val="32"/>
          <w:szCs w:val="32"/>
          <w:shd w:val="clear" w:color="auto" w:fill="FFFFFF"/>
        </w:rPr>
        <w:t>社会保障缴费、其他工资福利、公积金等支出</w:t>
      </w:r>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4.28</w:t>
      </w:r>
      <w:r>
        <w:rPr>
          <w:rFonts w:ascii="方正仿宋_GBK" w:hAnsi="方正仿宋_GBK" w:eastAsia="方正仿宋_GBK" w:cs="方正仿宋_GBK"/>
          <w:color w:val="auto"/>
          <w:sz w:val="32"/>
          <w:szCs w:val="32"/>
          <w:shd w:val="clear" w:color="auto" w:fill="FFFFFF"/>
        </w:rPr>
        <w:t>万元，与2023年度相比，减少1.44万元，下降25.17%，主要原因是</w:t>
      </w:r>
      <w:r>
        <w:rPr>
          <w:rFonts w:hint="eastAsia" w:ascii="方正仿宋_GBK" w:hAnsi="方正仿宋_GBK" w:eastAsia="方正仿宋_GBK" w:cs="方正仿宋_GBK"/>
          <w:color w:val="auto"/>
          <w:sz w:val="32"/>
          <w:szCs w:val="32"/>
          <w:shd w:val="clear" w:color="auto" w:fill="FFFFFF"/>
          <w:lang w:eastAsia="zh-CN"/>
        </w:rPr>
        <w:t>严格控制公用经费支出。</w:t>
      </w:r>
      <w:r>
        <w:rPr>
          <w:rFonts w:ascii="方正仿宋_GBK" w:hAnsi="方正仿宋_GBK" w:eastAsia="方正仿宋_GBK" w:cs="方正仿宋_GBK"/>
          <w:color w:val="auto"/>
          <w:sz w:val="32"/>
          <w:szCs w:val="32"/>
          <w:shd w:val="clear" w:color="auto" w:fill="FFFFFF"/>
        </w:rPr>
        <w:t>公用经费用途主要包括办公费、印刷费、水费、电费、差旅费、维修费、劳务费、委托业务费、工会经费、公务车运行维护费、公务接待费、会议费、培训费、其他商品服务支出等组成。</w:t>
      </w:r>
    </w:p>
    <w:p>
      <w:pPr>
        <w:pStyle w:val="13"/>
        <w:keepNext w:val="0"/>
        <w:keepLines w:val="0"/>
        <w:pageBreakBefore w:val="0"/>
        <w:widowControl/>
        <w:kinsoku/>
        <w:wordWrap/>
        <w:overflowPunct/>
        <w:topLinePunct w:val="0"/>
        <w:autoSpaceDE w:val="0"/>
        <w:autoSpaceDN/>
        <w:bidi w:val="0"/>
        <w:adjustRightInd/>
        <w:snapToGrid/>
        <w:ind w:left="0" w:leftChars="0"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ind w:firstLine="640" w:firstLineChars="200"/>
        <w:rPr>
          <w:rFonts w:hint="default"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本单位2024年度无政府性基金预算财政拨款收支。</w:t>
      </w:r>
    </w:p>
    <w:p>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val="0"/>
          <w:bCs w:val="0"/>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三、“三公”经费情况说明</w:t>
      </w:r>
    </w:p>
    <w:p>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无三公经费。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无三公经费。</w:t>
      </w:r>
    </w:p>
    <w:p>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rPr>
        <w:t>人员因公出国（境）费用</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本单位无因公出国（境）费用。</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本单位无因公出国（境）费用。</w:t>
      </w:r>
    </w:p>
    <w:p>
      <w:pPr>
        <w:pStyle w:val="8"/>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本单位公务车购置</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本单位无公务车购置</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本单位无公务车购置</w:t>
      </w:r>
      <w:r>
        <w:rPr>
          <w:rFonts w:ascii="方正仿宋_GBK" w:hAnsi="方正仿宋_GBK" w:eastAsia="方正仿宋_GBK" w:cs="方正仿宋_GBK"/>
          <w:color w:val="auto"/>
          <w:sz w:val="32"/>
          <w:szCs w:val="32"/>
          <w:shd w:val="clear" w:color="auto" w:fill="FFFFFF"/>
        </w:rPr>
        <w:t>。</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公务车油费、保险及维护维修费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无公务车运行维护费。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无公务车运行维护费。</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rPr>
        <w:t>市、县级部门来乡检查各项工作</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本单位无公务接待费。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本单位无公务接待费。</w:t>
      </w:r>
    </w:p>
    <w:p>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2024年本单位</w:t>
      </w:r>
      <w:r>
        <w:rPr>
          <w:rFonts w:ascii="方正仿宋_GBK" w:hAnsi="方正仿宋_GBK" w:eastAsia="方正仿宋_GBK" w:cs="方正仿宋_GBK"/>
          <w:color w:val="auto"/>
          <w:sz w:val="32"/>
          <w:szCs w:val="32"/>
          <w:shd w:val="clear" w:color="auto" w:fill="FFFFFF"/>
        </w:rPr>
        <w:t>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四、其他需要说明的事项</w:t>
      </w:r>
    </w:p>
    <w:p>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无会议费。</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万元，与2023年度相比，减少0.19万元，下降100.00%，主要原因是</w:t>
      </w:r>
      <w:r>
        <w:rPr>
          <w:rFonts w:hint="eastAsia" w:ascii="方正仿宋_GBK" w:hAnsi="方正仿宋_GBK" w:eastAsia="方正仿宋_GBK" w:cs="方正仿宋_GBK"/>
          <w:color w:val="auto"/>
          <w:sz w:val="32"/>
          <w:szCs w:val="32"/>
          <w:shd w:val="clear" w:color="auto" w:fill="FFFFFF"/>
          <w:lang w:eastAsia="zh-CN"/>
        </w:rPr>
        <w:t>减少会议次数。</w:t>
      </w:r>
    </w:p>
    <w:p>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按照部门决算报口，我单位不在机关运行经费统计范围之内。</w:t>
      </w:r>
    </w:p>
    <w:p>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共有车辆</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无国有资产</w:t>
      </w:r>
      <w:r>
        <w:rPr>
          <w:rFonts w:ascii="方正仿宋_GBK" w:hAnsi="方正仿宋_GBK" w:eastAsia="方正仿宋_GBK" w:cs="方正仿宋_GBK"/>
          <w:color w:val="auto"/>
          <w:sz w:val="32"/>
          <w:szCs w:val="32"/>
          <w:shd w:val="clear" w:color="auto" w:fill="FFFFFF"/>
        </w:rPr>
        <w:t>。</w:t>
      </w:r>
    </w:p>
    <w:p>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8"/>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政府采购支出总额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0.00万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 xml:space="preserve"> %。</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color w:val="auto"/>
          <w:sz w:val="32"/>
          <w:szCs w:val="32"/>
          <w:shd w:val="clear" w:color="auto" w:fill="FFFFFF"/>
        </w:rPr>
      </w:pPr>
      <w:r>
        <w:rPr>
          <w:rStyle w:val="10"/>
          <w:rFonts w:hint="eastAsia" w:ascii="黑体" w:hAnsi="黑体" w:eastAsia="黑体" w:cs="黑体"/>
          <w:color w:val="auto"/>
          <w:sz w:val="32"/>
          <w:szCs w:val="32"/>
          <w:shd w:val="clear" w:color="auto" w:fill="FFFFFF"/>
          <w:lang w:val="en-US" w:eastAsia="zh-CN"/>
        </w:rPr>
        <w:t>五、</w:t>
      </w:r>
      <w:r>
        <w:rPr>
          <w:rStyle w:val="10"/>
          <w:rFonts w:ascii="黑体" w:hAnsi="黑体" w:eastAsia="黑体" w:cs="黑体"/>
          <w:color w:val="auto"/>
          <w:sz w:val="32"/>
          <w:szCs w:val="32"/>
          <w:shd w:val="clear" w:color="auto" w:fill="FFFFFF"/>
        </w:rPr>
        <w:t>预算绩效管理情况说明</w:t>
      </w:r>
    </w:p>
    <w:p>
      <w:pPr>
        <w:pStyle w:val="13"/>
        <w:numPr>
          <w:ilvl w:val="0"/>
          <w:numId w:val="1"/>
        </w:numPr>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单位自评情况</w:t>
      </w:r>
    </w:p>
    <w:p>
      <w:pPr>
        <w:pStyle w:val="13"/>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我单位未组织开展预算绩效管理绩效评价。</w:t>
      </w:r>
    </w:p>
    <w:p>
      <w:pPr>
        <w:pStyle w:val="13"/>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w:t>
      </w:r>
      <w:r>
        <w:rPr>
          <w:rFonts w:hint="eastAsia" w:ascii="楷体" w:hAnsi="楷体" w:eastAsia="楷体" w:cs="楷体"/>
          <w:b/>
          <w:bCs/>
          <w:color w:val="auto"/>
          <w:sz w:val="32"/>
          <w:szCs w:val="32"/>
          <w:shd w:val="clear" w:color="auto" w:fill="FFFFFF"/>
          <w:lang w:eastAsia="zh-CN" w:bidi="ar"/>
        </w:rPr>
        <w:t>单位</w:t>
      </w:r>
      <w:r>
        <w:rPr>
          <w:rFonts w:hint="eastAsia" w:ascii="楷体" w:hAnsi="楷体" w:eastAsia="楷体" w:cs="楷体"/>
          <w:b/>
          <w:bCs/>
          <w:color w:val="auto"/>
          <w:sz w:val="32"/>
          <w:szCs w:val="32"/>
          <w:shd w:val="clear" w:color="auto" w:fill="FFFFFF"/>
          <w:lang w:bidi="ar"/>
        </w:rPr>
        <w:t>绩效评价情况</w:t>
      </w:r>
    </w:p>
    <w:p>
      <w:pPr>
        <w:pStyle w:val="13"/>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我单位未组织开展绩效评价。</w:t>
      </w:r>
    </w:p>
    <w:p>
      <w:pPr>
        <w:pStyle w:val="13"/>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（三）财政绩效评价情况</w:t>
      </w:r>
    </w:p>
    <w:p>
      <w:pPr>
        <w:pStyle w:val="13"/>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县财政局未委托第三方对我单位开展绩效评价。</w:t>
      </w:r>
    </w:p>
    <w:p>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 xml:space="preserve">  </w:t>
      </w:r>
      <w:r>
        <w:rPr>
          <w:rStyle w:val="10"/>
          <w:rFonts w:ascii="黑体" w:hAnsi="黑体" w:eastAsia="黑体" w:cs="黑体"/>
          <w:color w:val="auto"/>
          <w:sz w:val="32"/>
          <w:szCs w:val="32"/>
          <w:shd w:val="clear" w:color="auto" w:fill="FFFFFF"/>
        </w:rPr>
        <w:t>六、专业名词解释</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bCs/>
          <w:color w:val="auto"/>
          <w:sz w:val="32"/>
          <w:szCs w:val="32"/>
          <w:shd w:val="clear" w:color="auto" w:fill="FFFFFF"/>
        </w:rPr>
        <w:t> </w:t>
      </w: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 （十六）对个人和家庭的补助（支出经济分类科目类级）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shd w:val="clear" w:color="auto" w:fill="FFFFFF"/>
        <w:rPr>
          <w:rStyle w:val="10"/>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 xml:space="preserve">  </w:t>
      </w:r>
      <w:r>
        <w:rPr>
          <w:rStyle w:val="10"/>
          <w:rFonts w:ascii="黑体" w:hAnsi="黑体" w:eastAsia="黑体" w:cs="黑体"/>
          <w:color w:val="auto"/>
          <w:sz w:val="32"/>
          <w:szCs w:val="32"/>
          <w:shd w:val="clear" w:color="auto" w:fill="FFFFFF"/>
        </w:rPr>
        <w:t>七、决算公开联系方式及信息反馈渠道</w:t>
      </w:r>
    </w:p>
    <w:p>
      <w:pPr>
        <w:pStyle w:val="13"/>
        <w:keepNext w:val="0"/>
        <w:keepLines w:val="0"/>
        <w:pageBreakBefore w:val="0"/>
        <w:widowControl/>
        <w:kinsoku/>
        <w:wordWrap/>
        <w:overflowPunct/>
        <w:topLinePunct w:val="0"/>
        <w:autoSpaceDE w:val="0"/>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本单位决算公开信息反馈和联系方式：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沙河乡</w:t>
      </w:r>
      <w:r>
        <w:rPr>
          <w:rFonts w:ascii="方正仿宋_GBK" w:hAnsi="方正仿宋_GBK" w:eastAsia="方正仿宋_GBK" w:cs="方正仿宋_GBK"/>
          <w:color w:val="auto"/>
          <w:kern w:val="2"/>
          <w:sz w:val="32"/>
          <w:szCs w:val="32"/>
          <w:lang w:bidi="ar"/>
        </w:rPr>
        <w:t>人民政府办公室电话</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023-74559601。</w:t>
      </w:r>
    </w:p>
    <w:p>
      <w:pPr>
        <w:pStyle w:val="13"/>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p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附表：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收入支出决算总表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收入决算表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支出决算表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财政拨款收入支出决算总表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一般公共预算财政拨款支出决算表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一般公共预算财政拨款基本支出决算表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政府性基金预算财政拨款收入支出决算表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国有资本经营预算财政拨款支出决算表</w:t>
      </w:r>
    </w:p>
    <w:p>
      <w:pPr>
        <w:numPr>
          <w:ilvl w:val="0"/>
          <w:numId w:val="2"/>
        </w:numPr>
        <w:spacing w:after="100" w:afterAutospacing="1" w:line="594" w:lineRule="exact"/>
        <w:rPr>
          <w:rFonts w:ascii="方正仿宋_GBK" w:hAnsi="方正仿宋_GBK" w:eastAsia="方正仿宋_GBK" w:cs="方正仿宋_GBK"/>
          <w:color w:val="auto"/>
          <w:kern w:val="2"/>
          <w:sz w:val="32"/>
          <w:szCs w:val="32"/>
          <w:lang w:bidi="ar"/>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color w:val="auto"/>
          <w:kern w:val="2"/>
          <w:sz w:val="32"/>
          <w:szCs w:val="32"/>
          <w:lang w:bidi="ar"/>
        </w:rPr>
        <w:t>机构运行信息表</w:t>
      </w: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01</w:t>
            </w:r>
            <w:r>
              <w:rPr>
                <w:rFonts w:cs="宋体"/>
                <w:color w:val="auto"/>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r>
              <w:rPr>
                <w:rFonts w:cs="宋体"/>
                <w:color w:val="auto"/>
                <w:sz w:val="20"/>
                <w:szCs w:val="20"/>
              </w:rPr>
              <w:t>部门：</w:t>
            </w:r>
            <w:r>
              <w:rPr>
                <w:color w:val="auto"/>
                <w:sz w:val="20"/>
                <w:u w:color="auto"/>
              </w:rPr>
              <w:t>垫江县沙河乡综合行政执法大队</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56.67</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4.95</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56.67</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56.67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56.67</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56.67</w:t>
            </w:r>
            <w:r>
              <w:rPr>
                <w:rFonts w:ascii="Times New Roman" w:hAnsi="Times New Roman"/>
                <w:color w:val="auto"/>
                <w:sz w:val="20"/>
                <w:u w:color="auto"/>
              </w:rPr>
              <w:t xml:space="preserve"> </w:t>
            </w:r>
          </w:p>
        </w:tc>
      </w:tr>
    </w:tbl>
    <w:p>
      <w:pPr>
        <w:rPr>
          <w:rFonts w:hint="default" w:cs="宋体"/>
          <w:color w:val="auto"/>
          <w:sz w:val="21"/>
          <w:szCs w:val="21"/>
        </w:rPr>
      </w:pPr>
    </w:p>
    <w:p>
      <w:pPr>
        <w:spacing w:line="240" w:lineRule="exact"/>
        <w:rPr>
          <w:rFonts w:hint="default" w:cs="宋体"/>
          <w:color w:val="auto"/>
          <w:sz w:val="20"/>
          <w:szCs w:val="20"/>
        </w:rPr>
      </w:pPr>
      <w:r>
        <w:rPr>
          <w:rFonts w:cs="宋体"/>
          <w:color w:val="auto"/>
          <w:sz w:val="20"/>
          <w:szCs w:val="20"/>
        </w:rPr>
        <w:t>备注：1.本表反映部门本年度的总收支和年末结转结余情况。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11"/>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垫江县沙河乡综合行政执法大队</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02</w:t>
            </w:r>
            <w:r>
              <w:rPr>
                <w:rFonts w:cs="宋体"/>
                <w:color w:val="auto"/>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56.67</w:t>
            </w:r>
            <w:r>
              <w:rPr>
                <w:rFonts w:ascii="Times New Roman" w:hAnsi="Times New Roman"/>
                <w:b/>
                <w:color w:val="auto"/>
                <w:sz w:val="20"/>
                <w:u w:color="auto"/>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56.67</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1.44</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1.44</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0.72</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0.72</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城管执法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ind w:left="600" w:hanging="600" w:hangingChars="300"/>
        <w:rPr>
          <w:rFonts w:hint="default" w:cs="宋体"/>
          <w:color w:val="auto"/>
          <w:sz w:val="20"/>
          <w:szCs w:val="20"/>
        </w:rPr>
      </w:pPr>
      <w:r>
        <w:rPr>
          <w:rFonts w:cs="宋体"/>
          <w:color w:val="auto"/>
          <w:sz w:val="20"/>
          <w:szCs w:val="20"/>
        </w:rPr>
        <w:t>备注：1.本表反映部门本年度取得的各项收入情况。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0"/>
          <w:szCs w:val="20"/>
        </w:rPr>
      </w:pPr>
      <w:r>
        <w:rPr>
          <w:rFonts w:cs="宋体"/>
          <w:color w:val="auto"/>
          <w:sz w:val="20"/>
          <w:szCs w:val="20"/>
        </w:rPr>
        <w:br w:type="page"/>
      </w:r>
    </w:p>
    <w:tbl>
      <w:tblPr>
        <w:tblStyle w:val="11"/>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 xml:space="preserve">垫江县沙河乡综合行政执法大队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03</w:t>
            </w:r>
            <w:r>
              <w:rPr>
                <w:rFonts w:cs="宋体"/>
                <w:color w:val="auto"/>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56.67</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56.67</w:t>
            </w:r>
            <w:r>
              <w:rPr>
                <w:rFonts w:ascii="Times New Roman" w:hAnsi="Times New Roman"/>
                <w:b/>
                <w:color w:val="auto"/>
                <w:sz w:val="20"/>
                <w:u w:color="auto"/>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1.44</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1.44</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0.72</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0.72</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城管执法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4.95</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0"/>
          <w:szCs w:val="20"/>
        </w:rPr>
      </w:pPr>
      <w:r>
        <w:rPr>
          <w:rFonts w:cs="宋体"/>
          <w:color w:val="auto"/>
          <w:sz w:val="20"/>
          <w:szCs w:val="20"/>
        </w:rPr>
        <w:t>备注：1.本表反映部门本年度各项支出情况。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p>
      <w:pPr>
        <w:rPr>
          <w:rFonts w:hint="default" w:cs="宋体"/>
          <w:color w:val="auto"/>
          <w:sz w:val="21"/>
          <w:szCs w:val="21"/>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垫江县沙河乡综合行政执法大队</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04</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56.67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0.90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0.90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48.65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48.65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4.95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4.95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56.67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56.67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56.67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56.67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56.67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56.67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备注：1.本表反映部门本年度一般公共预算财政拨款、政府性基金预算财政拨款及国有资本经营预算财政拨款的总收支和年末结转结余情况。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1"/>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垫江县沙河乡综合行政执法大队</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05</w:t>
            </w:r>
            <w:r>
              <w:rPr>
                <w:rFonts w:cs="宋体"/>
                <w:color w:val="auto"/>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56.67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56.67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1.44</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1.44</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0.72</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0.72</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0.90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0.90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4.95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4.95</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备注：1.本表反映部门本年度一般公共预算财政拨款支出情况。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ind w:firstLine="630" w:firstLineChars="300"/>
        <w:rPr>
          <w:rFonts w:hint="default" w:cs="宋体"/>
          <w:color w:val="auto"/>
          <w:sz w:val="21"/>
          <w:szCs w:val="21"/>
        </w:rPr>
      </w:pPr>
      <w:r>
        <w:rPr>
          <w:rFonts w:cs="宋体"/>
          <w:color w:val="auto"/>
          <w:sz w:val="21"/>
          <w:szCs w:val="21"/>
        </w:rPr>
        <w:br w:type="page"/>
      </w:r>
    </w:p>
    <w:tbl>
      <w:tblPr>
        <w:tblStyle w:val="11"/>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垫江县沙河乡综合行政执法大队</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06</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52.39</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4.28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11.13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2.49</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0.17</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29.82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0.99</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0.72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0.90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4.95</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0.58</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0.32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0.51</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52.39</w:t>
            </w:r>
            <w:r>
              <w:rPr>
                <w:rFonts w:ascii="Times New Roman" w:hAnsi="Times New Roman"/>
                <w:color w:val="auto"/>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4.28</w:t>
            </w:r>
            <w:r>
              <w:rPr>
                <w:rFonts w:ascii="Times New Roman" w:hAnsi="Times New Roman"/>
                <w:color w:val="auto"/>
                <w:sz w:val="18"/>
                <w:u w:color="auto"/>
              </w:rPr>
              <w:t xml:space="preserve"> </w:t>
            </w:r>
          </w:p>
        </w:tc>
      </w:tr>
    </w:tbl>
    <w:p>
      <w:pPr>
        <w:spacing w:line="280" w:lineRule="exact"/>
        <w:rPr>
          <w:rFonts w:hint="default" w:cs="宋体"/>
          <w:color w:val="auto"/>
          <w:sz w:val="20"/>
          <w:szCs w:val="20"/>
        </w:rPr>
      </w:pPr>
      <w:r>
        <w:rPr>
          <w:rFonts w:cs="宋体"/>
          <w:color w:val="auto"/>
          <w:sz w:val="20"/>
          <w:szCs w:val="20"/>
        </w:rPr>
        <w:t>备注：1.本表反映部门本年度一般公共预算财政拨款基本支出明细情况。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1"/>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垫江县沙河乡综合行政执法大队</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07</w:t>
            </w:r>
            <w:r>
              <w:rPr>
                <w:rFonts w:cs="宋体"/>
                <w:color w:val="auto"/>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备注：本表反映部门本年度政府性基金预算财政拨款收入支出及结转和结余情况。</w:t>
      </w:r>
      <w:r>
        <w:rPr>
          <w:rFonts w:hint="eastAsia" w:cs="宋体"/>
          <w:color w:val="auto"/>
          <w:sz w:val="20"/>
          <w:szCs w:val="20"/>
          <w:lang w:eastAsia="zh-CN"/>
        </w:rPr>
        <w:t>本单位</w:t>
      </w:r>
      <w:r>
        <w:rPr>
          <w:rFonts w:cs="宋体"/>
          <w:color w:val="auto"/>
          <w:sz w:val="20"/>
          <w:szCs w:val="20"/>
        </w:rPr>
        <w:t>无政府性基金收支，故本表无数据。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11"/>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垫江县沙河乡综合行政执法大队</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08</w:t>
            </w:r>
            <w:r>
              <w:rPr>
                <w:rFonts w:cs="宋体"/>
                <w:color w:val="auto"/>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pPr>
        <w:rPr>
          <w:rFonts w:hint="default" w:cs="宋体"/>
          <w:color w:val="auto"/>
          <w:sz w:val="21"/>
          <w:szCs w:val="21"/>
        </w:rPr>
      </w:pPr>
      <w:r>
        <w:rPr>
          <w:rFonts w:cs="宋体"/>
          <w:color w:val="auto"/>
          <w:sz w:val="20"/>
          <w:szCs w:val="20"/>
        </w:rPr>
        <w:t>备注：本表反映部门本年度国有资本经营预算财政拨款支出情况。</w:t>
      </w:r>
      <w:r>
        <w:rPr>
          <w:rFonts w:hint="eastAsia" w:cs="宋体"/>
          <w:color w:val="auto"/>
          <w:sz w:val="20"/>
          <w:szCs w:val="20"/>
          <w:lang w:eastAsia="zh-CN"/>
        </w:rPr>
        <w:t>本单位</w:t>
      </w:r>
      <w:r>
        <w:rPr>
          <w:rFonts w:cs="宋体"/>
          <w:color w:val="auto"/>
          <w:sz w:val="20"/>
          <w:szCs w:val="20"/>
        </w:rPr>
        <w:t>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11"/>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auto"/>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r>
              <w:rPr>
                <w:rFonts w:cs="宋体"/>
                <w:color w:val="auto"/>
                <w:kern w:val="2"/>
                <w:sz w:val="20"/>
                <w:szCs w:val="20"/>
              </w:rPr>
              <w:t>部门：</w:t>
            </w:r>
            <w:r>
              <w:rPr>
                <w:color w:val="auto"/>
                <w:sz w:val="20"/>
                <w:u w:color="auto"/>
              </w:rPr>
              <w:t>垫江县沙河乡综合行政执法大队</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2.48</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pPr>
        <w:rPr>
          <w:rFonts w:hint="default"/>
          <w:color w:val="auto"/>
        </w:rPr>
      </w:pPr>
      <w:r>
        <w:rPr>
          <w:rFonts w:cs="宋体"/>
          <w:color w:val="auto"/>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F26B15"/>
    <w:multiLevelType w:val="singleLevel"/>
    <w:tmpl w:val="9EF26B15"/>
    <w:lvl w:ilvl="0" w:tentative="0">
      <w:start w:val="1"/>
      <w:numFmt w:val="decimal"/>
      <w:suff w:val="nothing"/>
      <w:lvlText w:val="%1、"/>
      <w:lvlJc w:val="left"/>
      <w:pPr>
        <w:ind w:left="320" w:firstLine="0"/>
      </w:pPr>
    </w:lvl>
  </w:abstractNum>
  <w:abstractNum w:abstractNumId="1">
    <w:nsid w:val="4B6977A6"/>
    <w:multiLevelType w:val="singleLevel"/>
    <w:tmpl w:val="4B6977A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299642F"/>
    <w:rsid w:val="03B87EA0"/>
    <w:rsid w:val="03E3214F"/>
    <w:rsid w:val="044C50BA"/>
    <w:rsid w:val="05BC6D49"/>
    <w:rsid w:val="06194FF1"/>
    <w:rsid w:val="06A2550B"/>
    <w:rsid w:val="06F80EE2"/>
    <w:rsid w:val="07001CCA"/>
    <w:rsid w:val="075678DB"/>
    <w:rsid w:val="079D7CC7"/>
    <w:rsid w:val="08051BCA"/>
    <w:rsid w:val="08133B24"/>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847BF3"/>
    <w:rsid w:val="0FA25D96"/>
    <w:rsid w:val="107B59E5"/>
    <w:rsid w:val="10C372F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0D5EEE"/>
    <w:rsid w:val="163A6CEE"/>
    <w:rsid w:val="173708E3"/>
    <w:rsid w:val="17C374FC"/>
    <w:rsid w:val="18770C01"/>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DEE4C22"/>
    <w:rsid w:val="1E374ACB"/>
    <w:rsid w:val="1E5E27E3"/>
    <w:rsid w:val="1ECF0A66"/>
    <w:rsid w:val="1EF67CA4"/>
    <w:rsid w:val="1F020D3A"/>
    <w:rsid w:val="1F2C5189"/>
    <w:rsid w:val="1F4B0B02"/>
    <w:rsid w:val="1FBB35CD"/>
    <w:rsid w:val="1FCD26AF"/>
    <w:rsid w:val="20531B8B"/>
    <w:rsid w:val="20642787"/>
    <w:rsid w:val="21556F04"/>
    <w:rsid w:val="22403BD3"/>
    <w:rsid w:val="23DA37D9"/>
    <w:rsid w:val="24B92327"/>
    <w:rsid w:val="24C14514"/>
    <w:rsid w:val="2533755C"/>
    <w:rsid w:val="25791755"/>
    <w:rsid w:val="26396DF4"/>
    <w:rsid w:val="27167136"/>
    <w:rsid w:val="27740889"/>
    <w:rsid w:val="27B23302"/>
    <w:rsid w:val="29310A5F"/>
    <w:rsid w:val="29C37A35"/>
    <w:rsid w:val="2A076083"/>
    <w:rsid w:val="2A73162E"/>
    <w:rsid w:val="2B167953"/>
    <w:rsid w:val="2B200583"/>
    <w:rsid w:val="2B8209DE"/>
    <w:rsid w:val="2C6762A3"/>
    <w:rsid w:val="2EBF7B3E"/>
    <w:rsid w:val="2EDE1934"/>
    <w:rsid w:val="2FB80970"/>
    <w:rsid w:val="2FCA4B37"/>
    <w:rsid w:val="2FE029D7"/>
    <w:rsid w:val="2FF06E00"/>
    <w:rsid w:val="30562E26"/>
    <w:rsid w:val="30586FEC"/>
    <w:rsid w:val="30EC7046"/>
    <w:rsid w:val="315F0B22"/>
    <w:rsid w:val="319D022C"/>
    <w:rsid w:val="31C90022"/>
    <w:rsid w:val="31D84415"/>
    <w:rsid w:val="32285F6F"/>
    <w:rsid w:val="324007C5"/>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6A6FBB"/>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3C01A5D"/>
    <w:rsid w:val="44C37687"/>
    <w:rsid w:val="45CB699A"/>
    <w:rsid w:val="465B470D"/>
    <w:rsid w:val="469D6AD4"/>
    <w:rsid w:val="471E6C84"/>
    <w:rsid w:val="47400F1C"/>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144609"/>
    <w:rsid w:val="4ED74CC3"/>
    <w:rsid w:val="4EFC6D10"/>
    <w:rsid w:val="4F0C6BA3"/>
    <w:rsid w:val="4F10477D"/>
    <w:rsid w:val="4F186D58"/>
    <w:rsid w:val="4FEA65B7"/>
    <w:rsid w:val="4FF4660A"/>
    <w:rsid w:val="50BB7C22"/>
    <w:rsid w:val="50F06B6E"/>
    <w:rsid w:val="511C4FE5"/>
    <w:rsid w:val="52234D33"/>
    <w:rsid w:val="522F6E0C"/>
    <w:rsid w:val="52463BA1"/>
    <w:rsid w:val="52F163D4"/>
    <w:rsid w:val="531A2DB4"/>
    <w:rsid w:val="53C0244D"/>
    <w:rsid w:val="53DD4D4E"/>
    <w:rsid w:val="53E578CE"/>
    <w:rsid w:val="541330F0"/>
    <w:rsid w:val="54272666"/>
    <w:rsid w:val="543B029D"/>
    <w:rsid w:val="54816607"/>
    <w:rsid w:val="54861779"/>
    <w:rsid w:val="552256E1"/>
    <w:rsid w:val="554E5773"/>
    <w:rsid w:val="555A3CBC"/>
    <w:rsid w:val="5582012B"/>
    <w:rsid w:val="55847EB2"/>
    <w:rsid w:val="558E4E05"/>
    <w:rsid w:val="55BE2E85"/>
    <w:rsid w:val="56530F5D"/>
    <w:rsid w:val="567700D3"/>
    <w:rsid w:val="56FF7E9E"/>
    <w:rsid w:val="578867FC"/>
    <w:rsid w:val="5842572D"/>
    <w:rsid w:val="5A3B59D6"/>
    <w:rsid w:val="5AD134D8"/>
    <w:rsid w:val="5B6503B1"/>
    <w:rsid w:val="5BD92CD6"/>
    <w:rsid w:val="5C263CE4"/>
    <w:rsid w:val="5C5D2777"/>
    <w:rsid w:val="5CF66BF3"/>
    <w:rsid w:val="5D290C69"/>
    <w:rsid w:val="5F2D4A41"/>
    <w:rsid w:val="5FDB62B0"/>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35368C"/>
    <w:rsid w:val="754758CF"/>
    <w:rsid w:val="764F62AB"/>
    <w:rsid w:val="765C45EC"/>
    <w:rsid w:val="768A7619"/>
    <w:rsid w:val="772E1EBA"/>
    <w:rsid w:val="77523EB0"/>
    <w:rsid w:val="77805C6D"/>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Body Text"/>
    <w:basedOn w:val="1"/>
    <w:link w:val="18"/>
    <w:qFormat/>
    <w:uiPriority w:val="0"/>
    <w:rPr>
      <w:sz w:val="36"/>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4"/>
    <w:qFormat/>
    <w:uiPriority w:val="0"/>
    <w:rPr>
      <w:rFonts w:ascii="宋体" w:hAnsi="宋体"/>
      <w:sz w:val="18"/>
      <w:szCs w:val="18"/>
    </w:rPr>
  </w:style>
  <w:style w:type="character" w:customStyle="1" w:styleId="18">
    <w:name w:val="正文文本 Char"/>
    <w:basedOn w:val="9"/>
    <w:link w:val="3"/>
    <w:unhideWhenUsed/>
    <w:qFormat/>
    <w:uiPriority w:val="99"/>
    <w:rPr>
      <w:sz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6152</Words>
  <Characters>14629</Characters>
  <Lines>194</Lines>
  <Paragraphs>54</Paragraphs>
  <TotalTime>1</TotalTime>
  <ScaleCrop>false</ScaleCrop>
  <LinksUpToDate>false</LinksUpToDate>
  <CharactersWithSpaces>14716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2025-09-10T02:39:45Z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0DF320FD913E4E1BA94D8E751F1D601F_13</vt:lpwstr>
  </property>
  <property fmtid="{D5CDD505-2E9C-101B-9397-08002B2CF9AE}" pid="4" name="KSOTemplateDocerSaveRecord">
    <vt:lpwstr>eyJoZGlkIjoiMDUwMjYyMTAwZTM5NTcxOGVhNzI3YWZjMDRhMjZkZDEifQ==</vt:lpwstr>
  </property>
</Properties>
</file>