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default" w:ascii="方正小标宋_GBK" w:hAnsi="Times New Roman" w:eastAsia="方正小标宋_GBK"/>
          <w:color w:val="000000"/>
          <w:sz w:val="44"/>
          <w:szCs w:val="44"/>
        </w:rPr>
      </w:pPr>
      <w:bookmarkStart w:id="0" w:name="_GoBack"/>
      <w:bookmarkEnd w:id="0"/>
      <w:r>
        <w:rPr>
          <w:rFonts w:ascii="方正小标宋_GBK" w:hAnsi="Times New Roman" w:eastAsia="方正小标宋_GBK"/>
          <w:color w:val="000000"/>
          <w:sz w:val="44"/>
          <w:szCs w:val="44"/>
        </w:rPr>
        <w:t>垫江县人民政府桂溪街道办事处</w:t>
      </w:r>
    </w:p>
    <w:p>
      <w:pPr>
        <w:jc w:val="center"/>
        <w:rPr>
          <w:rFonts w:hint="default" w:ascii="方正小标宋_GBK" w:hAnsi="Times New Roman" w:eastAsia="方正小标宋_GBK"/>
          <w:color w:val="000000"/>
          <w:sz w:val="44"/>
          <w:szCs w:val="44"/>
        </w:rPr>
      </w:pPr>
      <w:r>
        <w:rPr>
          <w:rFonts w:ascii="方正小标宋_GBK" w:hAnsi="Times New Roman" w:eastAsia="方正小标宋_GBK"/>
          <w:color w:val="000000"/>
          <w:sz w:val="44"/>
          <w:szCs w:val="44"/>
        </w:rPr>
        <w:t>2024年度决算公开说明</w:t>
      </w:r>
    </w:p>
    <w:p>
      <w:pPr>
        <w:widowControl w:val="0"/>
        <w:ind w:firstLine="640" w:firstLineChars="200"/>
        <w:jc w:val="both"/>
        <w:rPr>
          <w:rFonts w:hint="default" w:ascii="Times New Roman" w:hAnsi="Times New Roman" w:eastAsia="方正仿宋_GBK"/>
          <w:color w:val="000000"/>
          <w:kern w:val="2"/>
          <w:sz w:val="32"/>
          <w:szCs w:val="32"/>
        </w:rPr>
      </w:pPr>
    </w:p>
    <w:p>
      <w:pPr>
        <w:widowControl w:val="0"/>
        <w:ind w:firstLine="640" w:firstLineChars="200"/>
        <w:jc w:val="both"/>
        <w:rPr>
          <w:rFonts w:hint="default" w:ascii="方正黑体_GBK" w:hAnsi="Times New Roman" w:eastAsia="方正黑体_GBK"/>
          <w:color w:val="000000"/>
          <w:kern w:val="2"/>
          <w:sz w:val="32"/>
          <w:szCs w:val="32"/>
        </w:rPr>
      </w:pPr>
      <w:r>
        <w:rPr>
          <w:rFonts w:ascii="方正黑体_GBK" w:hAnsi="Times New Roman" w:eastAsia="方正黑体_GBK"/>
          <w:color w:val="000000"/>
          <w:kern w:val="2"/>
          <w:sz w:val="32"/>
          <w:szCs w:val="32"/>
        </w:rPr>
        <w:t>一、部门基本情况</w:t>
      </w:r>
    </w:p>
    <w:p>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（一）职能职责</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按照优化协同高效的原则，调整设置相关内设机构。调整后，共计设置内设行政机构10个，事业单位7个。具体设置及主要职责分别是：</w:t>
      </w:r>
    </w:p>
    <w:p>
      <w:pPr>
        <w:widowControl w:val="0"/>
        <w:ind w:firstLine="643" w:firstLineChars="200"/>
        <w:jc w:val="both"/>
        <w:rPr>
          <w:rFonts w:hint="default" w:ascii="Times New Roman" w:hAnsi="Times New Roman" w:eastAsia="方正仿宋_GBK"/>
          <w:b/>
          <w:color w:val="000000"/>
          <w:kern w:val="2"/>
          <w:sz w:val="32"/>
          <w:szCs w:val="32"/>
        </w:rPr>
      </w:pPr>
      <w:r>
        <w:rPr>
          <w:rFonts w:hint="default" w:ascii="Times New Roman" w:hAnsi="Times New Roman" w:eastAsia="方正仿宋_GBK"/>
          <w:b/>
          <w:color w:val="000000"/>
          <w:kern w:val="2"/>
          <w:sz w:val="32"/>
          <w:szCs w:val="32"/>
        </w:rPr>
        <w:t>1.行政内设机构设置</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1）党政办公室。负责纪检、武装、政务公开等工作。负责机关文秘、会务、档案、保密、后勤服务等工作。负责牵头协调办理人大代表和政协委员的议案、提案、建议、意见。完成党工委、办事处交办的其他工作。</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党群工作办公室。负责党的建设、组织、宣传、统战、民宗侨台、机构编制、人事、绩效管理、群团、党务公开等相关工作。负责街道公共服务中心和村（社区）便民服务中心的监督和管理等工作。完成党工委、办事处交办的其他工作。</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3）人大工委办公室。联系本辖区人大代表，组织和指导本辖区的人大代表学习培训，开展联系选民、向所在选区选民报告履职情况等活动，建立代表履职档案并组织好代表履职评价工作，建设代表履职平台，为代表履职提供服务等工作。组织人大代表视察、调研、评议等工作。完成党工委、人大工委交办的其他工作。</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4）经济发展办公室（挂统计办公室牌子）。承担促进街道、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村（社区）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工委、办事处交办的其他工作。</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5）财政办公室。贯彻财经方针政策，执行财政法规、财经制度。负责财政收支、预决算、总会计、惠农资金兑付、财政资金监督检查、绩效评价、村（社区）财务管理等工作。负责机关财务管理、国有资产管理。负责机关、所属事业单位及村（社区）财务内部审计及其他专项审计等工作。完成党工委、办事处交办的其他工作。</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6）民政和社区事务办公室（挂卫生健康办公室、物业管理办公室牌子）。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指导业主大会及业主委员会依法履行职责。负责组织召开物业管理工作联席会议，调解物业管理纠纷。指导和监督社区、市场做好物业管理工作。完成党工委、办事处交办的其他工作。</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7）平安建设办公室。负责普法教育、防邪、禁毒、综治、信访、维稳等工作。负责基层民间矛盾纠纷调解工作。负责高铁沿线护路管理工作。组织、指导、协调、检查、督促辖区内各基层组织和企事业单位的社会治安综合治理等工作。完成党工委、办事处交办的其他工作。</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8）规划建设管理环保办公室。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工委、办事处交办的其他工作。</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9）应急管理办公室。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工委、办事处交办的其他工作。</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10）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工委、办事处交办的其他工作。</w:t>
      </w:r>
    </w:p>
    <w:p>
      <w:pPr>
        <w:widowControl w:val="0"/>
        <w:ind w:firstLine="643" w:firstLineChars="200"/>
        <w:jc w:val="both"/>
        <w:rPr>
          <w:rFonts w:hint="default" w:ascii="Times New Roman" w:hAnsi="Times New Roman" w:eastAsia="方正仿宋_GBK"/>
          <w:b/>
          <w:color w:val="000000"/>
          <w:kern w:val="2"/>
          <w:sz w:val="32"/>
          <w:szCs w:val="32"/>
        </w:rPr>
      </w:pPr>
      <w:r>
        <w:rPr>
          <w:rFonts w:hint="default" w:ascii="Times New Roman" w:hAnsi="Times New Roman" w:eastAsia="方正仿宋_GBK"/>
          <w:b/>
          <w:color w:val="000000"/>
          <w:kern w:val="2"/>
          <w:sz w:val="32"/>
          <w:szCs w:val="32"/>
        </w:rPr>
        <w:t>2.所属事业单位设置</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垫江县桂溪街道设置7个相当于行政正股级财政全额拨款公益一类事业单位。具体设置及主要职责分别是：</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1）社区事务服务中心。为辖区群众提供社区事务服务。负责辖区内社区服务工作的规划、指导、协调等工作。负责社区助老服务（家政服务）、助残服务的组织实施工作。负责社区服务志愿者组织管理服务工作。负责辖区内的小区、楼院市容环境卫生、环境维护、环境设施维护管理、生活垃圾处置等服务工作。负责社区物业管理服务工作。负责其他利民便民服务等工作。</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社区文化服务中心。组织群众文化活动，繁荣文化旅游事业。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3）劳动就业和社会保障服务所。为辖区劳动就业和社会保障提供服务。负责劳动就业和社会保障、农村劳务开发管理等具体工作。负责就业培训、职业指导、就业失业登记等相关工作。负责养老、医疗、工伤、生育、失业保险具体办理工作。负责劳动关系协调、离退休人员社会管理服务等工作。</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4）农业服务中心。推广先进农业技术，促进农业发展。负责农业技术的引进、示范与推广。负责动植物病虫害、农业灾情的监测、预报、防治工作。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5）退役军人服务站。为退役军人提供服务。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6）产业融合发展服务中心。为城市经济社会发展提供服务。负责落实产业融合发展理念，促进生产生活生态空间有机交融，构建发展新格局。培育科技及信息服务、现代商贸物流、文化创意等现代服务业，扶持发展都市生态农业，培育城市现代产业体系，提高产业融合的产业支撑能力。完善产业融合的基础设施支撑体系，配套建设居住、商业、娱乐、休闲等设施，提升公共服务水平，提升宜居宜业水平等工作。</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7）综合行政执法大队。弘扬法治精神，建设法治政府、法治社会。负责配合综合行政执法办公室做好有关农林水利、规划建设、卫生健康、市容环卫、环境保护、文化旅游、民政管理、消防等方面的执法工作。</w:t>
      </w:r>
    </w:p>
    <w:p>
      <w:pPr>
        <w:widowControl w:val="0"/>
        <w:ind w:firstLine="640" w:firstLineChars="200"/>
        <w:jc w:val="both"/>
        <w:rPr>
          <w:rFonts w:hint="default" w:ascii="方正楷体_GBK" w:hAnsi="Times New Roman" w:eastAsia="方正楷体_GBK"/>
          <w:color w:val="000000"/>
          <w:kern w:val="2"/>
          <w:sz w:val="32"/>
          <w:szCs w:val="32"/>
        </w:rPr>
      </w:pPr>
      <w:r>
        <w:rPr>
          <w:rFonts w:hint="default" w:ascii="方正楷体_GBK" w:hAnsi="Times New Roman" w:eastAsia="方正楷体_GBK"/>
          <w:color w:val="000000"/>
          <w:kern w:val="2"/>
          <w:sz w:val="32"/>
          <w:szCs w:val="32"/>
        </w:rPr>
        <w:t>（二）机构设置</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1.垫江县桂溪街道共设置10个内设机构，核定内设机构领导职数11名（含内设机构党政办公室副职职数1名）。</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2.垫江县桂溪街道共设置7个事业单位，共核定事业单位领导职数7名。</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3.内设机构的挂牌机构不单独核定领导职数，其领导职务在主体机构核定职数内由相关人员兼任。</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4.纪工委、武装部按照有关规定设置。工会、妇联、团委等群团按照有关章程设置。</w:t>
      </w:r>
    </w:p>
    <w:p>
      <w:pPr>
        <w:widowControl w:val="0"/>
        <w:ind w:firstLine="640" w:firstLineChars="200"/>
        <w:jc w:val="both"/>
        <w:rPr>
          <w:rFonts w:hint="default" w:ascii="方正楷体_GBK" w:hAnsi="Times New Roman" w:eastAsia="方正楷体_GBK"/>
          <w:color w:val="000000"/>
          <w:kern w:val="2"/>
          <w:sz w:val="32"/>
          <w:szCs w:val="32"/>
        </w:rPr>
      </w:pPr>
      <w:r>
        <w:rPr>
          <w:rFonts w:hint="default" w:ascii="方正楷体_GBK" w:hAnsi="Times New Roman" w:eastAsia="方正楷体_GBK"/>
          <w:color w:val="000000"/>
          <w:kern w:val="2"/>
          <w:sz w:val="32"/>
          <w:szCs w:val="32"/>
        </w:rPr>
        <w:t>（三）单位构成</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纳入本部门2024年度决算编制的预算单位有一个一级预算单位，有八个二级预算单位。</w:t>
      </w:r>
    </w:p>
    <w:p>
      <w:pPr>
        <w:widowControl w:val="0"/>
        <w:ind w:firstLine="640" w:firstLineChars="200"/>
        <w:jc w:val="both"/>
        <w:rPr>
          <w:rFonts w:hint="default" w:ascii="方正楷体_GBK" w:hAnsi="Times New Roman" w:eastAsia="方正楷体_GBK"/>
          <w:color w:val="000000"/>
          <w:kern w:val="2"/>
          <w:sz w:val="32"/>
          <w:szCs w:val="32"/>
        </w:rPr>
      </w:pPr>
      <w:r>
        <w:rPr>
          <w:rFonts w:hint="default" w:ascii="方正楷体_GBK" w:hAnsi="Times New Roman" w:eastAsia="方正楷体_GBK"/>
          <w:color w:val="000000"/>
          <w:kern w:val="2"/>
          <w:sz w:val="32"/>
          <w:szCs w:val="32"/>
        </w:rPr>
        <w:t>（四）人员情况</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2024年人员情况及增减变动情况：年末实有人数在职人数85人，比2023年年末在职人员81人增加4人，其中：行政人员退休2人，招录4人，净增2人。事业人员机构合并，从卫生监督所调进2人，净增加2人。</w:t>
      </w:r>
    </w:p>
    <w:p>
      <w:pPr>
        <w:widowControl w:val="0"/>
        <w:ind w:firstLine="643" w:firstLineChars="200"/>
        <w:jc w:val="both"/>
        <w:rPr>
          <w:rFonts w:hint="default" w:ascii="方正黑体_GBK" w:hAnsi="Times New Roman" w:eastAsia="方正黑体_GBK"/>
          <w:color w:val="000000"/>
          <w:kern w:val="2"/>
          <w:sz w:val="32"/>
          <w:szCs w:val="32"/>
        </w:rPr>
      </w:pPr>
      <w:r>
        <w:rPr>
          <w:rStyle w:val="9"/>
          <w:rFonts w:ascii="黑体" w:hAnsi="黑体" w:eastAsia="黑体" w:cs="黑体"/>
          <w:sz w:val="32"/>
          <w:szCs w:val="32"/>
          <w:shd w:val="clear" w:color="auto" w:fill="FFFFFF"/>
        </w:rPr>
        <w:t>二、部门决算收支情况说明</w:t>
      </w:r>
    </w:p>
    <w:p>
      <w:pPr>
        <w:widowControl w:val="0"/>
        <w:ind w:firstLine="640" w:firstLineChars="200"/>
        <w:jc w:val="both"/>
        <w:rPr>
          <w:rFonts w:hint="default" w:ascii="方正楷体_GBK" w:hAnsi="Times New Roman" w:eastAsia="方正楷体_GBK"/>
          <w:color w:val="000000"/>
          <w:kern w:val="2"/>
          <w:sz w:val="32"/>
          <w:szCs w:val="32"/>
        </w:rPr>
      </w:pPr>
      <w:r>
        <w:rPr>
          <w:rFonts w:hint="default" w:ascii="方正楷体_GBK" w:hAnsi="Times New Roman" w:eastAsia="方正楷体_GBK"/>
          <w:color w:val="000000"/>
          <w:kern w:val="2"/>
          <w:sz w:val="32"/>
          <w:szCs w:val="32"/>
        </w:rPr>
        <w:t>（一）收入支出决算总体情况说明</w:t>
      </w:r>
    </w:p>
    <w:p>
      <w:pPr>
        <w:widowControl w:val="0"/>
        <w:ind w:firstLine="643"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b/>
          <w:color w:val="000000"/>
          <w:kern w:val="2"/>
          <w:sz w:val="32"/>
          <w:szCs w:val="32"/>
        </w:rPr>
        <w:t>1.总体情况。</w:t>
      </w:r>
      <w:r>
        <w:rPr>
          <w:rFonts w:hint="default" w:ascii="Times New Roman" w:hAnsi="Times New Roman" w:eastAsia="方正仿宋_GBK"/>
          <w:color w:val="000000"/>
          <w:kern w:val="2"/>
          <w:sz w:val="32"/>
          <w:szCs w:val="32"/>
        </w:rPr>
        <w:t>2024年度收入总计10389.23万元，支出总计10389.23万元。收、支与2023年度相比，增加2644.65万元，增长34.15%，主要原因是增加了产业发展项目扶持资金。</w:t>
      </w:r>
    </w:p>
    <w:p>
      <w:pPr>
        <w:widowControl w:val="0"/>
        <w:ind w:firstLine="643"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b/>
          <w:color w:val="000000"/>
          <w:kern w:val="2"/>
          <w:sz w:val="32"/>
          <w:szCs w:val="32"/>
        </w:rPr>
        <w:t>2.收入情况</w:t>
      </w:r>
      <w:r>
        <w:rPr>
          <w:rFonts w:hint="default" w:ascii="Times New Roman" w:hAnsi="Times New Roman" w:eastAsia="方正仿宋_GBK"/>
          <w:color w:val="000000"/>
          <w:kern w:val="2"/>
          <w:sz w:val="32"/>
          <w:szCs w:val="32"/>
        </w:rPr>
        <w:t>。2024年度收入合计10298.40万元，与2023年度相比，增加2567.71万元，增长33.21%，主要原因是增加了产业发展项目扶持资金。其中：财政拨款收入10298.40万元，占100.00%；事业收入0.00万元，占0.00%；经营收入0.00万元，占0.00%；其他收入0.00万元，占0.00%。此外，使用非财政拨款结余和专用结余0.00万元，年初结转和结余90.82万元。</w:t>
      </w:r>
    </w:p>
    <w:p>
      <w:pPr>
        <w:widowControl w:val="0"/>
        <w:ind w:firstLine="643"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b/>
          <w:color w:val="000000"/>
          <w:kern w:val="2"/>
          <w:sz w:val="32"/>
          <w:szCs w:val="32"/>
        </w:rPr>
        <w:t>3.支出情况。</w:t>
      </w:r>
      <w:r>
        <w:rPr>
          <w:rFonts w:hint="default" w:ascii="Times New Roman" w:hAnsi="Times New Roman" w:eastAsia="方正仿宋_GBK"/>
          <w:color w:val="000000"/>
          <w:kern w:val="2"/>
          <w:sz w:val="32"/>
          <w:szCs w:val="32"/>
        </w:rPr>
        <w:t>2024年度支出合计10389.23万元，与2023年度相比，增加2644.65万元，增长34.15%，主要原因是增加了产业发展项目扶持资金。其中：基本支出3202.61万元，占30.83%；项目支出7186.62万元，占69.17%；经营支出0.00万元，占0.00%。此外，结余分配0.00万元。</w:t>
      </w:r>
    </w:p>
    <w:p>
      <w:pPr>
        <w:widowControl w:val="0"/>
        <w:ind w:firstLine="643"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b/>
          <w:color w:val="000000"/>
          <w:kern w:val="2"/>
          <w:sz w:val="32"/>
          <w:szCs w:val="32"/>
        </w:rPr>
        <w:t>4.结转结余情况。</w:t>
      </w:r>
      <w:r>
        <w:rPr>
          <w:rFonts w:hint="default" w:ascii="Times New Roman" w:hAnsi="Times New Roman" w:eastAsia="方正仿宋_GBK"/>
          <w:color w:val="000000"/>
          <w:kern w:val="2"/>
          <w:sz w:val="32"/>
          <w:szCs w:val="32"/>
        </w:rPr>
        <w:t>2024年度年末结转和结余0.00万元，与2023年度相比，无增减，主要原因是收支平衡</w:t>
      </w:r>
      <w:r>
        <w:rPr>
          <w:rFonts w:ascii="Times New Roman" w:hAnsi="Times New Roman" w:eastAsia="方正仿宋_GBK"/>
          <w:color w:val="000000"/>
          <w:kern w:val="2"/>
          <w:sz w:val="32"/>
          <w:szCs w:val="32"/>
        </w:rPr>
        <w:t>,无结转结余</w:t>
      </w:r>
      <w:r>
        <w:rPr>
          <w:rFonts w:hint="default" w:ascii="Times New Roman" w:hAnsi="Times New Roman" w:eastAsia="方正仿宋_GBK"/>
          <w:color w:val="000000"/>
          <w:kern w:val="2"/>
          <w:sz w:val="32"/>
          <w:szCs w:val="32"/>
        </w:rPr>
        <w:t>。</w:t>
      </w:r>
    </w:p>
    <w:p>
      <w:pPr>
        <w:widowControl w:val="0"/>
        <w:ind w:firstLine="640" w:firstLineChars="200"/>
        <w:jc w:val="both"/>
        <w:rPr>
          <w:rFonts w:hint="default" w:ascii="方正楷体_GBK" w:hAnsi="Times New Roman" w:eastAsia="方正楷体_GBK"/>
          <w:color w:val="000000"/>
          <w:kern w:val="2"/>
          <w:sz w:val="32"/>
          <w:szCs w:val="32"/>
        </w:rPr>
      </w:pPr>
      <w:r>
        <w:rPr>
          <w:rFonts w:hint="default" w:ascii="方正楷体_GBK" w:hAnsi="Times New Roman" w:eastAsia="方正楷体_GBK"/>
          <w:color w:val="000000"/>
          <w:kern w:val="2"/>
          <w:sz w:val="32"/>
          <w:szCs w:val="32"/>
        </w:rPr>
        <w:t>（二）财政拨款收入支出决算总体情况说明</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2024年度财政拨款收、支总计10389.23万元。与2023年相比，财政拨款收、支总计各增加2646.30万元，增长34.18%。主要原因是增加了产业发展项目扶持资金。</w:t>
      </w:r>
    </w:p>
    <w:p>
      <w:pPr>
        <w:widowControl w:val="0"/>
        <w:ind w:firstLine="640" w:firstLineChars="200"/>
        <w:jc w:val="both"/>
        <w:rPr>
          <w:rFonts w:hint="default" w:ascii="方正楷体_GBK" w:hAnsi="Times New Roman" w:eastAsia="方正楷体_GBK"/>
          <w:color w:val="000000"/>
          <w:kern w:val="2"/>
          <w:sz w:val="32"/>
          <w:szCs w:val="32"/>
        </w:rPr>
      </w:pPr>
      <w:r>
        <w:rPr>
          <w:rFonts w:hint="default" w:ascii="方正楷体_GBK" w:hAnsi="Times New Roman" w:eastAsia="方正楷体_GBK"/>
          <w:color w:val="000000"/>
          <w:kern w:val="2"/>
          <w:sz w:val="32"/>
          <w:szCs w:val="32"/>
        </w:rPr>
        <w:t>（三）一般公共预算财政拨款收入支出决算情况说明</w:t>
      </w:r>
    </w:p>
    <w:p>
      <w:pPr>
        <w:widowControl w:val="0"/>
        <w:ind w:firstLine="643"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b/>
          <w:color w:val="000000"/>
          <w:kern w:val="2"/>
          <w:sz w:val="32"/>
          <w:szCs w:val="32"/>
        </w:rPr>
        <w:t>1.收入情况。</w:t>
      </w:r>
      <w:r>
        <w:rPr>
          <w:rFonts w:hint="default" w:ascii="Times New Roman" w:hAnsi="Times New Roman" w:eastAsia="方正仿宋_GBK"/>
          <w:color w:val="000000"/>
          <w:kern w:val="2"/>
          <w:sz w:val="32"/>
          <w:szCs w:val="32"/>
        </w:rPr>
        <w:t>2024年度一般公共预算财政拨款收入10140.15万元，与2023年度相比，增加2468.89万元，增长32.18%。主要原因是增加了产业发展项目扶持资金。较年初预算数增加4163.80万元，增长69.67%。主要原因是增加了产业发展项目扶持资金。此外，年初财政拨款结转和结余90.82万元。</w:t>
      </w:r>
    </w:p>
    <w:p>
      <w:pPr>
        <w:widowControl w:val="0"/>
        <w:ind w:firstLine="643"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b/>
          <w:color w:val="000000"/>
          <w:kern w:val="2"/>
          <w:sz w:val="32"/>
          <w:szCs w:val="32"/>
        </w:rPr>
        <w:t>2.支出情况。</w:t>
      </w:r>
      <w:r>
        <w:rPr>
          <w:rFonts w:hint="default" w:ascii="Times New Roman" w:hAnsi="Times New Roman" w:eastAsia="方正仿宋_GBK"/>
          <w:color w:val="000000"/>
          <w:kern w:val="2"/>
          <w:sz w:val="32"/>
          <w:szCs w:val="32"/>
        </w:rPr>
        <w:t>2024年度一般公共预算财政拨款支出10230.97万元，与2023年度相比，增加2547.47万元，增长33.16%。</w:t>
      </w:r>
      <w:r>
        <w:rPr>
          <w:rFonts w:ascii="Times New Roman" w:hAnsi="Times New Roman" w:eastAsia="方正仿宋_GBK"/>
          <w:color w:val="000000"/>
          <w:kern w:val="2"/>
          <w:sz w:val="32"/>
          <w:szCs w:val="32"/>
        </w:rPr>
        <w:t>主要原因是</w:t>
      </w:r>
      <w:r>
        <w:rPr>
          <w:rFonts w:hint="default" w:ascii="Times New Roman" w:hAnsi="Times New Roman" w:eastAsia="方正仿宋_GBK"/>
          <w:color w:val="000000"/>
          <w:kern w:val="2"/>
          <w:sz w:val="32"/>
          <w:szCs w:val="32"/>
        </w:rPr>
        <w:t>增加了产业发展项目扶持资金。较年初预算数增加4254.62万元，增长71.19%。</w:t>
      </w:r>
      <w:r>
        <w:rPr>
          <w:rFonts w:ascii="Times New Roman" w:hAnsi="Times New Roman" w:eastAsia="方正仿宋_GBK"/>
          <w:color w:val="000000"/>
          <w:kern w:val="2"/>
          <w:sz w:val="32"/>
          <w:szCs w:val="32"/>
        </w:rPr>
        <w:t>主要原因是</w:t>
      </w:r>
      <w:r>
        <w:rPr>
          <w:rFonts w:hint="default" w:ascii="Times New Roman" w:hAnsi="Times New Roman" w:eastAsia="方正仿宋_GBK"/>
          <w:color w:val="000000"/>
          <w:kern w:val="2"/>
          <w:sz w:val="32"/>
          <w:szCs w:val="32"/>
        </w:rPr>
        <w:t>增加了产业发展项目扶持资金。</w:t>
      </w:r>
    </w:p>
    <w:p>
      <w:pPr>
        <w:widowControl w:val="0"/>
        <w:ind w:firstLine="643"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b/>
          <w:color w:val="000000"/>
          <w:kern w:val="2"/>
          <w:sz w:val="32"/>
          <w:szCs w:val="32"/>
        </w:rPr>
        <w:t>3.结转结余情况。</w:t>
      </w:r>
      <w:r>
        <w:rPr>
          <w:rFonts w:hint="default" w:ascii="Times New Roman" w:hAnsi="Times New Roman" w:eastAsia="方正仿宋_GBK"/>
          <w:color w:val="000000"/>
          <w:kern w:val="2"/>
          <w:sz w:val="32"/>
          <w:szCs w:val="32"/>
        </w:rPr>
        <w:t>2024年度年末一般公共预算财政拨款结转和结余0.00万元，与2023年度相比，无增减，主要原因是收支平衡</w:t>
      </w:r>
      <w:r>
        <w:rPr>
          <w:rFonts w:ascii="Times New Roman" w:hAnsi="Times New Roman" w:eastAsia="方正仿宋_GBK"/>
          <w:color w:val="000000"/>
          <w:kern w:val="2"/>
          <w:sz w:val="32"/>
          <w:szCs w:val="32"/>
        </w:rPr>
        <w:t>,无结转结余</w:t>
      </w:r>
      <w:r>
        <w:rPr>
          <w:rFonts w:hint="default" w:ascii="Times New Roman" w:hAnsi="Times New Roman" w:eastAsia="方正仿宋_GBK"/>
          <w:color w:val="000000"/>
          <w:kern w:val="2"/>
          <w:sz w:val="32"/>
          <w:szCs w:val="32"/>
        </w:rPr>
        <w:t>。</w:t>
      </w:r>
    </w:p>
    <w:p>
      <w:pPr>
        <w:widowControl w:val="0"/>
        <w:ind w:firstLine="643"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b/>
          <w:color w:val="000000"/>
          <w:kern w:val="2"/>
          <w:sz w:val="32"/>
          <w:szCs w:val="32"/>
        </w:rPr>
        <w:t>4.比较情况。</w:t>
      </w:r>
      <w:r>
        <w:rPr>
          <w:rFonts w:hint="default" w:ascii="Times New Roman" w:hAnsi="Times New Roman" w:eastAsia="方正仿宋_GBK"/>
          <w:color w:val="000000"/>
          <w:kern w:val="2"/>
          <w:sz w:val="32"/>
          <w:szCs w:val="32"/>
        </w:rPr>
        <w:t>本部门2024年度一般公共预算财政拨款支出主要用于以下几个方面：</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（1）一般公共服务支出1970.56万元，占19.26%，较年初预算数减少1519.15万元，下降43.53%，主要原因是减少了对时文科技企业的补助支出。</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（2）公共安全支出13.82万元，占0.14%，较年初预算数增加13.82万元，增长100.00%，主要原因是增加了巡逻车支出和劝导站支出。</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（3）文化旅游体育与传媒支出26.30万元，占0.26%，较年初预算数增加6.94万元，增长35.85%，主要原因是增加了运动会支出和广场舞支出。</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（4）社会保障与就业支出774.81万元，占7.57%，较年初预算数增加262.09万元，增长51.12%，主要原因是增加了养老服务中心运行经费</w:t>
      </w:r>
      <w:r>
        <w:rPr>
          <w:rFonts w:ascii="Times New Roman" w:hAnsi="Times New Roman" w:eastAsia="方正仿宋_GBK"/>
          <w:color w:val="000000"/>
          <w:kern w:val="2"/>
          <w:sz w:val="32"/>
          <w:szCs w:val="32"/>
        </w:rPr>
        <w:t>支出</w:t>
      </w:r>
      <w:r>
        <w:rPr>
          <w:rFonts w:hint="default" w:ascii="Times New Roman" w:hAnsi="Times New Roman" w:eastAsia="方正仿宋_GBK"/>
          <w:color w:val="000000"/>
          <w:kern w:val="2"/>
          <w:sz w:val="32"/>
          <w:szCs w:val="32"/>
        </w:rPr>
        <w:t>。</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（5）卫生健康支出119.71万元，占1.17%，较年初预算数增加36.68万元，增长44.18%，主要原因是增加了基本医疗费支出和高德凤后遗症支出。</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（6）节能环保支出99.88万元，占0.98%，较年初预算数增加99.88万元，增长100.00%，主要原因是增加了烟熏腊肉综合治理示范项目支出和生态护</w:t>
      </w:r>
      <w:r>
        <w:rPr>
          <w:rFonts w:ascii="Times New Roman" w:hAnsi="Times New Roman" w:eastAsia="方正仿宋_GBK"/>
          <w:color w:val="000000"/>
          <w:kern w:val="2"/>
          <w:sz w:val="32"/>
          <w:szCs w:val="32"/>
        </w:rPr>
        <w:t>林</w:t>
      </w:r>
      <w:r>
        <w:rPr>
          <w:rFonts w:hint="default" w:ascii="Times New Roman" w:hAnsi="Times New Roman" w:eastAsia="方正仿宋_GBK"/>
          <w:color w:val="000000"/>
          <w:kern w:val="2"/>
          <w:sz w:val="32"/>
          <w:szCs w:val="32"/>
        </w:rPr>
        <w:t>员工资</w:t>
      </w:r>
      <w:r>
        <w:rPr>
          <w:rFonts w:ascii="Times New Roman" w:hAnsi="Times New Roman" w:eastAsia="方正仿宋_GBK"/>
          <w:color w:val="000000"/>
          <w:kern w:val="2"/>
          <w:sz w:val="32"/>
          <w:szCs w:val="32"/>
        </w:rPr>
        <w:t>支出</w:t>
      </w:r>
      <w:r>
        <w:rPr>
          <w:rFonts w:hint="default" w:ascii="Times New Roman" w:hAnsi="Times New Roman" w:eastAsia="方正仿宋_GBK"/>
          <w:color w:val="000000"/>
          <w:kern w:val="2"/>
          <w:sz w:val="32"/>
          <w:szCs w:val="32"/>
        </w:rPr>
        <w:t>。</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（7）城乡社区支出203.69万元，占1.99%，较年初预算数增加44.86万元，增长28.24%，主要原因是增加了三合社区春花二期安置房不动产登记增值税及附加印花税费支出。</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（8）农林水支出1731.89万元，占16.93%，较年初预算数增加322.60万元，增长22.89%，主要原因是增加了宇田花园段垮塌河堤应急抢险修复工程款支出。</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（9）交通运输支出465.11万元，占4.55%，较年初预算数增加298.98万元，增长179.97%，主要原因是增加了玉河社区农村公路路面硬化工程款和西山村公路硬化交通补助款</w:t>
      </w:r>
      <w:r>
        <w:rPr>
          <w:rFonts w:ascii="Times New Roman" w:hAnsi="Times New Roman" w:eastAsia="方正仿宋_GBK"/>
          <w:color w:val="000000"/>
          <w:kern w:val="2"/>
          <w:sz w:val="32"/>
          <w:szCs w:val="32"/>
        </w:rPr>
        <w:t>支出</w:t>
      </w:r>
      <w:r>
        <w:rPr>
          <w:rFonts w:hint="default" w:ascii="Times New Roman" w:hAnsi="Times New Roman" w:eastAsia="方正仿宋_GBK"/>
          <w:color w:val="000000"/>
          <w:kern w:val="2"/>
          <w:sz w:val="32"/>
          <w:szCs w:val="32"/>
        </w:rPr>
        <w:t>。</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（10）资源勘探信息等支出4610.77万元，占45.07%，较年初预算数增加4580.77万元，增长15269.23%，主要原因是增加了</w:t>
      </w:r>
      <w:r>
        <w:rPr>
          <w:rFonts w:ascii="Times New Roman" w:hAnsi="Times New Roman" w:eastAsia="方正仿宋_GBK"/>
          <w:color w:val="000000"/>
          <w:kern w:val="2"/>
          <w:sz w:val="32"/>
          <w:szCs w:val="32"/>
        </w:rPr>
        <w:t>对</w:t>
      </w:r>
      <w:r>
        <w:rPr>
          <w:rFonts w:hint="default" w:ascii="Times New Roman" w:hAnsi="Times New Roman" w:eastAsia="方正仿宋_GBK"/>
          <w:color w:val="000000"/>
          <w:kern w:val="2"/>
          <w:sz w:val="32"/>
          <w:szCs w:val="32"/>
        </w:rPr>
        <w:t>时文科技公司产</w:t>
      </w:r>
      <w:r>
        <w:rPr>
          <w:rFonts w:ascii="Times New Roman" w:hAnsi="Times New Roman" w:eastAsia="方正仿宋_GBK"/>
          <w:color w:val="000000"/>
          <w:kern w:val="2"/>
          <w:sz w:val="32"/>
          <w:szCs w:val="32"/>
        </w:rPr>
        <w:t>业</w:t>
      </w:r>
      <w:r>
        <w:rPr>
          <w:rFonts w:hint="default" w:ascii="Times New Roman" w:hAnsi="Times New Roman" w:eastAsia="方正仿宋_GBK"/>
          <w:color w:val="000000"/>
          <w:kern w:val="2"/>
          <w:sz w:val="32"/>
          <w:szCs w:val="32"/>
        </w:rPr>
        <w:t>发展奖励金</w:t>
      </w:r>
      <w:r>
        <w:rPr>
          <w:rFonts w:ascii="Times New Roman" w:hAnsi="Times New Roman" w:eastAsia="方正仿宋_GBK"/>
          <w:color w:val="000000"/>
          <w:kern w:val="2"/>
          <w:sz w:val="32"/>
          <w:szCs w:val="32"/>
        </w:rPr>
        <w:t>支出</w:t>
      </w:r>
      <w:r>
        <w:rPr>
          <w:rFonts w:hint="default" w:ascii="Times New Roman" w:hAnsi="Times New Roman" w:eastAsia="方正仿宋_GBK"/>
          <w:color w:val="000000"/>
          <w:kern w:val="2"/>
          <w:sz w:val="32"/>
          <w:szCs w:val="32"/>
        </w:rPr>
        <w:t>。</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（11）商业服务业等支出92.32万元，占0.90%，较年初预算数增加92.32万元，增长100.00%，主要原因是增加了2022年限上商贸企业、个体及会计人员补助支出。</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（12）住房保障支出97.22万元，占0.95%，较年初预算数减少9.07万元，下降8.53%，主要原因是缴存基数有所调整。</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（13）灾害防治及应急管理支出24.90万元，占0.24%，较年初预算数增加23.90万元，增长2390.00%，主要原因是增加了2023-2024年冬春临时生活困难救助金。</w:t>
      </w:r>
    </w:p>
    <w:p>
      <w:pPr>
        <w:widowControl w:val="0"/>
        <w:ind w:firstLine="640" w:firstLineChars="200"/>
        <w:jc w:val="both"/>
        <w:rPr>
          <w:rFonts w:hint="default" w:ascii="方正楷体_GBK" w:hAnsi="Times New Roman" w:eastAsia="方正楷体_GBK"/>
          <w:color w:val="000000"/>
          <w:kern w:val="2"/>
          <w:sz w:val="32"/>
          <w:szCs w:val="32"/>
        </w:rPr>
      </w:pPr>
      <w:r>
        <w:rPr>
          <w:rFonts w:hint="default" w:ascii="方正楷体_GBK" w:hAnsi="Times New Roman" w:eastAsia="方正楷体_GBK"/>
          <w:color w:val="000000"/>
          <w:kern w:val="2"/>
          <w:sz w:val="32"/>
          <w:szCs w:val="32"/>
        </w:rPr>
        <w:t>（四）一般公共预算财政拨款基本支出决算情况说明</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2024年度一般公共财政拨款基本支出3202.61万元。其中：人员经费2743.83万元，与2023年度相比，减少129.12万元，下降4.49%，主要原因是减少了工资福利支出。人员经费用途主要包括基本工资、津贴补贴、奖金、伙食补助费、绩效工资、机关事业单位基本养老保险缴费、职业年金缴费、职工基本医疗保险缴费、其他社会保障缴费、住房公积金、医疗费、其他工资福利支出、抚恤金、生活补助、医疗费补助、奖励金。公用经费458.78万元，与2023年度相比，减少95.39万元，下降17.21%，主要原因</w:t>
      </w:r>
      <w:r>
        <w:rPr>
          <w:rFonts w:ascii="Times New Roman" w:hAnsi="Times New Roman" w:eastAsia="方正仿宋_GBK"/>
          <w:color w:val="000000"/>
          <w:kern w:val="2"/>
          <w:sz w:val="32"/>
          <w:szCs w:val="32"/>
        </w:rPr>
        <w:t>是</w:t>
      </w:r>
      <w:r>
        <w:rPr>
          <w:rFonts w:hint="default" w:ascii="Times New Roman" w:hAnsi="Times New Roman" w:eastAsia="方正仿宋_GBK"/>
          <w:color w:val="000000"/>
          <w:kern w:val="2"/>
          <w:sz w:val="32"/>
          <w:szCs w:val="32"/>
        </w:rPr>
        <w:t>减少</w:t>
      </w:r>
      <w:r>
        <w:rPr>
          <w:rFonts w:ascii="Times New Roman" w:hAnsi="Times New Roman" w:eastAsia="方正仿宋_GBK"/>
          <w:color w:val="000000"/>
          <w:kern w:val="2"/>
          <w:sz w:val="32"/>
          <w:szCs w:val="32"/>
        </w:rPr>
        <w:t>了</w:t>
      </w:r>
      <w:r>
        <w:rPr>
          <w:rFonts w:hint="default" w:ascii="Times New Roman" w:hAnsi="Times New Roman" w:eastAsia="方正仿宋_GBK"/>
          <w:color w:val="000000"/>
          <w:kern w:val="2"/>
          <w:sz w:val="32"/>
          <w:szCs w:val="32"/>
        </w:rPr>
        <w:t>劳务费支出。公用经费用途主要包括办公费、印刷费、咨询费、水费、电费、邮电费、物业管理费、差旅费、维修（护）费、租赁费、会议费、培训费、公务接待费、专用材料费、劳务费、工会经费、公务用车运行维护费、其他交通费、其他商品和服务支出。</w:t>
      </w:r>
    </w:p>
    <w:p>
      <w:pPr>
        <w:widowControl w:val="0"/>
        <w:ind w:firstLine="640" w:firstLineChars="200"/>
        <w:jc w:val="both"/>
        <w:rPr>
          <w:rFonts w:hint="default" w:ascii="方正楷体_GBK" w:hAnsi="Times New Roman" w:eastAsia="方正楷体_GBK"/>
          <w:color w:val="000000"/>
          <w:kern w:val="2"/>
          <w:sz w:val="32"/>
          <w:szCs w:val="32"/>
        </w:rPr>
      </w:pPr>
      <w:r>
        <w:rPr>
          <w:rFonts w:hint="default" w:ascii="方正楷体_GBK" w:hAnsi="Times New Roman" w:eastAsia="方正楷体_GBK"/>
          <w:color w:val="000000"/>
          <w:kern w:val="2"/>
          <w:sz w:val="32"/>
          <w:szCs w:val="32"/>
        </w:rPr>
        <w:t>（五）政府性基金预算收支决算情况说明</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2024年度政府性基金预算财政拨款年初结转结余0.00万元，年末结转结余0.00万元。本年收入158.26万元，与2023年度相比，增加100.25万元，增长172.82%，主要原因增加了三合社区春花二期安置房不动产登记增值税及附加印花税费支出。本年支出158.26万元，与2023年度相比，增加100.25万元，增长172.82%，主要原因是增加了三合社区春花二期安置房不动产登记增值税及附加印花税费支出。</w:t>
      </w:r>
    </w:p>
    <w:p>
      <w:pPr>
        <w:widowControl w:val="0"/>
        <w:ind w:firstLine="640" w:firstLineChars="200"/>
        <w:jc w:val="both"/>
        <w:rPr>
          <w:rFonts w:hint="default" w:ascii="方正楷体_GBK" w:hAnsi="Times New Roman" w:eastAsia="方正楷体_GBK"/>
          <w:color w:val="000000"/>
          <w:kern w:val="2"/>
          <w:sz w:val="32"/>
          <w:szCs w:val="32"/>
        </w:rPr>
      </w:pPr>
      <w:r>
        <w:rPr>
          <w:rFonts w:hint="default" w:ascii="方正楷体_GBK" w:hAnsi="Times New Roman" w:eastAsia="方正楷体_GBK"/>
          <w:color w:val="000000"/>
          <w:kern w:val="2"/>
          <w:sz w:val="32"/>
          <w:szCs w:val="32"/>
        </w:rPr>
        <w:t>（六）国有资本经营预算财政拨款支出决算情况说明</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 2024年度国有资本经营预算财政拨本年支出0.00万元，基本支出0.00万元，项目支出0.00万元，本部门2024年度无国有资本经营预算财政拨款支出。</w:t>
      </w:r>
    </w:p>
    <w:p>
      <w:pPr>
        <w:widowControl w:val="0"/>
        <w:ind w:firstLine="643" w:firstLineChars="200"/>
        <w:jc w:val="both"/>
        <w:rPr>
          <w:rFonts w:hint="default" w:ascii="方正黑体_GBK" w:hAnsi="Times New Roman" w:eastAsia="方正黑体_GBK"/>
          <w:color w:val="000000"/>
          <w:kern w:val="2"/>
          <w:sz w:val="32"/>
          <w:szCs w:val="32"/>
        </w:rPr>
      </w:pPr>
      <w:r>
        <w:rPr>
          <w:rStyle w:val="9"/>
          <w:rFonts w:ascii="黑体" w:hAnsi="黑体" w:eastAsia="黑体" w:cs="黑体"/>
          <w:sz w:val="32"/>
          <w:szCs w:val="32"/>
          <w:shd w:val="clear" w:color="auto" w:fill="FFFFFF"/>
        </w:rPr>
        <w:t>三、财政拨款“三公”经费情况说明</w:t>
      </w:r>
    </w:p>
    <w:p>
      <w:pPr>
        <w:widowControl w:val="0"/>
        <w:ind w:firstLine="640" w:firstLineChars="200"/>
        <w:jc w:val="both"/>
        <w:rPr>
          <w:rFonts w:hint="default" w:ascii="方正楷体_GBK" w:hAnsi="Times New Roman" w:eastAsia="方正楷体_GBK"/>
          <w:color w:val="000000"/>
          <w:kern w:val="2"/>
          <w:sz w:val="32"/>
          <w:szCs w:val="32"/>
        </w:rPr>
      </w:pPr>
      <w:r>
        <w:rPr>
          <w:rFonts w:hint="default" w:ascii="方正楷体_GBK" w:hAnsi="Times New Roman" w:eastAsia="方正楷体_GBK"/>
          <w:color w:val="000000"/>
          <w:kern w:val="2"/>
          <w:sz w:val="32"/>
          <w:szCs w:val="32"/>
        </w:rPr>
        <w:t>（一）“三公”经费支出总体情况说明</w:t>
      </w:r>
    </w:p>
    <w:p>
      <w:pPr>
        <w:ind w:firstLine="640" w:firstLineChars="200"/>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2024年度“三公”经费支出共计18.49万元，较年初预算数增加14.49万元，增长362.25%，主要原因一是</w:t>
      </w:r>
      <w:r>
        <w:rPr>
          <w:rFonts w:hint="default" w:ascii="方正仿宋_GBK" w:hAnsi="方正仿宋_GBK" w:eastAsia="方正仿宋_GBK" w:cs="方正仿宋_GBK"/>
          <w:sz w:val="32"/>
          <w:szCs w:val="32"/>
          <w:shd w:val="clear" w:color="auto" w:fill="FFFFFF"/>
          <w:lang/>
        </w:rPr>
        <w:t>本年度森林防火持续时间长，公务用车主要用于森</w:t>
      </w:r>
      <w:r>
        <w:rPr>
          <w:rFonts w:ascii="方正仿宋_GBK" w:hAnsi="方正仿宋_GBK" w:eastAsia="方正仿宋_GBK" w:cs="方正仿宋_GBK"/>
          <w:sz w:val="32"/>
          <w:szCs w:val="32"/>
          <w:shd w:val="clear" w:color="auto" w:fill="FFFFFF"/>
          <w:lang/>
        </w:rPr>
        <w:t>林</w:t>
      </w:r>
      <w:r>
        <w:rPr>
          <w:rFonts w:hint="default" w:ascii="方正仿宋_GBK" w:hAnsi="方正仿宋_GBK" w:eastAsia="方正仿宋_GBK" w:cs="方正仿宋_GBK"/>
          <w:sz w:val="32"/>
          <w:szCs w:val="32"/>
          <w:shd w:val="clear" w:color="auto" w:fill="FFFFFF"/>
          <w:lang/>
        </w:rPr>
        <w:t>防火、治安巡逻、安全检查、信访维稳等多项工作，公务车运行维护费较年初预算数增加。二是本年度加大招商引资力度，公务接待费较年初预算数增加。</w:t>
      </w:r>
      <w:r>
        <w:rPr>
          <w:rFonts w:hint="default" w:ascii="Times New Roman" w:hAnsi="Times New Roman" w:eastAsia="方正仿宋_GBK"/>
          <w:color w:val="000000"/>
          <w:kern w:val="2"/>
          <w:sz w:val="32"/>
          <w:szCs w:val="32"/>
        </w:rPr>
        <w:t>较上年支出数减少0.26万元，下降1.39%，主要原因一是认真贯彻落实中央八项规定精神，按照只减不增的要求从严控制“三公”经费，全年实际支出较上年有所下降。二是严格落实公车使用规定，公车运行维护成本下降。三是强化公务接待支出管理，严格遵守公务接待开支范围和开支标准，严格控制陪餐人数，对应由接待对象承担的费用一律由接待对象自行支付，公务接待费下降。四是进一步规范因公出国（境）活动，今年未安排人员出国出访。</w:t>
      </w:r>
    </w:p>
    <w:p>
      <w:pPr>
        <w:widowControl w:val="0"/>
        <w:ind w:firstLine="640" w:firstLineChars="200"/>
        <w:jc w:val="both"/>
        <w:rPr>
          <w:rFonts w:hint="default" w:ascii="方正楷体_GBK" w:hAnsi="Times New Roman" w:eastAsia="方正楷体_GBK"/>
          <w:color w:val="000000"/>
          <w:kern w:val="2"/>
          <w:sz w:val="32"/>
          <w:szCs w:val="32"/>
        </w:rPr>
      </w:pPr>
      <w:r>
        <w:rPr>
          <w:rFonts w:hint="default" w:ascii="方正楷体_GBK" w:hAnsi="Times New Roman" w:eastAsia="方正楷体_GBK"/>
          <w:color w:val="000000"/>
          <w:kern w:val="2"/>
          <w:sz w:val="32"/>
          <w:szCs w:val="32"/>
        </w:rPr>
        <w:t>（二）“三公”经费分项支出情况</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2024年度本</w:t>
      </w:r>
      <w:r>
        <w:rPr>
          <w:rFonts w:ascii="Times New Roman" w:hAnsi="Times New Roman" w:eastAsia="方正仿宋_GBK"/>
          <w:color w:val="000000"/>
          <w:kern w:val="2"/>
          <w:sz w:val="32"/>
          <w:szCs w:val="32"/>
        </w:rPr>
        <w:t>部门</w:t>
      </w:r>
      <w:r>
        <w:rPr>
          <w:rFonts w:hint="default" w:ascii="Times New Roman" w:hAnsi="Times New Roman" w:eastAsia="方正仿宋_GBK"/>
          <w:color w:val="000000"/>
          <w:kern w:val="2"/>
          <w:sz w:val="32"/>
          <w:szCs w:val="32"/>
        </w:rPr>
        <w:t>因公出国（境）费用0万元，</w:t>
      </w:r>
      <w:r>
        <w:rPr>
          <w:rFonts w:ascii="方正仿宋_GBK" w:hAnsi="方正仿宋_GBK" w:eastAsia="方正仿宋_GBK" w:cs="方正仿宋_GBK"/>
          <w:sz w:val="32"/>
          <w:szCs w:val="32"/>
          <w:shd w:val="clear" w:color="auto" w:fill="FFFFFF"/>
        </w:rPr>
        <w:t>费用支出较年初预算数无增减，</w:t>
      </w:r>
      <w:r>
        <w:rPr>
          <w:rFonts w:hint="default" w:ascii="Times New Roman" w:hAnsi="Times New Roman" w:eastAsia="方正仿宋_GBK"/>
          <w:color w:val="000000"/>
          <w:kern w:val="2"/>
          <w:sz w:val="32"/>
          <w:szCs w:val="32"/>
        </w:rPr>
        <w:t>主要原因是年初预算数未安排因公出国（境）费用，也未发生因公出国（境）费用</w:t>
      </w:r>
      <w:r>
        <w:rPr>
          <w:rFonts w:ascii="Times New Roman" w:hAnsi="Times New Roman" w:eastAsia="方正仿宋_GBK"/>
          <w:color w:val="000000"/>
          <w:kern w:val="2"/>
          <w:sz w:val="32"/>
          <w:szCs w:val="32"/>
        </w:rPr>
        <w:t>。较上年支出数无增减，</w:t>
      </w:r>
      <w:r>
        <w:rPr>
          <w:rFonts w:hint="default" w:ascii="Times New Roman" w:hAnsi="Times New Roman" w:eastAsia="方正仿宋_GBK"/>
          <w:color w:val="000000"/>
          <w:kern w:val="2"/>
          <w:sz w:val="32"/>
          <w:szCs w:val="32"/>
        </w:rPr>
        <w:t>主要原因是今年未安排人员出国出访。</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公务车购置费0万元，</w:t>
      </w:r>
      <w:r>
        <w:rPr>
          <w:rFonts w:ascii="Times New Roman" w:hAnsi="Times New Roman" w:eastAsia="方正仿宋_GBK"/>
          <w:color w:val="000000"/>
          <w:kern w:val="2"/>
          <w:sz w:val="32"/>
          <w:szCs w:val="32"/>
        </w:rPr>
        <w:t>主要用于车辆购置。</w:t>
      </w:r>
      <w:r>
        <w:rPr>
          <w:rFonts w:ascii="方正仿宋_GBK" w:hAnsi="方正仿宋_GBK" w:eastAsia="方正仿宋_GBK" w:cs="方正仿宋_GBK"/>
          <w:sz w:val="32"/>
          <w:szCs w:val="32"/>
          <w:shd w:val="clear" w:color="auto" w:fill="FFFFFF"/>
        </w:rPr>
        <w:t>费用支出较年初预算数无增减，</w:t>
      </w:r>
      <w:r>
        <w:rPr>
          <w:rFonts w:ascii="Times New Roman" w:hAnsi="Times New Roman" w:eastAsia="方正仿宋_GBK"/>
          <w:color w:val="000000"/>
          <w:kern w:val="2"/>
          <w:sz w:val="32"/>
          <w:szCs w:val="32"/>
        </w:rPr>
        <w:t>主要原因是年初预算数未安排公务车购置费用。与2023年度相比，</w:t>
      </w:r>
      <w:r>
        <w:rPr>
          <w:rFonts w:hint="default" w:ascii="Times New Roman" w:hAnsi="Times New Roman" w:eastAsia="方正仿宋_GBK"/>
          <w:color w:val="000000"/>
          <w:kern w:val="2"/>
          <w:sz w:val="32"/>
          <w:szCs w:val="32"/>
        </w:rPr>
        <w:t>较上年支出数</w:t>
      </w:r>
      <w:r>
        <w:rPr>
          <w:rFonts w:ascii="Times New Roman" w:hAnsi="Times New Roman" w:eastAsia="方正仿宋_GBK"/>
          <w:color w:val="000000"/>
          <w:kern w:val="2"/>
          <w:sz w:val="32"/>
          <w:szCs w:val="32"/>
        </w:rPr>
        <w:t>无增减</w:t>
      </w:r>
      <w:r>
        <w:rPr>
          <w:rFonts w:hint="default" w:ascii="Times New Roman" w:hAnsi="Times New Roman" w:eastAsia="方正仿宋_GBK"/>
          <w:color w:val="000000"/>
          <w:kern w:val="2"/>
          <w:sz w:val="32"/>
          <w:szCs w:val="32"/>
        </w:rPr>
        <w:t>，主要原因是今年未安排公务车购置费。</w:t>
      </w:r>
    </w:p>
    <w:p>
      <w:pPr>
        <w:ind w:firstLine="640" w:firstLineChars="200"/>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公务车运行维护费13.25万元，主要用于工作所需车辆的燃料费、维修费、过桥过路费、保险费、洗车费等。费用支出较年初预算数增加11.75万元，增长783.33%，主要原因一是</w:t>
      </w:r>
      <w:r>
        <w:rPr>
          <w:rFonts w:hint="default" w:ascii="方正仿宋_GBK" w:hAnsi="方正仿宋_GBK" w:eastAsia="方正仿宋_GBK" w:cs="方正仿宋_GBK"/>
          <w:sz w:val="32"/>
          <w:szCs w:val="32"/>
          <w:shd w:val="clear" w:color="auto" w:fill="FFFFFF"/>
          <w:lang/>
        </w:rPr>
        <w:t>本年度森林防火持续时间长，公务用车主要用于森</w:t>
      </w:r>
      <w:r>
        <w:rPr>
          <w:rFonts w:ascii="方正仿宋_GBK" w:hAnsi="方正仿宋_GBK" w:eastAsia="方正仿宋_GBK" w:cs="方正仿宋_GBK"/>
          <w:sz w:val="32"/>
          <w:szCs w:val="32"/>
          <w:shd w:val="clear" w:color="auto" w:fill="FFFFFF"/>
          <w:lang/>
        </w:rPr>
        <w:t>林</w:t>
      </w:r>
      <w:r>
        <w:rPr>
          <w:rFonts w:hint="default" w:ascii="方正仿宋_GBK" w:hAnsi="方正仿宋_GBK" w:eastAsia="方正仿宋_GBK" w:cs="方正仿宋_GBK"/>
          <w:sz w:val="32"/>
          <w:szCs w:val="32"/>
          <w:shd w:val="clear" w:color="auto" w:fill="FFFFFF"/>
          <w:lang/>
        </w:rPr>
        <w:t>防火、治安巡逻、安全检查、信访维稳等多项工作，公务车运行维护费较年初预算数增加。</w:t>
      </w:r>
      <w:r>
        <w:rPr>
          <w:rFonts w:hint="default" w:ascii="Times New Roman" w:hAnsi="Times New Roman" w:eastAsia="方正仿宋_GBK"/>
          <w:color w:val="000000"/>
          <w:kern w:val="2"/>
          <w:sz w:val="32"/>
          <w:szCs w:val="32"/>
        </w:rPr>
        <w:t>较上年支出数减少0.13万元，下降0.97%，主要原因是实行公车改革，减少了公务用车运行维护费。</w:t>
      </w:r>
    </w:p>
    <w:p>
      <w:pPr>
        <w:ind w:firstLine="640" w:firstLineChars="200"/>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公务接待费5.25万元，主要用于接待相关部门检查指导工作及招商引资发生的接待支出。费用支出较年初预算数增加2.75万元，增长110.00%，</w:t>
      </w:r>
      <w:r>
        <w:rPr>
          <w:rFonts w:hint="default" w:ascii="方正仿宋_GBK" w:hAnsi="方正仿宋_GBK" w:eastAsia="方正仿宋_GBK" w:cs="方正仿宋_GBK"/>
          <w:sz w:val="32"/>
          <w:szCs w:val="32"/>
          <w:shd w:val="clear" w:color="auto" w:fill="FFFFFF"/>
          <w:lang/>
        </w:rPr>
        <w:t>本年度加大招商引资力度，公务接待费较年初预算数增加。</w:t>
      </w:r>
      <w:r>
        <w:rPr>
          <w:rFonts w:hint="default" w:ascii="Times New Roman" w:hAnsi="Times New Roman" w:eastAsia="方正仿宋_GBK"/>
          <w:color w:val="000000"/>
          <w:kern w:val="2"/>
          <w:sz w:val="32"/>
          <w:szCs w:val="32"/>
        </w:rPr>
        <w:t>较上年支出数减少0.12万元，下降2.23%，</w:t>
      </w:r>
      <w:r>
        <w:rPr>
          <w:rFonts w:ascii="Times New Roman" w:hAnsi="Times New Roman" w:eastAsia="方正仿宋_GBK"/>
          <w:color w:val="000000"/>
          <w:kern w:val="2"/>
          <w:sz w:val="32"/>
          <w:szCs w:val="32"/>
        </w:rPr>
        <w:t>主要原因是</w:t>
      </w:r>
      <w:r>
        <w:rPr>
          <w:rFonts w:hint="default" w:ascii="Times New Roman" w:hAnsi="Times New Roman" w:eastAsia="方正仿宋_GBK"/>
          <w:color w:val="000000"/>
          <w:kern w:val="2"/>
          <w:sz w:val="32"/>
          <w:szCs w:val="32"/>
        </w:rPr>
        <w:t>规范接待制度严格控制接待费用。</w:t>
      </w:r>
    </w:p>
    <w:p>
      <w:pPr>
        <w:widowControl w:val="0"/>
        <w:ind w:firstLine="640" w:firstLineChars="200"/>
        <w:jc w:val="both"/>
        <w:rPr>
          <w:rFonts w:hint="default" w:ascii="方正楷体_GBK" w:hAnsi="Times New Roman" w:eastAsia="方正楷体_GBK"/>
          <w:color w:val="000000"/>
          <w:kern w:val="2"/>
          <w:sz w:val="32"/>
          <w:szCs w:val="32"/>
        </w:rPr>
      </w:pPr>
      <w:r>
        <w:rPr>
          <w:rFonts w:hint="default" w:ascii="方正楷体_GBK" w:hAnsi="Times New Roman" w:eastAsia="方正楷体_GBK"/>
          <w:color w:val="000000"/>
          <w:kern w:val="2"/>
          <w:sz w:val="32"/>
          <w:szCs w:val="32"/>
        </w:rPr>
        <w:t>（三）“三公”经费实物量情况</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2024年度本部门因公出国（境）共计0个团组，0人；公务用车购置0辆，公务车保有量为2辆；国内公务接待138批次832人，其中：国内外事接待0批次，0人；国（境）外公务接待0批次，0人。2024年本部门人均接待费63.08元，车均购置费0万元，车均维护费6.62万元。</w:t>
      </w:r>
    </w:p>
    <w:p>
      <w:pPr>
        <w:widowControl w:val="0"/>
        <w:ind w:firstLine="640" w:firstLineChars="200"/>
        <w:jc w:val="both"/>
        <w:rPr>
          <w:rFonts w:hint="default" w:ascii="方正黑体_GBK" w:hAnsi="Times New Roman" w:eastAsia="方正黑体_GBK"/>
          <w:color w:val="000000"/>
          <w:kern w:val="2"/>
          <w:sz w:val="32"/>
          <w:szCs w:val="32"/>
        </w:rPr>
      </w:pPr>
      <w:r>
        <w:rPr>
          <w:rFonts w:hint="default" w:ascii="方正黑体_GBK" w:hAnsi="Times New Roman" w:eastAsia="方正黑体_GBK"/>
          <w:color w:val="000000"/>
          <w:kern w:val="2"/>
          <w:sz w:val="32"/>
          <w:szCs w:val="32"/>
        </w:rPr>
        <w:t>四、其他需要说明的事项</w:t>
      </w:r>
    </w:p>
    <w:p>
      <w:pPr>
        <w:widowControl w:val="0"/>
        <w:ind w:firstLine="640" w:firstLineChars="200"/>
        <w:jc w:val="both"/>
        <w:rPr>
          <w:rFonts w:hint="default" w:ascii="方正楷体_GBK" w:hAnsi="Times New Roman" w:eastAsia="方正楷体_GBK"/>
          <w:color w:val="000000"/>
          <w:kern w:val="2"/>
          <w:sz w:val="32"/>
          <w:szCs w:val="32"/>
        </w:rPr>
      </w:pPr>
      <w:r>
        <w:rPr>
          <w:rFonts w:hint="default" w:ascii="方正楷体_GBK" w:hAnsi="Times New Roman" w:eastAsia="方正楷体_GBK"/>
          <w:color w:val="000000"/>
          <w:kern w:val="2"/>
          <w:sz w:val="32"/>
          <w:szCs w:val="32"/>
        </w:rPr>
        <w:t>（一）财政拨款会议费和培训费情况说明</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本年度会议费支出1.38万元，与2023年度相比，增加0.64万元，增长86.49%，主要原因是增加第一届议事代表第三次会议人大代表，议事会议支出。本年度培训费支出3.22万元，与2023年度相比，增加0.16万元，增长5.23%，主要原因是增加了事业人员继续教育培训费。</w:t>
      </w:r>
    </w:p>
    <w:p>
      <w:pPr>
        <w:widowControl w:val="0"/>
        <w:ind w:firstLine="640" w:firstLineChars="200"/>
        <w:jc w:val="both"/>
        <w:rPr>
          <w:rFonts w:hint="default" w:ascii="方正楷体_GBK" w:hAnsi="Times New Roman" w:eastAsia="方正楷体_GBK"/>
          <w:color w:val="000000"/>
          <w:kern w:val="2"/>
          <w:sz w:val="32"/>
          <w:szCs w:val="32"/>
        </w:rPr>
      </w:pPr>
      <w:r>
        <w:rPr>
          <w:rFonts w:hint="default" w:ascii="方正楷体_GBK" w:hAnsi="Times New Roman" w:eastAsia="方正楷体_GBK"/>
          <w:color w:val="000000"/>
          <w:kern w:val="2"/>
          <w:sz w:val="32"/>
          <w:szCs w:val="32"/>
        </w:rPr>
        <w:t>（二）机关运行经费情况说明</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2024年度本部门机关运行经费支出430.26万元，主要用于开支办公费、邮电费、公务车运行维护费、信息网络购置更新费、维修费、水费、电费、劳务费等。机关运行经费较上年支出数减少82.78万元，下降16.14%，主要原因是减少了机关劳务费</w:t>
      </w:r>
      <w:r>
        <w:rPr>
          <w:rFonts w:ascii="Times New Roman" w:hAnsi="Times New Roman" w:eastAsia="方正仿宋_GBK"/>
          <w:color w:val="000000"/>
          <w:kern w:val="2"/>
          <w:sz w:val="32"/>
          <w:szCs w:val="32"/>
        </w:rPr>
        <w:t>支出</w:t>
      </w:r>
      <w:r>
        <w:rPr>
          <w:rFonts w:hint="default" w:ascii="Times New Roman" w:hAnsi="Times New Roman" w:eastAsia="方正仿宋_GBK"/>
          <w:color w:val="000000"/>
          <w:kern w:val="2"/>
          <w:sz w:val="32"/>
          <w:szCs w:val="32"/>
        </w:rPr>
        <w:t>。</w:t>
      </w:r>
    </w:p>
    <w:p>
      <w:pPr>
        <w:widowControl w:val="0"/>
        <w:ind w:firstLine="640" w:firstLineChars="200"/>
        <w:jc w:val="both"/>
        <w:rPr>
          <w:rFonts w:hint="default" w:ascii="方正楷体_GBK" w:hAnsi="Times New Roman" w:eastAsia="方正楷体_GBK"/>
          <w:color w:val="000000"/>
          <w:kern w:val="2"/>
          <w:sz w:val="32"/>
          <w:szCs w:val="32"/>
        </w:rPr>
      </w:pPr>
      <w:r>
        <w:rPr>
          <w:rFonts w:hint="default" w:ascii="方正楷体_GBK" w:hAnsi="Times New Roman" w:eastAsia="方正楷体_GBK"/>
          <w:color w:val="000000"/>
          <w:kern w:val="2"/>
          <w:sz w:val="32"/>
          <w:szCs w:val="32"/>
        </w:rPr>
        <w:t>（三）国有资产占用情况说明</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截至2024年12月31日，本部门共有车辆2辆，其中，副部（省）级及以上领导用车0辆、主要负责人用车0辆、机要通信用车1辆、应急保障用车1辆、执法执勤用车0辆，特种专业技术用车0辆，离退休干部用车0辆。单价100万元（含）以上专用设备0台（套）。</w:t>
      </w:r>
    </w:p>
    <w:p>
      <w:pPr>
        <w:widowControl w:val="0"/>
        <w:ind w:firstLine="640" w:firstLineChars="200"/>
        <w:jc w:val="both"/>
        <w:rPr>
          <w:rFonts w:hint="default" w:ascii="方正楷体_GBK" w:hAnsi="Times New Roman" w:eastAsia="方正楷体_GBK"/>
          <w:color w:val="000000"/>
          <w:kern w:val="2"/>
          <w:sz w:val="32"/>
          <w:szCs w:val="32"/>
        </w:rPr>
      </w:pPr>
      <w:r>
        <w:rPr>
          <w:rFonts w:hint="default" w:ascii="方正楷体_GBK" w:hAnsi="Times New Roman" w:eastAsia="方正楷体_GBK"/>
          <w:color w:val="000000"/>
          <w:kern w:val="2"/>
          <w:sz w:val="32"/>
          <w:szCs w:val="32"/>
        </w:rPr>
        <w:t>（四）政府采购支出情况说明</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2024年度本部门政府采购支出总额2.33万元，其中：政府采购货物支出2.33万元、政府采购工程支出0.00万元、政府采购服务支出0.00万元。授予中小企业合同金额2.33万元，占政府采购支出总额的100.00%，其中：授予小微企业合同金额2.33万元，占政府采购支出总额的100.00 %。主要用于采购主要用于采购办公电脑。</w:t>
      </w:r>
    </w:p>
    <w:p>
      <w:pPr>
        <w:widowControl w:val="0"/>
        <w:ind w:firstLine="643" w:firstLineChars="200"/>
        <w:jc w:val="both"/>
        <w:rPr>
          <w:rFonts w:hint="default" w:ascii="方正黑体_GBK" w:hAnsi="Times New Roman" w:eastAsia="方正黑体_GBK"/>
          <w:color w:val="000000"/>
          <w:kern w:val="2"/>
          <w:sz w:val="32"/>
          <w:szCs w:val="32"/>
        </w:rPr>
      </w:pPr>
      <w:r>
        <w:rPr>
          <w:rStyle w:val="9"/>
          <w:rFonts w:ascii="黑体" w:hAnsi="黑体" w:eastAsia="黑体" w:cs="黑体"/>
          <w:sz w:val="32"/>
          <w:szCs w:val="32"/>
          <w:shd w:val="clear" w:color="auto" w:fill="FFFFFF"/>
        </w:rPr>
        <w:t>五、2024年度预算绩效管理情况说明</w:t>
      </w:r>
    </w:p>
    <w:p>
      <w:pPr>
        <w:pStyle w:val="2"/>
        <w:ind w:firstLine="640"/>
        <w:rPr>
          <w:rFonts w:hint="default" w:eastAsia="方正黑体_GBK"/>
        </w:rPr>
      </w:pPr>
      <w:r>
        <w:rPr>
          <w:rFonts w:ascii="方正楷体_GBK" w:hAnsi="方正楷体_GBK" w:eastAsia="方正楷体_GBK" w:cs="方正楷体_GBK"/>
          <w:color w:val="000000"/>
          <w:kern w:val="2"/>
          <w:sz w:val="32"/>
          <w:szCs w:val="32"/>
        </w:rPr>
        <w:t>（一）部门自评情况</w:t>
      </w:r>
    </w:p>
    <w:p>
      <w:pPr>
        <w:rPr>
          <w:rFonts w:hint="default" w:ascii="方正仿宋_GBK" w:hAnsi="方正仿宋_GBK" w:eastAsia="方正仿宋_GBK" w:cs="方正仿宋_GBK"/>
          <w:sz w:val="32"/>
          <w:szCs w:val="32"/>
          <w:shd w:val="clear" w:color="auto" w:fill="FFFFFF"/>
          <w:lang/>
        </w:rPr>
      </w:pPr>
      <w:r>
        <w:rPr>
          <w:rFonts w:hint="default" w:ascii="方正仿宋_GBK" w:hAnsi="方正仿宋_GBK" w:eastAsia="方正仿宋_GBK" w:cs="方正仿宋_GBK"/>
          <w:sz w:val="32"/>
          <w:szCs w:val="32"/>
          <w:shd w:val="clear" w:color="auto" w:fill="FFFFFF"/>
          <w:lang/>
        </w:rPr>
        <w:t xml:space="preserve">    根据预算绩效管理要求，我</w:t>
      </w:r>
      <w:r>
        <w:rPr>
          <w:rFonts w:ascii="方正仿宋_GBK" w:hAnsi="方正仿宋_GBK" w:eastAsia="方正仿宋_GBK" w:cs="方正仿宋_GBK"/>
          <w:sz w:val="32"/>
          <w:szCs w:val="32"/>
          <w:shd w:val="clear" w:color="auto" w:fill="FFFFFF"/>
          <w:lang/>
        </w:rPr>
        <w:t>部门对</w:t>
      </w:r>
      <w:r>
        <w:rPr>
          <w:rFonts w:hint="default" w:ascii="方正仿宋_GBK" w:hAnsi="方正仿宋_GBK" w:eastAsia="方正仿宋_GBK" w:cs="方正仿宋_GBK"/>
          <w:sz w:val="32"/>
          <w:szCs w:val="32"/>
          <w:shd w:val="clear" w:color="auto" w:fill="FFFFFF"/>
          <w:lang/>
        </w:rPr>
        <w:t>部门整体绩效及83个二级项目开展了绩效自评，涉及财政拨款项目支出资金7186.82万元；本报告中主要列举以下3个二级项目：村社区办公经费、服务群众专项、老党员生活补贴。</w:t>
      </w:r>
    </w:p>
    <w:p>
      <w:pPr>
        <w:pStyle w:val="2"/>
        <w:ind w:firstLine="480"/>
        <w:rPr>
          <w:rFonts w:hint="default" w:cs="宋体"/>
          <w:szCs w:val="24"/>
          <w:shd w:val="clear" w:color="auto" w:fill="FFFFFF"/>
          <w:lang/>
        </w:rPr>
      </w:pPr>
    </w:p>
    <w:p>
      <w:pPr>
        <w:rPr>
          <w:rFonts w:hint="default"/>
        </w:rPr>
      </w:pPr>
    </w:p>
    <w:tbl>
      <w:tblPr>
        <w:tblStyle w:val="10"/>
        <w:tblW w:w="976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92"/>
        <w:gridCol w:w="628"/>
        <w:gridCol w:w="120"/>
        <w:gridCol w:w="176"/>
        <w:gridCol w:w="332"/>
        <w:gridCol w:w="448"/>
        <w:gridCol w:w="179"/>
        <w:gridCol w:w="632"/>
        <w:gridCol w:w="445"/>
        <w:gridCol w:w="312"/>
        <w:gridCol w:w="1029"/>
        <w:gridCol w:w="219"/>
        <w:gridCol w:w="859"/>
        <w:gridCol w:w="224"/>
        <w:gridCol w:w="774"/>
        <w:gridCol w:w="180"/>
        <w:gridCol w:w="152"/>
        <w:gridCol w:w="137"/>
        <w:gridCol w:w="338"/>
        <w:gridCol w:w="270"/>
        <w:gridCol w:w="717"/>
        <w:gridCol w:w="17"/>
        <w:gridCol w:w="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3" w:hRule="atLeast"/>
          <w:jc w:val="center"/>
        </w:trPr>
        <w:tc>
          <w:tcPr>
            <w:tcW w:w="9760" w:type="dxa"/>
            <w:gridSpan w:val="2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1" w:hRule="atLeast"/>
          <w:jc w:val="center"/>
        </w:trPr>
        <w:tc>
          <w:tcPr>
            <w:tcW w:w="9760" w:type="dxa"/>
            <w:gridSpan w:val="23"/>
            <w:tcBorders>
              <w:top w:val="single" w:color="000000" w:sz="4" w:space="0"/>
              <w:left w:val="single" w:color="000000" w:sz="4" w:space="0"/>
              <w:bottom w:val="single" w:color="000000" w:sz="4" w:space="0"/>
              <w:right w:val="single" w:color="000000" w:sz="4" w:space="0"/>
            </w:tcBorders>
            <w:vAlign w:val="center"/>
          </w:tcPr>
          <w:p>
            <w:pPr>
              <w:ind w:firstLine="221" w:firstLineChars="100"/>
              <w:jc w:val="right"/>
              <w:textAlignment w:val="center"/>
              <w:rPr>
                <w:rFonts w:hint="default" w:cs="宋体"/>
                <w:b/>
                <w:color w:val="000000"/>
                <w:sz w:val="22"/>
                <w:szCs w:val="22"/>
              </w:rPr>
            </w:pPr>
            <w:r>
              <w:rPr>
                <w:rFonts w:cs="宋体"/>
                <w:b/>
                <w:color w:val="000000"/>
                <w:sz w:val="22"/>
                <w:szCs w:val="22"/>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7" w:hRule="atLeast"/>
          <w:jc w:val="center"/>
        </w:trPr>
        <w:tc>
          <w:tcPr>
            <w:tcW w:w="592"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22"/>
                <w:szCs w:val="22"/>
              </w:rPr>
            </w:pPr>
            <w:r>
              <w:rPr>
                <w:rFonts w:cs="宋体"/>
                <w:b/>
                <w:color w:val="000000"/>
                <w:sz w:val="22"/>
                <w:szCs w:val="22"/>
              </w:rPr>
              <w:t>项目名称：</w:t>
            </w:r>
          </w:p>
        </w:tc>
        <w:tc>
          <w:tcPr>
            <w:tcW w:w="1704" w:type="dxa"/>
            <w:gridSpan w:val="5"/>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垫江县人民政府桂溪街道办事处整体自评</w:t>
            </w:r>
          </w:p>
        </w:tc>
        <w:tc>
          <w:tcPr>
            <w:tcW w:w="1256" w:type="dxa"/>
            <w:gridSpan w:val="3"/>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22"/>
                <w:szCs w:val="22"/>
              </w:rPr>
            </w:pPr>
            <w:r>
              <w:rPr>
                <w:rFonts w:cs="宋体"/>
                <w:b/>
                <w:color w:val="000000"/>
                <w:sz w:val="22"/>
                <w:szCs w:val="22"/>
              </w:rPr>
              <w:t>项目编码：</w:t>
            </w:r>
          </w:p>
        </w:tc>
        <w:tc>
          <w:tcPr>
            <w:tcW w:w="1341"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50023100024P000127</w:t>
            </w:r>
          </w:p>
        </w:tc>
        <w:tc>
          <w:tcPr>
            <w:tcW w:w="1078" w:type="dxa"/>
            <w:gridSpan w:val="2"/>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22"/>
                <w:szCs w:val="22"/>
              </w:rPr>
            </w:pPr>
            <w:r>
              <w:rPr>
                <w:rFonts w:cs="宋体"/>
                <w:b/>
                <w:color w:val="000000"/>
                <w:sz w:val="22"/>
                <w:szCs w:val="22"/>
              </w:rPr>
              <w:t>自评总分：</w:t>
            </w:r>
          </w:p>
        </w:tc>
        <w:tc>
          <w:tcPr>
            <w:tcW w:w="1178" w:type="dxa"/>
            <w:gridSpan w:val="3"/>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99.055</w:t>
            </w:r>
          </w:p>
        </w:tc>
        <w:tc>
          <w:tcPr>
            <w:tcW w:w="897" w:type="dxa"/>
            <w:gridSpan w:val="4"/>
            <w:tcBorders>
              <w:top w:val="single" w:color="000000" w:sz="4" w:space="0"/>
              <w:left w:val="single" w:color="000000" w:sz="4" w:space="0"/>
              <w:bottom w:val="single" w:color="000000" w:sz="4" w:space="0"/>
              <w:right w:val="single" w:color="000000" w:sz="4" w:space="0"/>
            </w:tcBorders>
            <w:vAlign w:val="center"/>
          </w:tcPr>
          <w:p>
            <w:pPr>
              <w:jc w:val="right"/>
              <w:rPr>
                <w:rFonts w:hint="default" w:cs="宋体"/>
                <w:b/>
                <w:color w:val="000000"/>
                <w:sz w:val="22"/>
                <w:szCs w:val="22"/>
              </w:rPr>
            </w:pPr>
          </w:p>
        </w:tc>
        <w:tc>
          <w:tcPr>
            <w:tcW w:w="1714" w:type="dxa"/>
            <w:gridSpan w:val="3"/>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7" w:hRule="atLeast"/>
          <w:jc w:val="center"/>
        </w:trPr>
        <w:tc>
          <w:tcPr>
            <w:tcW w:w="592"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22"/>
                <w:szCs w:val="22"/>
              </w:rPr>
            </w:pPr>
            <w:r>
              <w:rPr>
                <w:rFonts w:cs="宋体"/>
                <w:b/>
                <w:color w:val="000000"/>
                <w:sz w:val="22"/>
                <w:szCs w:val="22"/>
              </w:rPr>
              <w:t>项目主管部门：</w:t>
            </w:r>
          </w:p>
        </w:tc>
        <w:tc>
          <w:tcPr>
            <w:tcW w:w="1704" w:type="dxa"/>
            <w:gridSpan w:val="5"/>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701-垫江县人民政府桂溪街道办事处</w:t>
            </w:r>
          </w:p>
        </w:tc>
        <w:tc>
          <w:tcPr>
            <w:tcW w:w="1256" w:type="dxa"/>
            <w:gridSpan w:val="3"/>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22"/>
                <w:szCs w:val="22"/>
              </w:rPr>
            </w:pPr>
            <w:r>
              <w:rPr>
                <w:rFonts w:cs="宋体"/>
                <w:b/>
                <w:color w:val="000000"/>
                <w:sz w:val="22"/>
                <w:szCs w:val="22"/>
              </w:rPr>
              <w:t>财政归口处室：</w:t>
            </w:r>
          </w:p>
        </w:tc>
        <w:tc>
          <w:tcPr>
            <w:tcW w:w="1341"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014-会计管理核算中心</w:t>
            </w:r>
          </w:p>
        </w:tc>
        <w:tc>
          <w:tcPr>
            <w:tcW w:w="1078" w:type="dxa"/>
            <w:gridSpan w:val="2"/>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22"/>
                <w:szCs w:val="22"/>
              </w:rPr>
            </w:pPr>
            <w:r>
              <w:rPr>
                <w:rFonts w:cs="宋体"/>
                <w:b/>
                <w:color w:val="000000"/>
                <w:sz w:val="22"/>
                <w:szCs w:val="22"/>
              </w:rPr>
              <w:t>部门联系人：</w:t>
            </w:r>
          </w:p>
        </w:tc>
        <w:tc>
          <w:tcPr>
            <w:tcW w:w="1178" w:type="dxa"/>
            <w:gridSpan w:val="3"/>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代老师</w:t>
            </w:r>
          </w:p>
        </w:tc>
        <w:tc>
          <w:tcPr>
            <w:tcW w:w="897" w:type="dxa"/>
            <w:gridSpan w:val="4"/>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22"/>
                <w:szCs w:val="22"/>
              </w:rPr>
            </w:pPr>
            <w:r>
              <w:rPr>
                <w:rFonts w:cs="宋体"/>
                <w:b/>
                <w:color w:val="000000"/>
                <w:sz w:val="22"/>
                <w:szCs w:val="22"/>
              </w:rPr>
              <w:t>联系电话：</w:t>
            </w:r>
          </w:p>
        </w:tc>
        <w:tc>
          <w:tcPr>
            <w:tcW w:w="1714"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74691235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0" w:hRule="atLeast"/>
          <w:jc w:val="center"/>
        </w:trPr>
        <w:tc>
          <w:tcPr>
            <w:tcW w:w="9760" w:type="dxa"/>
            <w:gridSpan w:val="2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12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cs="宋体"/>
                <w:color w:val="000000"/>
                <w:sz w:val="22"/>
                <w:szCs w:val="22"/>
              </w:rPr>
            </w:pPr>
          </w:p>
        </w:tc>
        <w:tc>
          <w:tcPr>
            <w:tcW w:w="1887" w:type="dxa"/>
            <w:gridSpan w:val="6"/>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年初预算数</w:t>
            </w:r>
          </w:p>
        </w:tc>
        <w:tc>
          <w:tcPr>
            <w:tcW w:w="1786"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全年（调整）预算数</w:t>
            </w:r>
          </w:p>
        </w:tc>
        <w:tc>
          <w:tcPr>
            <w:tcW w:w="2408" w:type="dxa"/>
            <w:gridSpan w:val="6"/>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全年执行数</w:t>
            </w:r>
          </w:p>
        </w:tc>
        <w:tc>
          <w:tcPr>
            <w:tcW w:w="745"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执行率</w:t>
            </w:r>
          </w:p>
        </w:tc>
        <w:tc>
          <w:tcPr>
            <w:tcW w:w="734"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b/>
                <w:color w:val="000000"/>
                <w:sz w:val="22"/>
                <w:szCs w:val="22"/>
              </w:rPr>
            </w:pPr>
            <w:r>
              <w:rPr>
                <w:rFonts w:cs="宋体"/>
                <w:b/>
                <w:color w:val="000000"/>
                <w:sz w:val="22"/>
                <w:szCs w:val="22"/>
              </w:rPr>
              <w:t>执行率权重</w:t>
            </w:r>
          </w:p>
        </w:tc>
        <w:tc>
          <w:tcPr>
            <w:tcW w:w="9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1220"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r>
              <w:rPr>
                <w:rFonts w:cs="宋体"/>
                <w:color w:val="000000"/>
                <w:sz w:val="22"/>
                <w:szCs w:val="22"/>
              </w:rPr>
              <w:t>年度总金额</w:t>
            </w:r>
          </w:p>
        </w:tc>
        <w:tc>
          <w:tcPr>
            <w:tcW w:w="296" w:type="dxa"/>
            <w:gridSpan w:val="2"/>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1591" w:type="dxa"/>
            <w:gridSpan w:val="4"/>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59,893,487.71 </w:t>
            </w:r>
          </w:p>
        </w:tc>
        <w:tc>
          <w:tcPr>
            <w:tcW w:w="757" w:type="dxa"/>
            <w:gridSpan w:val="2"/>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1029"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103,894,327.25 </w:t>
            </w:r>
          </w:p>
        </w:tc>
        <w:tc>
          <w:tcPr>
            <w:tcW w:w="1302" w:type="dxa"/>
            <w:gridSpan w:val="3"/>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1106" w:type="dxa"/>
            <w:gridSpan w:val="3"/>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103,892,267.25</w:t>
            </w:r>
          </w:p>
        </w:tc>
        <w:tc>
          <w:tcPr>
            <w:tcW w:w="745" w:type="dxa"/>
            <w:gridSpan w:val="3"/>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c>
          <w:tcPr>
            <w:tcW w:w="734"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1220"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r>
              <w:rPr>
                <w:rFonts w:cs="宋体"/>
                <w:color w:val="000000"/>
                <w:sz w:val="22"/>
                <w:szCs w:val="22"/>
              </w:rPr>
              <w:t>其中：财政拨款</w:t>
            </w:r>
          </w:p>
        </w:tc>
        <w:tc>
          <w:tcPr>
            <w:tcW w:w="296" w:type="dxa"/>
            <w:gridSpan w:val="2"/>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1591" w:type="dxa"/>
            <w:gridSpan w:val="4"/>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59,893,487.71 </w:t>
            </w:r>
          </w:p>
        </w:tc>
        <w:tc>
          <w:tcPr>
            <w:tcW w:w="757" w:type="dxa"/>
            <w:gridSpan w:val="2"/>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1029"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103,894,327.25 </w:t>
            </w:r>
          </w:p>
        </w:tc>
        <w:tc>
          <w:tcPr>
            <w:tcW w:w="1302" w:type="dxa"/>
            <w:gridSpan w:val="3"/>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1106" w:type="dxa"/>
            <w:gridSpan w:val="3"/>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103,892,267.25</w:t>
            </w:r>
          </w:p>
        </w:tc>
        <w:tc>
          <w:tcPr>
            <w:tcW w:w="745"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100</w:t>
            </w:r>
          </w:p>
        </w:tc>
        <w:tc>
          <w:tcPr>
            <w:tcW w:w="734"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10.00</w:t>
            </w:r>
          </w:p>
        </w:tc>
        <w:tc>
          <w:tcPr>
            <w:tcW w:w="980"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1220"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r>
              <w:rPr>
                <w:rFonts w:cs="宋体"/>
                <w:color w:val="000000"/>
                <w:sz w:val="22"/>
                <w:szCs w:val="22"/>
              </w:rPr>
              <w:t>一般公共预算</w:t>
            </w:r>
          </w:p>
        </w:tc>
        <w:tc>
          <w:tcPr>
            <w:tcW w:w="296" w:type="dxa"/>
            <w:gridSpan w:val="2"/>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1591" w:type="dxa"/>
            <w:gridSpan w:val="4"/>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59,763,487.71 </w:t>
            </w:r>
          </w:p>
        </w:tc>
        <w:tc>
          <w:tcPr>
            <w:tcW w:w="757" w:type="dxa"/>
            <w:gridSpan w:val="2"/>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1029"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102,311,771.12 </w:t>
            </w:r>
          </w:p>
        </w:tc>
        <w:tc>
          <w:tcPr>
            <w:tcW w:w="1302" w:type="dxa"/>
            <w:gridSpan w:val="3"/>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1106" w:type="dxa"/>
            <w:gridSpan w:val="3"/>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102,309,711.12</w:t>
            </w:r>
          </w:p>
        </w:tc>
        <w:tc>
          <w:tcPr>
            <w:tcW w:w="745"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100</w:t>
            </w:r>
          </w:p>
        </w:tc>
        <w:tc>
          <w:tcPr>
            <w:tcW w:w="734"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0" w:hRule="atLeast"/>
          <w:jc w:val="center"/>
        </w:trPr>
        <w:tc>
          <w:tcPr>
            <w:tcW w:w="9760" w:type="dxa"/>
            <w:gridSpan w:val="2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1" w:hRule="atLeast"/>
          <w:jc w:val="center"/>
        </w:trPr>
        <w:tc>
          <w:tcPr>
            <w:tcW w:w="5112" w:type="dxa"/>
            <w:gridSpan w:val="1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年初绩效目标</w:t>
            </w:r>
          </w:p>
        </w:tc>
        <w:tc>
          <w:tcPr>
            <w:tcW w:w="2326" w:type="dxa"/>
            <w:gridSpan w:val="6"/>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全年（调整）绩效目标</w:t>
            </w:r>
          </w:p>
        </w:tc>
        <w:tc>
          <w:tcPr>
            <w:tcW w:w="2322" w:type="dxa"/>
            <w:gridSpan w:val="5"/>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52" w:hRule="atLeast"/>
          <w:jc w:val="center"/>
        </w:trPr>
        <w:tc>
          <w:tcPr>
            <w:tcW w:w="5112" w:type="dxa"/>
            <w:gridSpan w:val="12"/>
            <w:tcBorders>
              <w:top w:val="single" w:color="000000" w:sz="4" w:space="0"/>
              <w:left w:val="single" w:color="000000" w:sz="4" w:space="0"/>
              <w:bottom w:val="single" w:color="000000" w:sz="4" w:space="0"/>
              <w:right w:val="single" w:color="000000" w:sz="4" w:space="0"/>
            </w:tcBorders>
            <w:vAlign w:val="top"/>
          </w:tcPr>
          <w:p>
            <w:pPr>
              <w:textAlignment w:val="top"/>
              <w:rPr>
                <w:rFonts w:hint="default" w:cs="宋体"/>
                <w:color w:val="000000"/>
                <w:sz w:val="22"/>
                <w:szCs w:val="22"/>
              </w:rPr>
            </w:pPr>
            <w:r>
              <w:rPr>
                <w:rFonts w:cs="宋体"/>
                <w:color w:val="000000"/>
                <w:sz w:val="22"/>
                <w:szCs w:val="22"/>
              </w:rPr>
              <w:t xml:space="preserve">桂溪街道党工委、办事处认真贯彻落实上级相关要求，做好基层党组织建设、乡村振兴、脱贫攻坚有效衔接、民政优抚等困难群众救助、 救灾救济、纪监、信访、治安巡逻、民兵应急、武装训练、安全生产（含森林防火）、食品安全和农产品质量安全、粮食安全、粮食安全保供、垃圾分类、市政、环保(含河道治理等)物管费、科技服务、市场主体培育补助、限上商贸报表补助、五金普工作经费文化免费开放、体育工作经费、文物巡查保护、应急广播维修、旅游发展工作、林业生物灾害防治、动物疫病防控、脱贫兜底保障、松材线虫防治、反诈、防邪、禁毒、普法、莎姐守末、残疾人指导、残疾人宣传、残疾人文体活动，残疾人调查、卫生城市建设、慢性病示范区建设、禁烟宣传、教育、动物疫病防控、粮食保供应急资金、民营经济等工作。有效防范和化解社会矛盾，确保经济社会稳定，辖区群众满意度达90%以上。       </w:t>
            </w:r>
          </w:p>
        </w:tc>
        <w:tc>
          <w:tcPr>
            <w:tcW w:w="2326" w:type="dxa"/>
            <w:gridSpan w:val="6"/>
            <w:tcBorders>
              <w:top w:val="single" w:color="000000" w:sz="4" w:space="0"/>
              <w:left w:val="single" w:color="000000" w:sz="4" w:space="0"/>
              <w:bottom w:val="single" w:color="000000" w:sz="4" w:space="0"/>
              <w:right w:val="single" w:color="000000" w:sz="4" w:space="0"/>
            </w:tcBorders>
            <w:vAlign w:val="top"/>
          </w:tcPr>
          <w:p>
            <w:pPr>
              <w:rPr>
                <w:rFonts w:hint="default" w:cs="宋体"/>
                <w:color w:val="000000"/>
                <w:sz w:val="22"/>
                <w:szCs w:val="22"/>
              </w:rPr>
            </w:pPr>
          </w:p>
        </w:tc>
        <w:tc>
          <w:tcPr>
            <w:tcW w:w="2322" w:type="dxa"/>
            <w:gridSpan w:val="5"/>
            <w:tcBorders>
              <w:top w:val="single" w:color="000000" w:sz="4" w:space="0"/>
              <w:left w:val="single" w:color="000000" w:sz="4" w:space="0"/>
              <w:bottom w:val="single" w:color="000000" w:sz="4" w:space="0"/>
              <w:right w:val="single" w:color="000000" w:sz="4" w:space="0"/>
            </w:tcBorders>
            <w:vAlign w:val="top"/>
          </w:tcPr>
          <w:p>
            <w:pPr>
              <w:textAlignment w:val="top"/>
              <w:rPr>
                <w:rFonts w:hint="default" w:cs="宋体"/>
                <w:color w:val="000000"/>
                <w:sz w:val="22"/>
                <w:szCs w:val="22"/>
              </w:rPr>
            </w:pPr>
            <w:r>
              <w:rPr>
                <w:rFonts w:cs="宋体"/>
                <w:color w:val="000000"/>
                <w:sz w:val="22"/>
                <w:szCs w:val="22"/>
              </w:rPr>
              <w:t>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0" w:hRule="atLeast"/>
          <w:jc w:val="center"/>
        </w:trPr>
        <w:tc>
          <w:tcPr>
            <w:tcW w:w="9760" w:type="dxa"/>
            <w:gridSpan w:val="2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8" w:hRule="atLeast"/>
          <w:jc w:val="center"/>
        </w:trPr>
        <w:tc>
          <w:tcPr>
            <w:tcW w:w="1340"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指标名称</w:t>
            </w:r>
          </w:p>
        </w:tc>
        <w:tc>
          <w:tcPr>
            <w:tcW w:w="508"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计量单位</w:t>
            </w:r>
          </w:p>
        </w:tc>
        <w:tc>
          <w:tcPr>
            <w:tcW w:w="627"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指标性质</w:t>
            </w:r>
          </w:p>
        </w:tc>
        <w:tc>
          <w:tcPr>
            <w:tcW w:w="6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指标值</w:t>
            </w:r>
          </w:p>
        </w:tc>
        <w:tc>
          <w:tcPr>
            <w:tcW w:w="757"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全年完成值</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偏离度（%）</w:t>
            </w:r>
          </w:p>
        </w:tc>
        <w:tc>
          <w:tcPr>
            <w:tcW w:w="1083"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得分系数（%）</w:t>
            </w:r>
          </w:p>
        </w:tc>
        <w:tc>
          <w:tcPr>
            <w:tcW w:w="77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指标权重</w:t>
            </w:r>
          </w:p>
        </w:tc>
        <w:tc>
          <w:tcPr>
            <w:tcW w:w="807"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指标得分</w:t>
            </w: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是否核心指标</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8" w:hRule="atLeast"/>
          <w:jc w:val="center"/>
        </w:trPr>
        <w:tc>
          <w:tcPr>
            <w:tcW w:w="1340" w:type="dxa"/>
            <w:gridSpan w:val="3"/>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部门预决算按时公开率</w:t>
            </w:r>
          </w:p>
        </w:tc>
        <w:tc>
          <w:tcPr>
            <w:tcW w:w="508"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62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63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5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1083"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74"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807" w:type="dxa"/>
            <w:gridSpan w:val="4"/>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是</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1340" w:type="dxa"/>
            <w:gridSpan w:val="3"/>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党建培训人数</w:t>
            </w:r>
          </w:p>
        </w:tc>
        <w:tc>
          <w:tcPr>
            <w:tcW w:w="508"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人/次</w:t>
            </w:r>
          </w:p>
        </w:tc>
        <w:tc>
          <w:tcPr>
            <w:tcW w:w="62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63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2200</w:t>
            </w:r>
          </w:p>
        </w:tc>
        <w:tc>
          <w:tcPr>
            <w:tcW w:w="75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2200</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1083"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74"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5</w:t>
            </w:r>
          </w:p>
        </w:tc>
        <w:tc>
          <w:tcPr>
            <w:tcW w:w="807" w:type="dxa"/>
            <w:gridSpan w:val="4"/>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5</w:t>
            </w: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8" w:hRule="atLeast"/>
          <w:jc w:val="center"/>
        </w:trPr>
        <w:tc>
          <w:tcPr>
            <w:tcW w:w="1340" w:type="dxa"/>
            <w:gridSpan w:val="3"/>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较大森林火险发生率</w:t>
            </w:r>
          </w:p>
        </w:tc>
        <w:tc>
          <w:tcPr>
            <w:tcW w:w="508"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次</w:t>
            </w:r>
          </w:p>
        </w:tc>
        <w:tc>
          <w:tcPr>
            <w:tcW w:w="62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63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75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1083"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74"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5</w:t>
            </w:r>
          </w:p>
        </w:tc>
        <w:tc>
          <w:tcPr>
            <w:tcW w:w="807" w:type="dxa"/>
            <w:gridSpan w:val="4"/>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5</w:t>
            </w: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8" w:hRule="atLeast"/>
          <w:jc w:val="center"/>
        </w:trPr>
        <w:tc>
          <w:tcPr>
            <w:tcW w:w="1340" w:type="dxa"/>
            <w:gridSpan w:val="3"/>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全年预算支出执行率</w:t>
            </w:r>
          </w:p>
        </w:tc>
        <w:tc>
          <w:tcPr>
            <w:tcW w:w="508"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62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63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90</w:t>
            </w:r>
          </w:p>
        </w:tc>
        <w:tc>
          <w:tcPr>
            <w:tcW w:w="75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99</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1083"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74"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807" w:type="dxa"/>
            <w:gridSpan w:val="4"/>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是</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1340" w:type="dxa"/>
            <w:gridSpan w:val="3"/>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社区网格员覆盖率</w:t>
            </w:r>
          </w:p>
        </w:tc>
        <w:tc>
          <w:tcPr>
            <w:tcW w:w="508"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62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63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5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1083"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74"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6</w:t>
            </w:r>
          </w:p>
        </w:tc>
        <w:tc>
          <w:tcPr>
            <w:tcW w:w="807" w:type="dxa"/>
            <w:gridSpan w:val="4"/>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6</w:t>
            </w: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7" w:hRule="atLeast"/>
          <w:jc w:val="center"/>
        </w:trPr>
        <w:tc>
          <w:tcPr>
            <w:tcW w:w="1340" w:type="dxa"/>
            <w:gridSpan w:val="3"/>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完成老旧小区改造数量</w:t>
            </w:r>
          </w:p>
        </w:tc>
        <w:tc>
          <w:tcPr>
            <w:tcW w:w="508"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个</w:t>
            </w:r>
          </w:p>
        </w:tc>
        <w:tc>
          <w:tcPr>
            <w:tcW w:w="62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63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8</w:t>
            </w:r>
          </w:p>
        </w:tc>
        <w:tc>
          <w:tcPr>
            <w:tcW w:w="75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12</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50</w:t>
            </w:r>
          </w:p>
        </w:tc>
        <w:tc>
          <w:tcPr>
            <w:tcW w:w="1083"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74"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6</w:t>
            </w:r>
          </w:p>
        </w:tc>
        <w:tc>
          <w:tcPr>
            <w:tcW w:w="807" w:type="dxa"/>
            <w:gridSpan w:val="4"/>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6</w:t>
            </w: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因需要增加改造个数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8" w:hRule="atLeast"/>
          <w:jc w:val="center"/>
        </w:trPr>
        <w:tc>
          <w:tcPr>
            <w:tcW w:w="1340" w:type="dxa"/>
            <w:gridSpan w:val="3"/>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一般公共预算完成 率</w:t>
            </w:r>
          </w:p>
        </w:tc>
        <w:tc>
          <w:tcPr>
            <w:tcW w:w="508"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62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63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5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1083"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74"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6</w:t>
            </w:r>
          </w:p>
        </w:tc>
        <w:tc>
          <w:tcPr>
            <w:tcW w:w="807" w:type="dxa"/>
            <w:gridSpan w:val="4"/>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6</w:t>
            </w: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8" w:hRule="atLeast"/>
          <w:jc w:val="center"/>
        </w:trPr>
        <w:tc>
          <w:tcPr>
            <w:tcW w:w="1340" w:type="dxa"/>
            <w:gridSpan w:val="3"/>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应公开的信息公开率</w:t>
            </w:r>
          </w:p>
        </w:tc>
        <w:tc>
          <w:tcPr>
            <w:tcW w:w="508"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62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63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5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1083"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74"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6</w:t>
            </w:r>
          </w:p>
        </w:tc>
        <w:tc>
          <w:tcPr>
            <w:tcW w:w="807" w:type="dxa"/>
            <w:gridSpan w:val="4"/>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6</w:t>
            </w: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7" w:hRule="atLeast"/>
          <w:jc w:val="center"/>
        </w:trPr>
        <w:tc>
          <w:tcPr>
            <w:tcW w:w="1340" w:type="dxa"/>
            <w:gridSpan w:val="3"/>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优抚民政、计生等困难群众补助</w:t>
            </w:r>
          </w:p>
        </w:tc>
        <w:tc>
          <w:tcPr>
            <w:tcW w:w="508"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人/次</w:t>
            </w:r>
          </w:p>
        </w:tc>
        <w:tc>
          <w:tcPr>
            <w:tcW w:w="62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63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800</w:t>
            </w:r>
          </w:p>
        </w:tc>
        <w:tc>
          <w:tcPr>
            <w:tcW w:w="75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900</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12.5</w:t>
            </w:r>
          </w:p>
        </w:tc>
        <w:tc>
          <w:tcPr>
            <w:tcW w:w="1083"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74"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6</w:t>
            </w:r>
          </w:p>
        </w:tc>
        <w:tc>
          <w:tcPr>
            <w:tcW w:w="807" w:type="dxa"/>
            <w:gridSpan w:val="4"/>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6</w:t>
            </w: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1340" w:type="dxa"/>
            <w:gridSpan w:val="3"/>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三季度预算执行率</w:t>
            </w:r>
          </w:p>
        </w:tc>
        <w:tc>
          <w:tcPr>
            <w:tcW w:w="508"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62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63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75</w:t>
            </w:r>
          </w:p>
        </w:tc>
        <w:tc>
          <w:tcPr>
            <w:tcW w:w="75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75</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1083"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74"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807" w:type="dxa"/>
            <w:gridSpan w:val="4"/>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7" w:hRule="atLeast"/>
          <w:jc w:val="center"/>
        </w:trPr>
        <w:tc>
          <w:tcPr>
            <w:tcW w:w="1340" w:type="dxa"/>
            <w:gridSpan w:val="3"/>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保障了辖区稳定和经费发放</w:t>
            </w:r>
          </w:p>
        </w:tc>
        <w:tc>
          <w:tcPr>
            <w:tcW w:w="508"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c>
          <w:tcPr>
            <w:tcW w:w="62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定性</w:t>
            </w:r>
          </w:p>
        </w:tc>
        <w:tc>
          <w:tcPr>
            <w:tcW w:w="63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好</w:t>
            </w:r>
          </w:p>
        </w:tc>
        <w:tc>
          <w:tcPr>
            <w:tcW w:w="75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1083"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74"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807" w:type="dxa"/>
            <w:gridSpan w:val="4"/>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是</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1340" w:type="dxa"/>
            <w:gridSpan w:val="3"/>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辖区群众满意度</w:t>
            </w:r>
          </w:p>
        </w:tc>
        <w:tc>
          <w:tcPr>
            <w:tcW w:w="508"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62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63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95</w:t>
            </w:r>
          </w:p>
        </w:tc>
        <w:tc>
          <w:tcPr>
            <w:tcW w:w="75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94</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1.05</w:t>
            </w:r>
          </w:p>
        </w:tc>
        <w:tc>
          <w:tcPr>
            <w:tcW w:w="1083"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89.5</w:t>
            </w:r>
          </w:p>
        </w:tc>
        <w:tc>
          <w:tcPr>
            <w:tcW w:w="774"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807" w:type="dxa"/>
            <w:gridSpan w:val="4"/>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8.95</w:t>
            </w: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是</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7" w:hRule="atLeast"/>
          <w:jc w:val="center"/>
        </w:trPr>
        <w:tc>
          <w:tcPr>
            <w:tcW w:w="1340" w:type="dxa"/>
            <w:gridSpan w:val="3"/>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各项工资及经费成</w:t>
            </w:r>
          </w:p>
        </w:tc>
        <w:tc>
          <w:tcPr>
            <w:tcW w:w="508"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万元</w:t>
            </w:r>
          </w:p>
        </w:tc>
        <w:tc>
          <w:tcPr>
            <w:tcW w:w="62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63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5762.03</w:t>
            </w:r>
          </w:p>
        </w:tc>
        <w:tc>
          <w:tcPr>
            <w:tcW w:w="75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10389.23</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80.31</w:t>
            </w:r>
          </w:p>
        </w:tc>
        <w:tc>
          <w:tcPr>
            <w:tcW w:w="1083"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74"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807" w:type="dxa"/>
            <w:gridSpan w:val="4"/>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是</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加大招商引资力度</w:t>
            </w:r>
          </w:p>
        </w:tc>
      </w:tr>
    </w:tbl>
    <w:p>
      <w:pPr>
        <w:pStyle w:val="2"/>
        <w:ind w:firstLine="480"/>
        <w:rPr>
          <w:rFonts w:hint="default"/>
        </w:rPr>
      </w:pPr>
    </w:p>
    <w:p>
      <w:pPr>
        <w:pStyle w:val="2"/>
        <w:ind w:firstLine="480"/>
        <w:rPr>
          <w:rFonts w:hint="default"/>
        </w:rPr>
      </w:pPr>
    </w:p>
    <w:tbl>
      <w:tblPr>
        <w:tblStyle w:val="10"/>
        <w:tblW w:w="988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71"/>
        <w:gridCol w:w="857"/>
        <w:gridCol w:w="1022"/>
        <w:gridCol w:w="1441"/>
        <w:gridCol w:w="836"/>
        <w:gridCol w:w="838"/>
        <w:gridCol w:w="611"/>
        <w:gridCol w:w="736"/>
        <w:gridCol w:w="603"/>
        <w:gridCol w:w="610"/>
        <w:gridCol w:w="1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6" w:hRule="atLeast"/>
          <w:jc w:val="center"/>
        </w:trPr>
        <w:tc>
          <w:tcPr>
            <w:tcW w:w="9880"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微软雅黑"/>
                <w:b/>
                <w:color w:val="000000"/>
                <w:sz w:val="40"/>
                <w:szCs w:val="40"/>
              </w:rPr>
            </w:pPr>
            <w:r>
              <w:rPr>
                <w:rFonts w:hint="default" w:ascii="Times New Roman" w:hAnsi="Times New Roman" w:eastAsia="微软雅黑"/>
                <w:b/>
                <w:color w:val="000000"/>
                <w:sz w:val="40"/>
                <w:szCs w:val="40"/>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7" w:hRule="atLeast"/>
          <w:jc w:val="center"/>
        </w:trPr>
        <w:tc>
          <w:tcPr>
            <w:tcW w:w="9880" w:type="dxa"/>
            <w:gridSpan w:val="11"/>
            <w:tcBorders>
              <w:top w:val="single" w:color="000000" w:sz="4" w:space="0"/>
              <w:left w:val="single" w:color="000000" w:sz="4" w:space="0"/>
              <w:bottom w:val="single" w:color="000000" w:sz="4" w:space="0"/>
              <w:right w:val="single" w:color="000000" w:sz="4" w:space="0"/>
            </w:tcBorders>
            <w:vAlign w:val="center"/>
          </w:tcPr>
          <w:p>
            <w:pPr>
              <w:ind w:firstLine="221" w:firstLineChars="100"/>
              <w:jc w:val="right"/>
              <w:textAlignment w:val="center"/>
              <w:rPr>
                <w:rFonts w:hint="default" w:ascii="Times New Roman" w:hAnsi="Times New Roman"/>
                <w:b/>
                <w:color w:val="000000"/>
                <w:sz w:val="22"/>
                <w:szCs w:val="22"/>
              </w:rPr>
            </w:pPr>
            <w:r>
              <w:rPr>
                <w:rFonts w:hint="default" w:ascii="Times New Roman" w:hAnsi="Times New Roman"/>
                <w:b/>
                <w:color w:val="000000"/>
                <w:sz w:val="22"/>
                <w:szCs w:val="22"/>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9" w:hRule="atLeast"/>
          <w:jc w:val="center"/>
        </w:trPr>
        <w:tc>
          <w:tcPr>
            <w:tcW w:w="1271"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ascii="Times New Roman" w:hAnsi="Times New Roman"/>
                <w:b/>
                <w:color w:val="000000"/>
                <w:sz w:val="22"/>
                <w:szCs w:val="22"/>
              </w:rPr>
            </w:pPr>
            <w:r>
              <w:rPr>
                <w:rFonts w:hint="default" w:ascii="Times New Roman" w:hAnsi="Times New Roman"/>
                <w:b/>
                <w:color w:val="000000"/>
                <w:sz w:val="22"/>
                <w:szCs w:val="22"/>
              </w:rPr>
              <w:t>项目名称：</w:t>
            </w:r>
          </w:p>
        </w:tc>
        <w:tc>
          <w:tcPr>
            <w:tcW w:w="1879"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村社区办公经费</w:t>
            </w:r>
          </w:p>
        </w:tc>
        <w:tc>
          <w:tcPr>
            <w:tcW w:w="1441"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ascii="Times New Roman" w:hAnsi="Times New Roman"/>
                <w:b/>
                <w:color w:val="000000"/>
                <w:sz w:val="22"/>
                <w:szCs w:val="22"/>
              </w:rPr>
            </w:pPr>
            <w:r>
              <w:rPr>
                <w:rFonts w:hint="default" w:ascii="Times New Roman" w:hAnsi="Times New Roman"/>
                <w:b/>
                <w:color w:val="000000"/>
                <w:sz w:val="22"/>
                <w:szCs w:val="22"/>
              </w:rPr>
              <w:t>项目编码：</w:t>
            </w:r>
          </w:p>
        </w:tc>
        <w:tc>
          <w:tcPr>
            <w:tcW w:w="1674"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50023123T000003060185</w:t>
            </w:r>
          </w:p>
        </w:tc>
        <w:tc>
          <w:tcPr>
            <w:tcW w:w="611"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ascii="Times New Roman" w:hAnsi="Times New Roman"/>
                <w:b/>
                <w:color w:val="000000"/>
                <w:sz w:val="22"/>
                <w:szCs w:val="22"/>
              </w:rPr>
            </w:pPr>
            <w:r>
              <w:rPr>
                <w:rFonts w:hint="default" w:ascii="Times New Roman" w:hAnsi="Times New Roman"/>
                <w:b/>
                <w:color w:val="000000"/>
                <w:sz w:val="22"/>
                <w:szCs w:val="22"/>
              </w:rPr>
              <w:t>自评总分：</w:t>
            </w:r>
          </w:p>
        </w:tc>
        <w:tc>
          <w:tcPr>
            <w:tcW w:w="1339"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98.00</w:t>
            </w:r>
          </w:p>
        </w:tc>
        <w:tc>
          <w:tcPr>
            <w:tcW w:w="6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Times New Roman" w:hAnsi="Times New Roman"/>
                <w:b/>
                <w:color w:val="000000"/>
                <w:sz w:val="22"/>
                <w:szCs w:val="22"/>
              </w:rPr>
            </w:pPr>
          </w:p>
        </w:tc>
        <w:tc>
          <w:tcPr>
            <w:tcW w:w="105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jc w:val="center"/>
        </w:trPr>
        <w:tc>
          <w:tcPr>
            <w:tcW w:w="1271"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ascii="Times New Roman" w:hAnsi="Times New Roman"/>
                <w:b/>
                <w:color w:val="000000"/>
                <w:sz w:val="22"/>
                <w:szCs w:val="22"/>
              </w:rPr>
            </w:pPr>
            <w:r>
              <w:rPr>
                <w:rFonts w:hint="default" w:ascii="Times New Roman" w:hAnsi="Times New Roman"/>
                <w:b/>
                <w:color w:val="000000"/>
                <w:sz w:val="22"/>
                <w:szCs w:val="22"/>
              </w:rPr>
              <w:t>项目主管部门：</w:t>
            </w:r>
          </w:p>
        </w:tc>
        <w:tc>
          <w:tcPr>
            <w:tcW w:w="1879"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701-垫江县人民政府桂溪街道办事处</w:t>
            </w:r>
          </w:p>
        </w:tc>
        <w:tc>
          <w:tcPr>
            <w:tcW w:w="1441"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ascii="Times New Roman" w:hAnsi="Times New Roman"/>
                <w:b/>
                <w:color w:val="000000"/>
                <w:sz w:val="22"/>
                <w:szCs w:val="22"/>
              </w:rPr>
            </w:pPr>
            <w:r>
              <w:rPr>
                <w:rFonts w:hint="default" w:ascii="Times New Roman" w:hAnsi="Times New Roman"/>
                <w:b/>
                <w:color w:val="000000"/>
                <w:sz w:val="22"/>
                <w:szCs w:val="22"/>
              </w:rPr>
              <w:t>财政归口处室：</w:t>
            </w:r>
          </w:p>
        </w:tc>
        <w:tc>
          <w:tcPr>
            <w:tcW w:w="1674"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014-会计管理核算中心</w:t>
            </w:r>
          </w:p>
        </w:tc>
        <w:tc>
          <w:tcPr>
            <w:tcW w:w="611"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ascii="Times New Roman" w:hAnsi="Times New Roman"/>
                <w:b/>
                <w:color w:val="000000"/>
                <w:sz w:val="22"/>
                <w:szCs w:val="22"/>
              </w:rPr>
            </w:pPr>
            <w:r>
              <w:rPr>
                <w:rFonts w:hint="default" w:ascii="Times New Roman" w:hAnsi="Times New Roman"/>
                <w:b/>
                <w:color w:val="000000"/>
                <w:sz w:val="22"/>
                <w:szCs w:val="22"/>
              </w:rPr>
              <w:t>部门联系人：</w:t>
            </w:r>
          </w:p>
        </w:tc>
        <w:tc>
          <w:tcPr>
            <w:tcW w:w="1339"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舒老师</w:t>
            </w:r>
          </w:p>
        </w:tc>
        <w:tc>
          <w:tcPr>
            <w:tcW w:w="61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ascii="Times New Roman" w:hAnsi="Times New Roman"/>
                <w:b/>
                <w:color w:val="000000"/>
                <w:sz w:val="22"/>
                <w:szCs w:val="22"/>
              </w:rPr>
            </w:pPr>
            <w:r>
              <w:rPr>
                <w:rFonts w:hint="default" w:ascii="Times New Roman" w:hAnsi="Times New Roman"/>
                <w:b/>
                <w:color w:val="000000"/>
                <w:sz w:val="22"/>
                <w:szCs w:val="22"/>
              </w:rPr>
              <w:t>联系电话：</w:t>
            </w:r>
          </w:p>
        </w:tc>
        <w:tc>
          <w:tcPr>
            <w:tcW w:w="105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74691235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3" w:hRule="atLeast"/>
          <w:jc w:val="center"/>
        </w:trPr>
        <w:tc>
          <w:tcPr>
            <w:tcW w:w="9880"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微软雅黑"/>
                <w:b/>
                <w:color w:val="000000"/>
                <w:sz w:val="28"/>
                <w:szCs w:val="28"/>
              </w:rPr>
            </w:pPr>
            <w:r>
              <w:rPr>
                <w:rFonts w:hint="default" w:ascii="Times New Roman" w:hAnsi="Times New Roman" w:eastAsia="微软雅黑"/>
                <w:b/>
                <w:color w:val="000000"/>
                <w:sz w:val="28"/>
                <w:szCs w:val="28"/>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jc w:val="center"/>
        </w:trPr>
        <w:tc>
          <w:tcPr>
            <w:tcW w:w="212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olor w:val="000000"/>
                <w:sz w:val="22"/>
                <w:szCs w:val="22"/>
              </w:rPr>
            </w:pPr>
          </w:p>
        </w:tc>
        <w:tc>
          <w:tcPr>
            <w:tcW w:w="2463"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年初预算数</w:t>
            </w:r>
          </w:p>
        </w:tc>
        <w:tc>
          <w:tcPr>
            <w:tcW w:w="1674"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全年（调整）预算数</w:t>
            </w:r>
          </w:p>
        </w:tc>
        <w:tc>
          <w:tcPr>
            <w:tcW w:w="1347"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全年执行数</w:t>
            </w:r>
          </w:p>
        </w:tc>
        <w:tc>
          <w:tcPr>
            <w:tcW w:w="60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执行率</w:t>
            </w:r>
          </w:p>
        </w:tc>
        <w:tc>
          <w:tcPr>
            <w:tcW w:w="6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b/>
                <w:color w:val="000000"/>
                <w:sz w:val="22"/>
                <w:szCs w:val="22"/>
              </w:rPr>
            </w:pPr>
            <w:r>
              <w:rPr>
                <w:rFonts w:hint="default" w:ascii="Times New Roman" w:hAnsi="Times New Roman"/>
                <w:b/>
                <w:color w:val="000000"/>
                <w:sz w:val="22"/>
                <w:szCs w:val="22"/>
              </w:rPr>
              <w:t>执行率权重</w:t>
            </w:r>
          </w:p>
        </w:tc>
        <w:tc>
          <w:tcPr>
            <w:tcW w:w="105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9" w:hRule="atLeast"/>
          <w:jc w:val="center"/>
        </w:trPr>
        <w:tc>
          <w:tcPr>
            <w:tcW w:w="1271" w:type="dxa"/>
            <w:tcBorders>
              <w:top w:val="single" w:color="000000" w:sz="4" w:space="0"/>
              <w:left w:val="single" w:color="000000" w:sz="4" w:space="0"/>
              <w:bottom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年度总金额</w:t>
            </w:r>
          </w:p>
        </w:tc>
        <w:tc>
          <w:tcPr>
            <w:tcW w:w="857" w:type="dxa"/>
            <w:tcBorders>
              <w:top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c>
          <w:tcPr>
            <w:tcW w:w="1022" w:type="dxa"/>
            <w:tcBorders>
              <w:top w:val="single" w:color="000000" w:sz="4" w:space="0"/>
              <w:left w:val="single" w:color="000000" w:sz="4" w:space="0"/>
              <w:bottom w:val="single" w:color="000000" w:sz="4" w:space="0"/>
            </w:tcBorders>
            <w:vAlign w:val="center"/>
          </w:tcPr>
          <w:p>
            <w:pPr>
              <w:rPr>
                <w:rFonts w:hint="default" w:ascii="Times New Roman" w:hAnsi="Times New Roman"/>
                <w:color w:val="000000"/>
                <w:sz w:val="22"/>
                <w:szCs w:val="22"/>
              </w:rPr>
            </w:pPr>
          </w:p>
        </w:tc>
        <w:tc>
          <w:tcPr>
            <w:tcW w:w="1441" w:type="dxa"/>
            <w:tcBorders>
              <w:top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560,000.00 </w:t>
            </w:r>
          </w:p>
        </w:tc>
        <w:tc>
          <w:tcPr>
            <w:tcW w:w="836" w:type="dxa"/>
            <w:tcBorders>
              <w:top w:val="single" w:color="000000" w:sz="4" w:space="0"/>
              <w:left w:val="single" w:color="000000" w:sz="4" w:space="0"/>
              <w:bottom w:val="single" w:color="000000" w:sz="4" w:space="0"/>
            </w:tcBorders>
            <w:vAlign w:val="center"/>
          </w:tcPr>
          <w:p>
            <w:pPr>
              <w:rPr>
                <w:rFonts w:hint="default" w:ascii="Times New Roman" w:hAnsi="Times New Roman"/>
                <w:color w:val="000000"/>
                <w:sz w:val="22"/>
                <w:szCs w:val="22"/>
              </w:rPr>
            </w:pPr>
          </w:p>
        </w:tc>
        <w:tc>
          <w:tcPr>
            <w:tcW w:w="838" w:type="dxa"/>
            <w:tcBorders>
              <w:top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600,000.00 </w:t>
            </w:r>
          </w:p>
        </w:tc>
        <w:tc>
          <w:tcPr>
            <w:tcW w:w="611" w:type="dxa"/>
            <w:tcBorders>
              <w:top w:val="single" w:color="000000" w:sz="4" w:space="0"/>
              <w:left w:val="single" w:color="000000" w:sz="4" w:space="0"/>
              <w:bottom w:val="single" w:color="000000" w:sz="4" w:space="0"/>
            </w:tcBorders>
            <w:vAlign w:val="center"/>
          </w:tcPr>
          <w:p>
            <w:pPr>
              <w:rPr>
                <w:rFonts w:hint="default" w:ascii="Times New Roman" w:hAnsi="Times New Roman"/>
                <w:color w:val="000000"/>
                <w:sz w:val="22"/>
                <w:szCs w:val="22"/>
              </w:rPr>
            </w:pPr>
          </w:p>
        </w:tc>
        <w:tc>
          <w:tcPr>
            <w:tcW w:w="736" w:type="dxa"/>
            <w:tcBorders>
              <w:top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600,000.00 </w:t>
            </w:r>
          </w:p>
        </w:tc>
        <w:tc>
          <w:tcPr>
            <w:tcW w:w="60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c>
          <w:tcPr>
            <w:tcW w:w="61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c>
          <w:tcPr>
            <w:tcW w:w="10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Times New Roman" w:hAnsi="Times New Roman"/>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9" w:hRule="atLeast"/>
          <w:jc w:val="center"/>
        </w:trPr>
        <w:tc>
          <w:tcPr>
            <w:tcW w:w="1271" w:type="dxa"/>
            <w:tcBorders>
              <w:top w:val="single" w:color="000000" w:sz="4" w:space="0"/>
              <w:left w:val="single" w:color="000000" w:sz="4" w:space="0"/>
              <w:bottom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其中：财政拨款</w:t>
            </w:r>
          </w:p>
        </w:tc>
        <w:tc>
          <w:tcPr>
            <w:tcW w:w="857" w:type="dxa"/>
            <w:tcBorders>
              <w:top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c>
          <w:tcPr>
            <w:tcW w:w="1022" w:type="dxa"/>
            <w:tcBorders>
              <w:top w:val="single" w:color="000000" w:sz="4" w:space="0"/>
              <w:left w:val="single" w:color="000000" w:sz="4" w:space="0"/>
              <w:bottom w:val="single" w:color="000000" w:sz="4" w:space="0"/>
            </w:tcBorders>
            <w:vAlign w:val="center"/>
          </w:tcPr>
          <w:p>
            <w:pPr>
              <w:rPr>
                <w:rFonts w:hint="default" w:ascii="Times New Roman" w:hAnsi="Times New Roman"/>
                <w:color w:val="000000"/>
                <w:sz w:val="22"/>
                <w:szCs w:val="22"/>
              </w:rPr>
            </w:pPr>
          </w:p>
        </w:tc>
        <w:tc>
          <w:tcPr>
            <w:tcW w:w="1441" w:type="dxa"/>
            <w:tcBorders>
              <w:top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560,000.00 </w:t>
            </w:r>
          </w:p>
        </w:tc>
        <w:tc>
          <w:tcPr>
            <w:tcW w:w="836" w:type="dxa"/>
            <w:tcBorders>
              <w:top w:val="single" w:color="000000" w:sz="4" w:space="0"/>
              <w:left w:val="single" w:color="000000" w:sz="4" w:space="0"/>
              <w:bottom w:val="single" w:color="000000" w:sz="4" w:space="0"/>
            </w:tcBorders>
            <w:vAlign w:val="center"/>
          </w:tcPr>
          <w:p>
            <w:pPr>
              <w:rPr>
                <w:rFonts w:hint="default" w:ascii="Times New Roman" w:hAnsi="Times New Roman"/>
                <w:color w:val="000000"/>
                <w:sz w:val="22"/>
                <w:szCs w:val="22"/>
              </w:rPr>
            </w:pPr>
          </w:p>
        </w:tc>
        <w:tc>
          <w:tcPr>
            <w:tcW w:w="838" w:type="dxa"/>
            <w:tcBorders>
              <w:top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600,000.00 </w:t>
            </w:r>
          </w:p>
        </w:tc>
        <w:tc>
          <w:tcPr>
            <w:tcW w:w="611" w:type="dxa"/>
            <w:tcBorders>
              <w:top w:val="single" w:color="000000" w:sz="4" w:space="0"/>
              <w:left w:val="single" w:color="000000" w:sz="4" w:space="0"/>
              <w:bottom w:val="single" w:color="000000" w:sz="4" w:space="0"/>
            </w:tcBorders>
            <w:vAlign w:val="center"/>
          </w:tcPr>
          <w:p>
            <w:pPr>
              <w:rPr>
                <w:rFonts w:hint="default" w:ascii="Times New Roman" w:hAnsi="Times New Roman"/>
                <w:color w:val="000000"/>
                <w:sz w:val="22"/>
                <w:szCs w:val="22"/>
              </w:rPr>
            </w:pPr>
          </w:p>
        </w:tc>
        <w:tc>
          <w:tcPr>
            <w:tcW w:w="736" w:type="dxa"/>
            <w:tcBorders>
              <w:top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600,000.00 </w:t>
            </w:r>
          </w:p>
        </w:tc>
        <w:tc>
          <w:tcPr>
            <w:tcW w:w="60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6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10.00</w:t>
            </w:r>
          </w:p>
        </w:tc>
        <w:tc>
          <w:tcPr>
            <w:tcW w:w="1055"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9" w:hRule="atLeast"/>
          <w:jc w:val="center"/>
        </w:trPr>
        <w:tc>
          <w:tcPr>
            <w:tcW w:w="1271" w:type="dxa"/>
            <w:tcBorders>
              <w:top w:val="single" w:color="000000" w:sz="4" w:space="0"/>
              <w:left w:val="single" w:color="000000" w:sz="4" w:space="0"/>
              <w:bottom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一般公共预算</w:t>
            </w:r>
          </w:p>
        </w:tc>
        <w:tc>
          <w:tcPr>
            <w:tcW w:w="857" w:type="dxa"/>
            <w:tcBorders>
              <w:top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c>
          <w:tcPr>
            <w:tcW w:w="1022" w:type="dxa"/>
            <w:tcBorders>
              <w:top w:val="single" w:color="000000" w:sz="4" w:space="0"/>
              <w:left w:val="single" w:color="000000" w:sz="4" w:space="0"/>
              <w:bottom w:val="single" w:color="000000" w:sz="4" w:space="0"/>
            </w:tcBorders>
            <w:vAlign w:val="center"/>
          </w:tcPr>
          <w:p>
            <w:pPr>
              <w:rPr>
                <w:rFonts w:hint="default" w:ascii="Times New Roman" w:hAnsi="Times New Roman"/>
                <w:color w:val="000000"/>
                <w:sz w:val="22"/>
                <w:szCs w:val="22"/>
              </w:rPr>
            </w:pPr>
          </w:p>
        </w:tc>
        <w:tc>
          <w:tcPr>
            <w:tcW w:w="1441" w:type="dxa"/>
            <w:tcBorders>
              <w:top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560,000.00 </w:t>
            </w:r>
          </w:p>
        </w:tc>
        <w:tc>
          <w:tcPr>
            <w:tcW w:w="836" w:type="dxa"/>
            <w:tcBorders>
              <w:top w:val="single" w:color="000000" w:sz="4" w:space="0"/>
              <w:left w:val="single" w:color="000000" w:sz="4" w:space="0"/>
              <w:bottom w:val="single" w:color="000000" w:sz="4" w:space="0"/>
            </w:tcBorders>
            <w:vAlign w:val="center"/>
          </w:tcPr>
          <w:p>
            <w:pPr>
              <w:rPr>
                <w:rFonts w:hint="default" w:ascii="Times New Roman" w:hAnsi="Times New Roman"/>
                <w:color w:val="000000"/>
                <w:sz w:val="22"/>
                <w:szCs w:val="22"/>
              </w:rPr>
            </w:pPr>
          </w:p>
        </w:tc>
        <w:tc>
          <w:tcPr>
            <w:tcW w:w="838" w:type="dxa"/>
            <w:tcBorders>
              <w:top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600,000.00 </w:t>
            </w:r>
          </w:p>
        </w:tc>
        <w:tc>
          <w:tcPr>
            <w:tcW w:w="611" w:type="dxa"/>
            <w:tcBorders>
              <w:top w:val="single" w:color="000000" w:sz="4" w:space="0"/>
              <w:left w:val="single" w:color="000000" w:sz="4" w:space="0"/>
              <w:bottom w:val="single" w:color="000000" w:sz="4" w:space="0"/>
            </w:tcBorders>
            <w:vAlign w:val="center"/>
          </w:tcPr>
          <w:p>
            <w:pPr>
              <w:rPr>
                <w:rFonts w:hint="default" w:ascii="Times New Roman" w:hAnsi="Times New Roman"/>
                <w:color w:val="000000"/>
                <w:sz w:val="22"/>
                <w:szCs w:val="22"/>
              </w:rPr>
            </w:pPr>
          </w:p>
        </w:tc>
        <w:tc>
          <w:tcPr>
            <w:tcW w:w="736" w:type="dxa"/>
            <w:tcBorders>
              <w:top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600,000.00 </w:t>
            </w:r>
          </w:p>
        </w:tc>
        <w:tc>
          <w:tcPr>
            <w:tcW w:w="60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61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c>
          <w:tcPr>
            <w:tcW w:w="10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Times New Roman" w:hAnsi="Times New Roman"/>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3" w:hRule="atLeast"/>
          <w:jc w:val="center"/>
        </w:trPr>
        <w:tc>
          <w:tcPr>
            <w:tcW w:w="9880"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微软雅黑"/>
                <w:b/>
                <w:color w:val="000000"/>
                <w:sz w:val="28"/>
                <w:szCs w:val="28"/>
              </w:rPr>
            </w:pPr>
            <w:r>
              <w:rPr>
                <w:rFonts w:hint="default" w:ascii="Times New Roman" w:hAnsi="Times New Roman" w:eastAsia="微软雅黑"/>
                <w:b/>
                <w:color w:val="000000"/>
                <w:sz w:val="28"/>
                <w:szCs w:val="28"/>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7" w:hRule="atLeast"/>
          <w:jc w:val="center"/>
        </w:trPr>
        <w:tc>
          <w:tcPr>
            <w:tcW w:w="4591"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年初绩效目标</w:t>
            </w:r>
          </w:p>
        </w:tc>
        <w:tc>
          <w:tcPr>
            <w:tcW w:w="3021"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全年（调整）绩效目标</w:t>
            </w:r>
          </w:p>
        </w:tc>
        <w:tc>
          <w:tcPr>
            <w:tcW w:w="2268"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67" w:hRule="atLeast"/>
          <w:jc w:val="center"/>
        </w:trPr>
        <w:tc>
          <w:tcPr>
            <w:tcW w:w="4591" w:type="dxa"/>
            <w:gridSpan w:val="4"/>
            <w:tcBorders>
              <w:top w:val="single" w:color="000000" w:sz="4" w:space="0"/>
              <w:left w:val="single" w:color="000000" w:sz="4" w:space="0"/>
              <w:bottom w:val="single" w:color="000000" w:sz="4" w:space="0"/>
              <w:right w:val="single" w:color="000000" w:sz="4" w:space="0"/>
            </w:tcBorders>
            <w:vAlign w:val="top"/>
          </w:tcPr>
          <w:p>
            <w:pPr>
              <w:textAlignment w:val="top"/>
              <w:rPr>
                <w:rFonts w:hint="default" w:ascii="Times New Roman" w:hAnsi="Times New Roman"/>
                <w:color w:val="000000"/>
                <w:sz w:val="22"/>
                <w:szCs w:val="22"/>
              </w:rPr>
            </w:pPr>
            <w:r>
              <w:rPr>
                <w:rFonts w:hint="default" w:ascii="Times New Roman" w:hAnsi="Times New Roman"/>
                <w:color w:val="000000"/>
                <w:sz w:val="22"/>
                <w:szCs w:val="22"/>
              </w:rPr>
              <w:t>补助19个社区，1个村办公经费经费，保障村（社区）组织的正常运转。</w:t>
            </w:r>
          </w:p>
        </w:tc>
        <w:tc>
          <w:tcPr>
            <w:tcW w:w="3021" w:type="dxa"/>
            <w:gridSpan w:val="4"/>
            <w:tcBorders>
              <w:top w:val="single" w:color="000000" w:sz="4" w:space="0"/>
              <w:left w:val="single" w:color="000000" w:sz="4" w:space="0"/>
              <w:bottom w:val="single" w:color="000000" w:sz="4" w:space="0"/>
              <w:right w:val="single" w:color="000000" w:sz="4" w:space="0"/>
            </w:tcBorders>
            <w:vAlign w:val="top"/>
          </w:tcPr>
          <w:p>
            <w:pPr>
              <w:textAlignment w:val="top"/>
              <w:rPr>
                <w:rFonts w:hint="default" w:ascii="Times New Roman" w:hAnsi="Times New Roman"/>
                <w:color w:val="000000"/>
                <w:sz w:val="22"/>
                <w:szCs w:val="22"/>
              </w:rPr>
            </w:pPr>
            <w:r>
              <w:rPr>
                <w:rFonts w:hint="default" w:ascii="Times New Roman" w:hAnsi="Times New Roman"/>
                <w:color w:val="000000"/>
                <w:sz w:val="22"/>
                <w:szCs w:val="22"/>
              </w:rPr>
              <w:t>补助19个社区，1个村办公经费经费，保障村（社区）组织的正常运转。</w:t>
            </w:r>
          </w:p>
        </w:tc>
        <w:tc>
          <w:tcPr>
            <w:tcW w:w="2268" w:type="dxa"/>
            <w:gridSpan w:val="3"/>
            <w:tcBorders>
              <w:top w:val="single" w:color="000000" w:sz="4" w:space="0"/>
              <w:left w:val="single" w:color="000000" w:sz="4" w:space="0"/>
              <w:bottom w:val="single" w:color="000000" w:sz="4" w:space="0"/>
              <w:right w:val="single" w:color="000000" w:sz="4" w:space="0"/>
            </w:tcBorders>
            <w:vAlign w:val="top"/>
          </w:tcPr>
          <w:p>
            <w:pPr>
              <w:textAlignment w:val="top"/>
              <w:rPr>
                <w:rFonts w:hint="default" w:ascii="Times New Roman" w:hAnsi="Times New Roman"/>
                <w:color w:val="000000"/>
                <w:sz w:val="22"/>
                <w:szCs w:val="22"/>
              </w:rPr>
            </w:pPr>
            <w:r>
              <w:rPr>
                <w:rFonts w:hint="default" w:ascii="Times New Roman" w:hAnsi="Times New Roman"/>
                <w:color w:val="000000"/>
                <w:sz w:val="22"/>
                <w:szCs w:val="22"/>
              </w:rPr>
              <w:t>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3" w:hRule="atLeast"/>
          <w:jc w:val="center"/>
        </w:trPr>
        <w:tc>
          <w:tcPr>
            <w:tcW w:w="9880"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微软雅黑"/>
                <w:b/>
                <w:color w:val="000000"/>
                <w:sz w:val="28"/>
                <w:szCs w:val="28"/>
              </w:rPr>
            </w:pPr>
            <w:r>
              <w:rPr>
                <w:rFonts w:hint="default" w:ascii="Times New Roman" w:hAnsi="Times New Roman" w:eastAsia="微软雅黑"/>
                <w:b/>
                <w:color w:val="000000"/>
                <w:sz w:val="28"/>
                <w:szCs w:val="28"/>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jc w:val="center"/>
        </w:trPr>
        <w:tc>
          <w:tcPr>
            <w:tcW w:w="127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指标名称</w:t>
            </w:r>
          </w:p>
        </w:tc>
        <w:tc>
          <w:tcPr>
            <w:tcW w:w="85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计量单位</w:t>
            </w:r>
          </w:p>
        </w:tc>
        <w:tc>
          <w:tcPr>
            <w:tcW w:w="102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指标性质</w:t>
            </w:r>
          </w:p>
        </w:tc>
        <w:tc>
          <w:tcPr>
            <w:tcW w:w="144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指标值</w:t>
            </w:r>
          </w:p>
        </w:tc>
        <w:tc>
          <w:tcPr>
            <w:tcW w:w="8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全年完成值</w:t>
            </w:r>
          </w:p>
        </w:tc>
        <w:tc>
          <w:tcPr>
            <w:tcW w:w="83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偏离度（%）</w:t>
            </w:r>
          </w:p>
        </w:tc>
        <w:tc>
          <w:tcPr>
            <w:tcW w:w="61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得分系数（%）</w:t>
            </w:r>
          </w:p>
        </w:tc>
        <w:tc>
          <w:tcPr>
            <w:tcW w:w="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指标权重</w:t>
            </w:r>
          </w:p>
        </w:tc>
        <w:tc>
          <w:tcPr>
            <w:tcW w:w="60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指标得分</w:t>
            </w:r>
          </w:p>
        </w:tc>
        <w:tc>
          <w:tcPr>
            <w:tcW w:w="6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是否核心指标</w:t>
            </w:r>
          </w:p>
        </w:tc>
        <w:tc>
          <w:tcPr>
            <w:tcW w:w="105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7" w:hRule="atLeast"/>
          <w:jc w:val="center"/>
        </w:trPr>
        <w:tc>
          <w:tcPr>
            <w:tcW w:w="1271"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村委数量</w:t>
            </w:r>
          </w:p>
        </w:tc>
        <w:tc>
          <w:tcPr>
            <w:tcW w:w="857"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个</w:t>
            </w:r>
          </w:p>
        </w:tc>
        <w:tc>
          <w:tcPr>
            <w:tcW w:w="1022"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144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w:t>
            </w:r>
          </w:p>
        </w:tc>
        <w:tc>
          <w:tcPr>
            <w:tcW w:w="836"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w:t>
            </w:r>
          </w:p>
        </w:tc>
        <w:tc>
          <w:tcPr>
            <w:tcW w:w="838"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w:t>
            </w:r>
          </w:p>
        </w:tc>
        <w:tc>
          <w:tcPr>
            <w:tcW w:w="61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736"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w:t>
            </w:r>
          </w:p>
        </w:tc>
        <w:tc>
          <w:tcPr>
            <w:tcW w:w="60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w:t>
            </w:r>
          </w:p>
        </w:tc>
        <w:tc>
          <w:tcPr>
            <w:tcW w:w="610"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否</w:t>
            </w:r>
          </w:p>
        </w:tc>
        <w:tc>
          <w:tcPr>
            <w:tcW w:w="105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7" w:hRule="atLeast"/>
          <w:jc w:val="center"/>
        </w:trPr>
        <w:tc>
          <w:tcPr>
            <w:tcW w:w="1271"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社区数量</w:t>
            </w:r>
          </w:p>
        </w:tc>
        <w:tc>
          <w:tcPr>
            <w:tcW w:w="857"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个</w:t>
            </w:r>
          </w:p>
        </w:tc>
        <w:tc>
          <w:tcPr>
            <w:tcW w:w="1022"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144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w:t>
            </w:r>
          </w:p>
        </w:tc>
        <w:tc>
          <w:tcPr>
            <w:tcW w:w="836"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w:t>
            </w:r>
          </w:p>
        </w:tc>
        <w:tc>
          <w:tcPr>
            <w:tcW w:w="838"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w:t>
            </w:r>
          </w:p>
        </w:tc>
        <w:tc>
          <w:tcPr>
            <w:tcW w:w="61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736"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w:t>
            </w:r>
          </w:p>
        </w:tc>
        <w:tc>
          <w:tcPr>
            <w:tcW w:w="60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w:t>
            </w:r>
          </w:p>
        </w:tc>
        <w:tc>
          <w:tcPr>
            <w:tcW w:w="610"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否</w:t>
            </w:r>
          </w:p>
        </w:tc>
        <w:tc>
          <w:tcPr>
            <w:tcW w:w="105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9" w:hRule="atLeast"/>
          <w:jc w:val="center"/>
        </w:trPr>
        <w:tc>
          <w:tcPr>
            <w:tcW w:w="1271"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村社正常运转率</w:t>
            </w:r>
          </w:p>
        </w:tc>
        <w:tc>
          <w:tcPr>
            <w:tcW w:w="857"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1022"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144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836"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838"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w:t>
            </w:r>
          </w:p>
        </w:tc>
        <w:tc>
          <w:tcPr>
            <w:tcW w:w="61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736"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w:t>
            </w:r>
          </w:p>
        </w:tc>
        <w:tc>
          <w:tcPr>
            <w:tcW w:w="60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w:t>
            </w:r>
          </w:p>
        </w:tc>
        <w:tc>
          <w:tcPr>
            <w:tcW w:w="610"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否</w:t>
            </w:r>
          </w:p>
        </w:tc>
        <w:tc>
          <w:tcPr>
            <w:tcW w:w="105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9" w:hRule="atLeast"/>
          <w:jc w:val="center"/>
        </w:trPr>
        <w:tc>
          <w:tcPr>
            <w:tcW w:w="1271"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服务群众补助及时拨付到位</w:t>
            </w:r>
          </w:p>
        </w:tc>
        <w:tc>
          <w:tcPr>
            <w:tcW w:w="857"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1022"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144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836"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838"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w:t>
            </w:r>
          </w:p>
        </w:tc>
        <w:tc>
          <w:tcPr>
            <w:tcW w:w="61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736"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w:t>
            </w:r>
          </w:p>
        </w:tc>
        <w:tc>
          <w:tcPr>
            <w:tcW w:w="60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w:t>
            </w:r>
          </w:p>
        </w:tc>
        <w:tc>
          <w:tcPr>
            <w:tcW w:w="610"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否</w:t>
            </w:r>
          </w:p>
        </w:tc>
        <w:tc>
          <w:tcPr>
            <w:tcW w:w="105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jc w:val="center"/>
        </w:trPr>
        <w:tc>
          <w:tcPr>
            <w:tcW w:w="1271"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保障村社区组织正常运行</w:t>
            </w:r>
          </w:p>
        </w:tc>
        <w:tc>
          <w:tcPr>
            <w:tcW w:w="85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c>
          <w:tcPr>
            <w:tcW w:w="1022"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定性</w:t>
            </w:r>
          </w:p>
        </w:tc>
        <w:tc>
          <w:tcPr>
            <w:tcW w:w="144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好</w:t>
            </w:r>
          </w:p>
        </w:tc>
        <w:tc>
          <w:tcPr>
            <w:tcW w:w="836"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w:t>
            </w:r>
          </w:p>
        </w:tc>
        <w:tc>
          <w:tcPr>
            <w:tcW w:w="838"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w:t>
            </w:r>
          </w:p>
        </w:tc>
        <w:tc>
          <w:tcPr>
            <w:tcW w:w="61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736"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w:t>
            </w:r>
          </w:p>
        </w:tc>
        <w:tc>
          <w:tcPr>
            <w:tcW w:w="60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w:t>
            </w:r>
          </w:p>
        </w:tc>
        <w:tc>
          <w:tcPr>
            <w:tcW w:w="610"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是</w:t>
            </w:r>
          </w:p>
        </w:tc>
        <w:tc>
          <w:tcPr>
            <w:tcW w:w="105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9" w:hRule="atLeast"/>
          <w:jc w:val="center"/>
        </w:trPr>
        <w:tc>
          <w:tcPr>
            <w:tcW w:w="1271"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人民群众满意度</w:t>
            </w:r>
          </w:p>
        </w:tc>
        <w:tc>
          <w:tcPr>
            <w:tcW w:w="857"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1022"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144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836"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98</w:t>
            </w:r>
          </w:p>
        </w:tc>
        <w:tc>
          <w:tcPr>
            <w:tcW w:w="838"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w:t>
            </w:r>
          </w:p>
        </w:tc>
        <w:tc>
          <w:tcPr>
            <w:tcW w:w="61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80</w:t>
            </w:r>
          </w:p>
        </w:tc>
        <w:tc>
          <w:tcPr>
            <w:tcW w:w="736"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w:t>
            </w:r>
          </w:p>
        </w:tc>
        <w:tc>
          <w:tcPr>
            <w:tcW w:w="60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w:t>
            </w:r>
          </w:p>
        </w:tc>
        <w:tc>
          <w:tcPr>
            <w:tcW w:w="610"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否</w:t>
            </w:r>
          </w:p>
        </w:tc>
        <w:tc>
          <w:tcPr>
            <w:tcW w:w="105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7" w:hRule="atLeast"/>
          <w:jc w:val="center"/>
        </w:trPr>
        <w:tc>
          <w:tcPr>
            <w:tcW w:w="1271"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总补助标准</w:t>
            </w:r>
          </w:p>
        </w:tc>
        <w:tc>
          <w:tcPr>
            <w:tcW w:w="857"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元</w:t>
            </w:r>
          </w:p>
        </w:tc>
        <w:tc>
          <w:tcPr>
            <w:tcW w:w="1022"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144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600000</w:t>
            </w:r>
          </w:p>
        </w:tc>
        <w:tc>
          <w:tcPr>
            <w:tcW w:w="836"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600000</w:t>
            </w:r>
          </w:p>
        </w:tc>
        <w:tc>
          <w:tcPr>
            <w:tcW w:w="838"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w:t>
            </w:r>
          </w:p>
        </w:tc>
        <w:tc>
          <w:tcPr>
            <w:tcW w:w="61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736"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w:t>
            </w:r>
          </w:p>
        </w:tc>
        <w:tc>
          <w:tcPr>
            <w:tcW w:w="60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w:t>
            </w:r>
          </w:p>
        </w:tc>
        <w:tc>
          <w:tcPr>
            <w:tcW w:w="610"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否</w:t>
            </w:r>
          </w:p>
        </w:tc>
        <w:tc>
          <w:tcPr>
            <w:tcW w:w="105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r>
    </w:tbl>
    <w:p>
      <w:pPr>
        <w:rPr>
          <w:rFonts w:hint="default" w:ascii="Times New Roman" w:hAnsi="Times New Roman"/>
          <w:color w:val="000000"/>
        </w:rPr>
      </w:pPr>
    </w:p>
    <w:p>
      <w:pPr>
        <w:pStyle w:val="2"/>
        <w:ind w:firstLine="480"/>
        <w:rPr>
          <w:rFonts w:hint="default"/>
        </w:rPr>
      </w:pPr>
    </w:p>
    <w:tbl>
      <w:tblPr>
        <w:tblStyle w:val="10"/>
        <w:tblW w:w="97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72"/>
        <w:gridCol w:w="1128"/>
        <w:gridCol w:w="990"/>
        <w:gridCol w:w="1398"/>
        <w:gridCol w:w="813"/>
        <w:gridCol w:w="814"/>
        <w:gridCol w:w="601"/>
        <w:gridCol w:w="713"/>
        <w:gridCol w:w="601"/>
        <w:gridCol w:w="592"/>
        <w:gridCol w:w="1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5" w:hRule="atLeast"/>
          <w:jc w:val="center"/>
        </w:trPr>
        <w:tc>
          <w:tcPr>
            <w:tcW w:w="9740"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微软雅黑"/>
                <w:b/>
                <w:color w:val="000000"/>
                <w:sz w:val="40"/>
                <w:szCs w:val="40"/>
              </w:rPr>
            </w:pPr>
            <w:r>
              <w:rPr>
                <w:rFonts w:hint="default" w:ascii="Times New Roman" w:hAnsi="Times New Roman" w:eastAsia="微软雅黑"/>
                <w:b/>
                <w:color w:val="000000"/>
                <w:sz w:val="40"/>
                <w:szCs w:val="40"/>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5" w:hRule="atLeast"/>
          <w:jc w:val="center"/>
        </w:trPr>
        <w:tc>
          <w:tcPr>
            <w:tcW w:w="9740" w:type="dxa"/>
            <w:gridSpan w:val="11"/>
            <w:tcBorders>
              <w:top w:val="single" w:color="000000" w:sz="4" w:space="0"/>
              <w:left w:val="single" w:color="000000" w:sz="4" w:space="0"/>
              <w:bottom w:val="single" w:color="000000" w:sz="4" w:space="0"/>
              <w:right w:val="single" w:color="000000" w:sz="4" w:space="0"/>
            </w:tcBorders>
            <w:vAlign w:val="center"/>
          </w:tcPr>
          <w:p>
            <w:pPr>
              <w:ind w:firstLine="221" w:firstLineChars="100"/>
              <w:jc w:val="right"/>
              <w:textAlignment w:val="center"/>
              <w:rPr>
                <w:rFonts w:hint="default" w:ascii="Times New Roman" w:hAnsi="Times New Roman"/>
                <w:b/>
                <w:color w:val="000000"/>
                <w:sz w:val="22"/>
                <w:szCs w:val="22"/>
              </w:rPr>
            </w:pPr>
            <w:r>
              <w:rPr>
                <w:rFonts w:hint="default" w:ascii="Times New Roman" w:hAnsi="Times New Roman"/>
                <w:b/>
                <w:color w:val="000000"/>
                <w:sz w:val="22"/>
                <w:szCs w:val="22"/>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6" w:hRule="atLeast"/>
          <w:jc w:val="center"/>
        </w:trPr>
        <w:tc>
          <w:tcPr>
            <w:tcW w:w="1072"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ascii="Times New Roman" w:hAnsi="Times New Roman"/>
                <w:b/>
                <w:color w:val="000000"/>
                <w:sz w:val="22"/>
                <w:szCs w:val="22"/>
              </w:rPr>
            </w:pPr>
            <w:r>
              <w:rPr>
                <w:rFonts w:hint="default" w:ascii="Times New Roman" w:hAnsi="Times New Roman"/>
                <w:b/>
                <w:color w:val="000000"/>
                <w:sz w:val="22"/>
                <w:szCs w:val="22"/>
              </w:rPr>
              <w:t>项目名称：</w:t>
            </w:r>
          </w:p>
        </w:tc>
        <w:tc>
          <w:tcPr>
            <w:tcW w:w="2118"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服务群众专项</w:t>
            </w:r>
          </w:p>
        </w:tc>
        <w:tc>
          <w:tcPr>
            <w:tcW w:w="1398"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ascii="Times New Roman" w:hAnsi="Times New Roman"/>
                <w:b/>
                <w:color w:val="000000"/>
                <w:sz w:val="22"/>
                <w:szCs w:val="22"/>
              </w:rPr>
            </w:pPr>
            <w:r>
              <w:rPr>
                <w:rFonts w:hint="default" w:ascii="Times New Roman" w:hAnsi="Times New Roman"/>
                <w:b/>
                <w:color w:val="000000"/>
                <w:sz w:val="22"/>
                <w:szCs w:val="22"/>
              </w:rPr>
              <w:t>项目编码：</w:t>
            </w:r>
          </w:p>
        </w:tc>
        <w:tc>
          <w:tcPr>
            <w:tcW w:w="162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50023123T000003060189</w:t>
            </w:r>
          </w:p>
        </w:tc>
        <w:tc>
          <w:tcPr>
            <w:tcW w:w="601"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ascii="Times New Roman" w:hAnsi="Times New Roman"/>
                <w:b/>
                <w:color w:val="000000"/>
                <w:sz w:val="22"/>
                <w:szCs w:val="22"/>
              </w:rPr>
            </w:pPr>
            <w:r>
              <w:rPr>
                <w:rFonts w:hint="default" w:ascii="Times New Roman" w:hAnsi="Times New Roman"/>
                <w:b/>
                <w:color w:val="000000"/>
                <w:sz w:val="22"/>
                <w:szCs w:val="22"/>
              </w:rPr>
              <w:t>自评总分：</w:t>
            </w:r>
          </w:p>
        </w:tc>
        <w:tc>
          <w:tcPr>
            <w:tcW w:w="1314"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98.95</w:t>
            </w:r>
          </w:p>
        </w:tc>
        <w:tc>
          <w:tcPr>
            <w:tcW w:w="59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Times New Roman" w:hAnsi="Times New Roman"/>
                <w:b/>
                <w:color w:val="000000"/>
                <w:sz w:val="22"/>
                <w:szCs w:val="22"/>
              </w:rPr>
            </w:pPr>
          </w:p>
        </w:tc>
        <w:tc>
          <w:tcPr>
            <w:tcW w:w="101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6" w:hRule="atLeast"/>
          <w:jc w:val="center"/>
        </w:trPr>
        <w:tc>
          <w:tcPr>
            <w:tcW w:w="1072"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ascii="Times New Roman" w:hAnsi="Times New Roman"/>
                <w:b/>
                <w:color w:val="000000"/>
                <w:sz w:val="22"/>
                <w:szCs w:val="22"/>
              </w:rPr>
            </w:pPr>
            <w:r>
              <w:rPr>
                <w:rFonts w:hint="default" w:ascii="Times New Roman" w:hAnsi="Times New Roman"/>
                <w:b/>
                <w:color w:val="000000"/>
                <w:sz w:val="22"/>
                <w:szCs w:val="22"/>
              </w:rPr>
              <w:t>项目主管部门：</w:t>
            </w:r>
          </w:p>
        </w:tc>
        <w:tc>
          <w:tcPr>
            <w:tcW w:w="2118"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701-垫江县人民政府桂溪街道办事处</w:t>
            </w:r>
          </w:p>
        </w:tc>
        <w:tc>
          <w:tcPr>
            <w:tcW w:w="1398"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ascii="Times New Roman" w:hAnsi="Times New Roman"/>
                <w:b/>
                <w:color w:val="000000"/>
                <w:sz w:val="22"/>
                <w:szCs w:val="22"/>
              </w:rPr>
            </w:pPr>
            <w:r>
              <w:rPr>
                <w:rFonts w:hint="default" w:ascii="Times New Roman" w:hAnsi="Times New Roman"/>
                <w:b/>
                <w:color w:val="000000"/>
                <w:sz w:val="22"/>
                <w:szCs w:val="22"/>
              </w:rPr>
              <w:t>财政归口处室：</w:t>
            </w:r>
          </w:p>
        </w:tc>
        <w:tc>
          <w:tcPr>
            <w:tcW w:w="162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014-会计管理核算中心</w:t>
            </w:r>
          </w:p>
        </w:tc>
        <w:tc>
          <w:tcPr>
            <w:tcW w:w="601"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ascii="Times New Roman" w:hAnsi="Times New Roman"/>
                <w:b/>
                <w:color w:val="000000"/>
                <w:sz w:val="22"/>
                <w:szCs w:val="22"/>
              </w:rPr>
            </w:pPr>
            <w:r>
              <w:rPr>
                <w:rFonts w:hint="default" w:ascii="Times New Roman" w:hAnsi="Times New Roman"/>
                <w:b/>
                <w:color w:val="000000"/>
                <w:sz w:val="22"/>
                <w:szCs w:val="22"/>
              </w:rPr>
              <w:t>部门联系人：</w:t>
            </w:r>
          </w:p>
        </w:tc>
        <w:tc>
          <w:tcPr>
            <w:tcW w:w="1314"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舒老师</w:t>
            </w:r>
          </w:p>
        </w:tc>
        <w:tc>
          <w:tcPr>
            <w:tcW w:w="592"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ascii="Times New Roman" w:hAnsi="Times New Roman"/>
                <w:b/>
                <w:color w:val="000000"/>
                <w:sz w:val="22"/>
                <w:szCs w:val="22"/>
              </w:rPr>
            </w:pPr>
            <w:r>
              <w:rPr>
                <w:rFonts w:hint="default" w:ascii="Times New Roman" w:hAnsi="Times New Roman"/>
                <w:b/>
                <w:color w:val="000000"/>
                <w:sz w:val="22"/>
                <w:szCs w:val="22"/>
              </w:rPr>
              <w:t>联系电话：</w:t>
            </w:r>
          </w:p>
        </w:tc>
        <w:tc>
          <w:tcPr>
            <w:tcW w:w="1018"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74691235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6" w:hRule="atLeast"/>
          <w:jc w:val="center"/>
        </w:trPr>
        <w:tc>
          <w:tcPr>
            <w:tcW w:w="9740"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微软雅黑"/>
                <w:b/>
                <w:color w:val="000000"/>
                <w:sz w:val="28"/>
                <w:szCs w:val="28"/>
              </w:rPr>
            </w:pPr>
            <w:r>
              <w:rPr>
                <w:rFonts w:hint="default" w:ascii="Times New Roman" w:hAnsi="Times New Roman" w:eastAsia="微软雅黑"/>
                <w:b/>
                <w:color w:val="000000"/>
                <w:sz w:val="28"/>
                <w:szCs w:val="28"/>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5"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olor w:val="000000"/>
                <w:sz w:val="22"/>
                <w:szCs w:val="22"/>
              </w:rPr>
            </w:pP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年初预算数</w:t>
            </w:r>
          </w:p>
        </w:tc>
        <w:tc>
          <w:tcPr>
            <w:tcW w:w="1627"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全年（调整）预算数</w:t>
            </w:r>
          </w:p>
        </w:tc>
        <w:tc>
          <w:tcPr>
            <w:tcW w:w="1314"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全年执行数</w:t>
            </w:r>
          </w:p>
        </w:tc>
        <w:tc>
          <w:tcPr>
            <w:tcW w:w="6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执行率</w:t>
            </w:r>
          </w:p>
        </w:tc>
        <w:tc>
          <w:tcPr>
            <w:tcW w:w="59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b/>
                <w:color w:val="000000"/>
                <w:sz w:val="22"/>
                <w:szCs w:val="22"/>
              </w:rPr>
            </w:pPr>
            <w:r>
              <w:rPr>
                <w:rFonts w:hint="default" w:ascii="Times New Roman" w:hAnsi="Times New Roman"/>
                <w:b/>
                <w:color w:val="000000"/>
                <w:sz w:val="22"/>
                <w:szCs w:val="22"/>
              </w:rPr>
              <w:t>执行率权重</w:t>
            </w:r>
          </w:p>
        </w:tc>
        <w:tc>
          <w:tcPr>
            <w:tcW w:w="101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6" w:hRule="atLeast"/>
          <w:jc w:val="center"/>
        </w:trPr>
        <w:tc>
          <w:tcPr>
            <w:tcW w:w="1072" w:type="dxa"/>
            <w:tcBorders>
              <w:top w:val="single" w:color="000000" w:sz="4" w:space="0"/>
              <w:left w:val="single" w:color="000000" w:sz="4" w:space="0"/>
              <w:bottom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年度总金额</w:t>
            </w:r>
          </w:p>
        </w:tc>
        <w:tc>
          <w:tcPr>
            <w:tcW w:w="1128" w:type="dxa"/>
            <w:tcBorders>
              <w:top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c>
          <w:tcPr>
            <w:tcW w:w="990" w:type="dxa"/>
            <w:tcBorders>
              <w:top w:val="single" w:color="000000" w:sz="4" w:space="0"/>
              <w:left w:val="single" w:color="000000" w:sz="4" w:space="0"/>
              <w:bottom w:val="single" w:color="000000" w:sz="4" w:space="0"/>
            </w:tcBorders>
            <w:vAlign w:val="center"/>
          </w:tcPr>
          <w:p>
            <w:pPr>
              <w:rPr>
                <w:rFonts w:hint="default" w:ascii="Times New Roman" w:hAnsi="Times New Roman"/>
                <w:color w:val="000000"/>
                <w:sz w:val="22"/>
                <w:szCs w:val="22"/>
              </w:rPr>
            </w:pPr>
          </w:p>
        </w:tc>
        <w:tc>
          <w:tcPr>
            <w:tcW w:w="1398" w:type="dxa"/>
            <w:tcBorders>
              <w:top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920,000.00 </w:t>
            </w:r>
          </w:p>
        </w:tc>
        <w:tc>
          <w:tcPr>
            <w:tcW w:w="813" w:type="dxa"/>
            <w:tcBorders>
              <w:top w:val="single" w:color="000000" w:sz="4" w:space="0"/>
              <w:left w:val="single" w:color="000000" w:sz="4" w:space="0"/>
              <w:bottom w:val="single" w:color="000000" w:sz="4" w:space="0"/>
            </w:tcBorders>
            <w:vAlign w:val="center"/>
          </w:tcPr>
          <w:p>
            <w:pPr>
              <w:rPr>
                <w:rFonts w:hint="default" w:ascii="Times New Roman" w:hAnsi="Times New Roman"/>
                <w:color w:val="000000"/>
                <w:sz w:val="22"/>
                <w:szCs w:val="22"/>
              </w:rPr>
            </w:pPr>
          </w:p>
        </w:tc>
        <w:tc>
          <w:tcPr>
            <w:tcW w:w="814" w:type="dxa"/>
            <w:tcBorders>
              <w:top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970,000.00 </w:t>
            </w:r>
          </w:p>
        </w:tc>
        <w:tc>
          <w:tcPr>
            <w:tcW w:w="601" w:type="dxa"/>
            <w:tcBorders>
              <w:top w:val="single" w:color="000000" w:sz="4" w:space="0"/>
              <w:left w:val="single" w:color="000000" w:sz="4" w:space="0"/>
              <w:bottom w:val="single" w:color="000000" w:sz="4" w:space="0"/>
            </w:tcBorders>
            <w:vAlign w:val="center"/>
          </w:tcPr>
          <w:p>
            <w:pPr>
              <w:rPr>
                <w:rFonts w:hint="default" w:ascii="Times New Roman" w:hAnsi="Times New Roman"/>
                <w:color w:val="000000"/>
                <w:sz w:val="22"/>
                <w:szCs w:val="22"/>
              </w:rPr>
            </w:pPr>
          </w:p>
        </w:tc>
        <w:tc>
          <w:tcPr>
            <w:tcW w:w="713" w:type="dxa"/>
            <w:tcBorders>
              <w:top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970,000.00 </w:t>
            </w:r>
          </w:p>
        </w:tc>
        <w:tc>
          <w:tcPr>
            <w:tcW w:w="601"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c>
          <w:tcPr>
            <w:tcW w:w="592"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c>
          <w:tcPr>
            <w:tcW w:w="1018"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Times New Roman" w:hAnsi="Times New Roman"/>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6" w:hRule="atLeast"/>
          <w:jc w:val="center"/>
        </w:trPr>
        <w:tc>
          <w:tcPr>
            <w:tcW w:w="1072" w:type="dxa"/>
            <w:tcBorders>
              <w:top w:val="single" w:color="000000" w:sz="4" w:space="0"/>
              <w:left w:val="single" w:color="000000" w:sz="4" w:space="0"/>
              <w:bottom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其中：财政拨款</w:t>
            </w:r>
          </w:p>
        </w:tc>
        <w:tc>
          <w:tcPr>
            <w:tcW w:w="1128" w:type="dxa"/>
            <w:tcBorders>
              <w:top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c>
          <w:tcPr>
            <w:tcW w:w="990" w:type="dxa"/>
            <w:tcBorders>
              <w:top w:val="single" w:color="000000" w:sz="4" w:space="0"/>
              <w:left w:val="single" w:color="000000" w:sz="4" w:space="0"/>
              <w:bottom w:val="single" w:color="000000" w:sz="4" w:space="0"/>
            </w:tcBorders>
            <w:vAlign w:val="center"/>
          </w:tcPr>
          <w:p>
            <w:pPr>
              <w:rPr>
                <w:rFonts w:hint="default" w:ascii="Times New Roman" w:hAnsi="Times New Roman"/>
                <w:color w:val="000000"/>
                <w:sz w:val="22"/>
                <w:szCs w:val="22"/>
              </w:rPr>
            </w:pPr>
          </w:p>
        </w:tc>
        <w:tc>
          <w:tcPr>
            <w:tcW w:w="1398" w:type="dxa"/>
            <w:tcBorders>
              <w:top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920,000.00 </w:t>
            </w:r>
          </w:p>
        </w:tc>
        <w:tc>
          <w:tcPr>
            <w:tcW w:w="813" w:type="dxa"/>
            <w:tcBorders>
              <w:top w:val="single" w:color="000000" w:sz="4" w:space="0"/>
              <w:left w:val="single" w:color="000000" w:sz="4" w:space="0"/>
              <w:bottom w:val="single" w:color="000000" w:sz="4" w:space="0"/>
            </w:tcBorders>
            <w:vAlign w:val="center"/>
          </w:tcPr>
          <w:p>
            <w:pPr>
              <w:rPr>
                <w:rFonts w:hint="default" w:ascii="Times New Roman" w:hAnsi="Times New Roman"/>
                <w:color w:val="000000"/>
                <w:sz w:val="22"/>
                <w:szCs w:val="22"/>
              </w:rPr>
            </w:pPr>
          </w:p>
        </w:tc>
        <w:tc>
          <w:tcPr>
            <w:tcW w:w="814" w:type="dxa"/>
            <w:tcBorders>
              <w:top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970,000.00 </w:t>
            </w:r>
          </w:p>
        </w:tc>
        <w:tc>
          <w:tcPr>
            <w:tcW w:w="601" w:type="dxa"/>
            <w:tcBorders>
              <w:top w:val="single" w:color="000000" w:sz="4" w:space="0"/>
              <w:left w:val="single" w:color="000000" w:sz="4" w:space="0"/>
              <w:bottom w:val="single" w:color="000000" w:sz="4" w:space="0"/>
            </w:tcBorders>
            <w:vAlign w:val="center"/>
          </w:tcPr>
          <w:p>
            <w:pPr>
              <w:rPr>
                <w:rFonts w:hint="default" w:ascii="Times New Roman" w:hAnsi="Times New Roman"/>
                <w:color w:val="000000"/>
                <w:sz w:val="22"/>
                <w:szCs w:val="22"/>
              </w:rPr>
            </w:pPr>
          </w:p>
        </w:tc>
        <w:tc>
          <w:tcPr>
            <w:tcW w:w="713" w:type="dxa"/>
            <w:tcBorders>
              <w:top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970,000.00 </w:t>
            </w:r>
          </w:p>
        </w:tc>
        <w:tc>
          <w:tcPr>
            <w:tcW w:w="601"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59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10.00</w:t>
            </w:r>
          </w:p>
        </w:tc>
        <w:tc>
          <w:tcPr>
            <w:tcW w:w="1018"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6" w:hRule="atLeast"/>
          <w:jc w:val="center"/>
        </w:trPr>
        <w:tc>
          <w:tcPr>
            <w:tcW w:w="1072" w:type="dxa"/>
            <w:tcBorders>
              <w:top w:val="single" w:color="000000" w:sz="4" w:space="0"/>
              <w:left w:val="single" w:color="000000" w:sz="4" w:space="0"/>
              <w:bottom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一般公共预算</w:t>
            </w:r>
          </w:p>
        </w:tc>
        <w:tc>
          <w:tcPr>
            <w:tcW w:w="1128" w:type="dxa"/>
            <w:tcBorders>
              <w:top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c>
          <w:tcPr>
            <w:tcW w:w="990" w:type="dxa"/>
            <w:tcBorders>
              <w:top w:val="single" w:color="000000" w:sz="4" w:space="0"/>
              <w:left w:val="single" w:color="000000" w:sz="4" w:space="0"/>
              <w:bottom w:val="single" w:color="000000" w:sz="4" w:space="0"/>
            </w:tcBorders>
            <w:vAlign w:val="center"/>
          </w:tcPr>
          <w:p>
            <w:pPr>
              <w:rPr>
                <w:rFonts w:hint="default" w:ascii="Times New Roman" w:hAnsi="Times New Roman"/>
                <w:color w:val="000000"/>
                <w:sz w:val="22"/>
                <w:szCs w:val="22"/>
              </w:rPr>
            </w:pPr>
          </w:p>
        </w:tc>
        <w:tc>
          <w:tcPr>
            <w:tcW w:w="1398" w:type="dxa"/>
            <w:tcBorders>
              <w:top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920,000.00 </w:t>
            </w:r>
          </w:p>
        </w:tc>
        <w:tc>
          <w:tcPr>
            <w:tcW w:w="813" w:type="dxa"/>
            <w:tcBorders>
              <w:top w:val="single" w:color="000000" w:sz="4" w:space="0"/>
              <w:left w:val="single" w:color="000000" w:sz="4" w:space="0"/>
              <w:bottom w:val="single" w:color="000000" w:sz="4" w:space="0"/>
            </w:tcBorders>
            <w:vAlign w:val="center"/>
          </w:tcPr>
          <w:p>
            <w:pPr>
              <w:rPr>
                <w:rFonts w:hint="default" w:ascii="Times New Roman" w:hAnsi="Times New Roman"/>
                <w:color w:val="000000"/>
                <w:sz w:val="22"/>
                <w:szCs w:val="22"/>
              </w:rPr>
            </w:pPr>
          </w:p>
        </w:tc>
        <w:tc>
          <w:tcPr>
            <w:tcW w:w="814" w:type="dxa"/>
            <w:tcBorders>
              <w:top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970,000.00 </w:t>
            </w:r>
          </w:p>
        </w:tc>
        <w:tc>
          <w:tcPr>
            <w:tcW w:w="601" w:type="dxa"/>
            <w:tcBorders>
              <w:top w:val="single" w:color="000000" w:sz="4" w:space="0"/>
              <w:left w:val="single" w:color="000000" w:sz="4" w:space="0"/>
              <w:bottom w:val="single" w:color="000000" w:sz="4" w:space="0"/>
            </w:tcBorders>
            <w:vAlign w:val="center"/>
          </w:tcPr>
          <w:p>
            <w:pPr>
              <w:rPr>
                <w:rFonts w:hint="default" w:ascii="Times New Roman" w:hAnsi="Times New Roman"/>
                <w:color w:val="000000"/>
                <w:sz w:val="22"/>
                <w:szCs w:val="22"/>
              </w:rPr>
            </w:pPr>
          </w:p>
        </w:tc>
        <w:tc>
          <w:tcPr>
            <w:tcW w:w="713" w:type="dxa"/>
            <w:tcBorders>
              <w:top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970,000.00 </w:t>
            </w:r>
          </w:p>
        </w:tc>
        <w:tc>
          <w:tcPr>
            <w:tcW w:w="601"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592"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c>
          <w:tcPr>
            <w:tcW w:w="1018"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Times New Roman" w:hAnsi="Times New Roman"/>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6" w:hRule="atLeast"/>
          <w:jc w:val="center"/>
        </w:trPr>
        <w:tc>
          <w:tcPr>
            <w:tcW w:w="9740"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微软雅黑"/>
                <w:b/>
                <w:color w:val="000000"/>
                <w:sz w:val="28"/>
                <w:szCs w:val="28"/>
              </w:rPr>
            </w:pPr>
            <w:r>
              <w:rPr>
                <w:rFonts w:hint="default" w:ascii="Times New Roman" w:hAnsi="Times New Roman" w:eastAsia="微软雅黑"/>
                <w:b/>
                <w:color w:val="000000"/>
                <w:sz w:val="28"/>
                <w:szCs w:val="28"/>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5" w:hRule="atLeast"/>
          <w:jc w:val="center"/>
        </w:trPr>
        <w:tc>
          <w:tcPr>
            <w:tcW w:w="4588"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年初绩效目标</w:t>
            </w:r>
          </w:p>
        </w:tc>
        <w:tc>
          <w:tcPr>
            <w:tcW w:w="2941"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全年（调整）绩效目标</w:t>
            </w:r>
          </w:p>
        </w:tc>
        <w:tc>
          <w:tcPr>
            <w:tcW w:w="2211"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6" w:hRule="atLeast"/>
          <w:jc w:val="center"/>
        </w:trPr>
        <w:tc>
          <w:tcPr>
            <w:tcW w:w="4588" w:type="dxa"/>
            <w:gridSpan w:val="4"/>
            <w:tcBorders>
              <w:top w:val="single" w:color="000000" w:sz="4" w:space="0"/>
              <w:left w:val="single" w:color="000000" w:sz="4" w:space="0"/>
              <w:bottom w:val="single" w:color="000000" w:sz="4" w:space="0"/>
              <w:right w:val="single" w:color="000000" w:sz="4" w:space="0"/>
            </w:tcBorders>
            <w:vAlign w:val="top"/>
          </w:tcPr>
          <w:p>
            <w:pPr>
              <w:textAlignment w:val="top"/>
              <w:rPr>
                <w:rFonts w:hint="default" w:ascii="Times New Roman" w:hAnsi="Times New Roman"/>
                <w:color w:val="000000"/>
                <w:sz w:val="22"/>
                <w:szCs w:val="22"/>
              </w:rPr>
            </w:pPr>
            <w:r>
              <w:rPr>
                <w:rFonts w:hint="default" w:ascii="Times New Roman" w:hAnsi="Times New Roman"/>
                <w:color w:val="000000"/>
                <w:sz w:val="22"/>
                <w:szCs w:val="22"/>
              </w:rPr>
              <w:t>服务群众专项经费</w:t>
            </w:r>
          </w:p>
        </w:tc>
        <w:tc>
          <w:tcPr>
            <w:tcW w:w="2941" w:type="dxa"/>
            <w:gridSpan w:val="4"/>
            <w:tcBorders>
              <w:top w:val="single" w:color="000000" w:sz="4" w:space="0"/>
              <w:left w:val="single" w:color="000000" w:sz="4" w:space="0"/>
              <w:bottom w:val="single" w:color="000000" w:sz="4" w:space="0"/>
              <w:right w:val="single" w:color="000000" w:sz="4" w:space="0"/>
            </w:tcBorders>
            <w:vAlign w:val="top"/>
          </w:tcPr>
          <w:p>
            <w:pPr>
              <w:textAlignment w:val="top"/>
              <w:rPr>
                <w:rFonts w:hint="default" w:ascii="Times New Roman" w:hAnsi="Times New Roman"/>
                <w:color w:val="000000"/>
                <w:sz w:val="22"/>
                <w:szCs w:val="22"/>
              </w:rPr>
            </w:pPr>
            <w:r>
              <w:rPr>
                <w:rFonts w:hint="default" w:ascii="Times New Roman" w:hAnsi="Times New Roman"/>
                <w:color w:val="000000"/>
                <w:sz w:val="22"/>
                <w:szCs w:val="22"/>
              </w:rPr>
              <w:t>服务群众专项经费</w:t>
            </w:r>
          </w:p>
        </w:tc>
        <w:tc>
          <w:tcPr>
            <w:tcW w:w="2211" w:type="dxa"/>
            <w:gridSpan w:val="3"/>
            <w:tcBorders>
              <w:top w:val="single" w:color="000000" w:sz="4" w:space="0"/>
              <w:left w:val="single" w:color="000000" w:sz="4" w:space="0"/>
              <w:bottom w:val="single" w:color="000000" w:sz="4" w:space="0"/>
              <w:right w:val="single" w:color="000000" w:sz="4" w:space="0"/>
            </w:tcBorders>
            <w:vAlign w:val="top"/>
          </w:tcPr>
          <w:p>
            <w:pPr>
              <w:textAlignment w:val="top"/>
              <w:rPr>
                <w:rFonts w:hint="default" w:ascii="Times New Roman" w:hAnsi="Times New Roman"/>
                <w:color w:val="000000"/>
                <w:sz w:val="22"/>
                <w:szCs w:val="22"/>
              </w:rPr>
            </w:pPr>
            <w:r>
              <w:rPr>
                <w:rFonts w:hint="default" w:ascii="Times New Roman" w:hAnsi="Times New Roman"/>
                <w:color w:val="000000"/>
                <w:sz w:val="22"/>
                <w:szCs w:val="22"/>
              </w:rPr>
              <w:t>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6" w:hRule="atLeast"/>
          <w:jc w:val="center"/>
        </w:trPr>
        <w:tc>
          <w:tcPr>
            <w:tcW w:w="9740"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微软雅黑"/>
                <w:b/>
                <w:color w:val="000000"/>
                <w:sz w:val="28"/>
                <w:szCs w:val="28"/>
              </w:rPr>
            </w:pPr>
            <w:r>
              <w:rPr>
                <w:rFonts w:hint="default" w:ascii="Times New Roman" w:hAnsi="Times New Roman" w:eastAsia="微软雅黑"/>
                <w:b/>
                <w:color w:val="000000"/>
                <w:sz w:val="28"/>
                <w:szCs w:val="28"/>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5" w:hRule="atLeast"/>
          <w:jc w:val="center"/>
        </w:trPr>
        <w:tc>
          <w:tcPr>
            <w:tcW w:w="107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指标名称</w:t>
            </w: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计量单位</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指标性质</w:t>
            </w:r>
          </w:p>
        </w:tc>
        <w:tc>
          <w:tcPr>
            <w:tcW w:w="139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指标值</w:t>
            </w:r>
          </w:p>
        </w:tc>
        <w:tc>
          <w:tcPr>
            <w:tcW w:w="81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全年完成值</w:t>
            </w: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偏离度（%）</w:t>
            </w:r>
          </w:p>
        </w:tc>
        <w:tc>
          <w:tcPr>
            <w:tcW w:w="6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得分系数（%）</w:t>
            </w:r>
          </w:p>
        </w:tc>
        <w:tc>
          <w:tcPr>
            <w:tcW w:w="71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指标权重</w:t>
            </w:r>
          </w:p>
        </w:tc>
        <w:tc>
          <w:tcPr>
            <w:tcW w:w="6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指标得分</w:t>
            </w:r>
          </w:p>
        </w:tc>
        <w:tc>
          <w:tcPr>
            <w:tcW w:w="59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是否核心指标</w:t>
            </w:r>
          </w:p>
        </w:tc>
        <w:tc>
          <w:tcPr>
            <w:tcW w:w="101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6" w:hRule="atLeast"/>
          <w:jc w:val="center"/>
        </w:trPr>
        <w:tc>
          <w:tcPr>
            <w:tcW w:w="1072"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村社区个数</w:t>
            </w:r>
          </w:p>
        </w:tc>
        <w:tc>
          <w:tcPr>
            <w:tcW w:w="1128"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个</w:t>
            </w:r>
          </w:p>
        </w:tc>
        <w:tc>
          <w:tcPr>
            <w:tcW w:w="990"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1398"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w:t>
            </w:r>
          </w:p>
        </w:tc>
        <w:tc>
          <w:tcPr>
            <w:tcW w:w="81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w:t>
            </w:r>
          </w:p>
        </w:tc>
        <w:tc>
          <w:tcPr>
            <w:tcW w:w="814"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w:t>
            </w:r>
          </w:p>
        </w:tc>
        <w:tc>
          <w:tcPr>
            <w:tcW w:w="6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71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w:t>
            </w:r>
          </w:p>
        </w:tc>
        <w:tc>
          <w:tcPr>
            <w:tcW w:w="6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w:t>
            </w:r>
          </w:p>
        </w:tc>
        <w:tc>
          <w:tcPr>
            <w:tcW w:w="592"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是</w:t>
            </w:r>
          </w:p>
        </w:tc>
        <w:tc>
          <w:tcPr>
            <w:tcW w:w="101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6" w:hRule="atLeast"/>
          <w:jc w:val="center"/>
        </w:trPr>
        <w:tc>
          <w:tcPr>
            <w:tcW w:w="1072"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质量合格率</w:t>
            </w:r>
          </w:p>
        </w:tc>
        <w:tc>
          <w:tcPr>
            <w:tcW w:w="1128"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990"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1398"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81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814"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w:t>
            </w:r>
          </w:p>
        </w:tc>
        <w:tc>
          <w:tcPr>
            <w:tcW w:w="6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71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w:t>
            </w:r>
          </w:p>
        </w:tc>
        <w:tc>
          <w:tcPr>
            <w:tcW w:w="6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w:t>
            </w:r>
          </w:p>
        </w:tc>
        <w:tc>
          <w:tcPr>
            <w:tcW w:w="592"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否</w:t>
            </w:r>
          </w:p>
        </w:tc>
        <w:tc>
          <w:tcPr>
            <w:tcW w:w="101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6" w:hRule="atLeast"/>
          <w:jc w:val="center"/>
        </w:trPr>
        <w:tc>
          <w:tcPr>
            <w:tcW w:w="1072"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及时支付率</w:t>
            </w:r>
          </w:p>
        </w:tc>
        <w:tc>
          <w:tcPr>
            <w:tcW w:w="1128"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990"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1398"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81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814"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w:t>
            </w:r>
          </w:p>
        </w:tc>
        <w:tc>
          <w:tcPr>
            <w:tcW w:w="6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71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w:t>
            </w:r>
          </w:p>
        </w:tc>
        <w:tc>
          <w:tcPr>
            <w:tcW w:w="6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w:t>
            </w:r>
          </w:p>
        </w:tc>
        <w:tc>
          <w:tcPr>
            <w:tcW w:w="592"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否</w:t>
            </w:r>
          </w:p>
        </w:tc>
        <w:tc>
          <w:tcPr>
            <w:tcW w:w="101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5" w:hRule="atLeast"/>
          <w:jc w:val="center"/>
        </w:trPr>
        <w:tc>
          <w:tcPr>
            <w:tcW w:w="1072"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保障服务群众专项经费</w:t>
            </w:r>
          </w:p>
        </w:tc>
        <w:tc>
          <w:tcPr>
            <w:tcW w:w="112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c>
          <w:tcPr>
            <w:tcW w:w="990"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定性</w:t>
            </w:r>
          </w:p>
        </w:tc>
        <w:tc>
          <w:tcPr>
            <w:tcW w:w="1398"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好</w:t>
            </w:r>
          </w:p>
        </w:tc>
        <w:tc>
          <w:tcPr>
            <w:tcW w:w="81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w:t>
            </w:r>
          </w:p>
        </w:tc>
        <w:tc>
          <w:tcPr>
            <w:tcW w:w="814"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w:t>
            </w:r>
          </w:p>
        </w:tc>
        <w:tc>
          <w:tcPr>
            <w:tcW w:w="6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71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w:t>
            </w:r>
          </w:p>
        </w:tc>
        <w:tc>
          <w:tcPr>
            <w:tcW w:w="6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w:t>
            </w:r>
          </w:p>
        </w:tc>
        <w:tc>
          <w:tcPr>
            <w:tcW w:w="592"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否</w:t>
            </w:r>
          </w:p>
        </w:tc>
        <w:tc>
          <w:tcPr>
            <w:tcW w:w="101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6" w:hRule="atLeast"/>
          <w:jc w:val="center"/>
        </w:trPr>
        <w:tc>
          <w:tcPr>
            <w:tcW w:w="1072"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服务对象满意度</w:t>
            </w:r>
          </w:p>
        </w:tc>
        <w:tc>
          <w:tcPr>
            <w:tcW w:w="1128"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990"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1398"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95</w:t>
            </w:r>
          </w:p>
        </w:tc>
        <w:tc>
          <w:tcPr>
            <w:tcW w:w="81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94</w:t>
            </w:r>
          </w:p>
        </w:tc>
        <w:tc>
          <w:tcPr>
            <w:tcW w:w="814"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1.05</w:t>
            </w:r>
          </w:p>
        </w:tc>
        <w:tc>
          <w:tcPr>
            <w:tcW w:w="6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89.5</w:t>
            </w:r>
          </w:p>
        </w:tc>
        <w:tc>
          <w:tcPr>
            <w:tcW w:w="71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w:t>
            </w:r>
          </w:p>
        </w:tc>
        <w:tc>
          <w:tcPr>
            <w:tcW w:w="6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8.95</w:t>
            </w:r>
          </w:p>
        </w:tc>
        <w:tc>
          <w:tcPr>
            <w:tcW w:w="592"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否</w:t>
            </w:r>
          </w:p>
        </w:tc>
        <w:tc>
          <w:tcPr>
            <w:tcW w:w="101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5" w:hRule="atLeast"/>
          <w:jc w:val="center"/>
        </w:trPr>
        <w:tc>
          <w:tcPr>
            <w:tcW w:w="1072"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服务群众专项经费</w:t>
            </w:r>
          </w:p>
        </w:tc>
        <w:tc>
          <w:tcPr>
            <w:tcW w:w="1128"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万元</w:t>
            </w:r>
          </w:p>
        </w:tc>
        <w:tc>
          <w:tcPr>
            <w:tcW w:w="990"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1398"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97</w:t>
            </w:r>
          </w:p>
        </w:tc>
        <w:tc>
          <w:tcPr>
            <w:tcW w:w="81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97</w:t>
            </w:r>
          </w:p>
        </w:tc>
        <w:tc>
          <w:tcPr>
            <w:tcW w:w="814"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w:t>
            </w:r>
          </w:p>
        </w:tc>
        <w:tc>
          <w:tcPr>
            <w:tcW w:w="6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71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w:t>
            </w:r>
          </w:p>
        </w:tc>
        <w:tc>
          <w:tcPr>
            <w:tcW w:w="6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w:t>
            </w:r>
          </w:p>
        </w:tc>
        <w:tc>
          <w:tcPr>
            <w:tcW w:w="592"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否</w:t>
            </w:r>
          </w:p>
        </w:tc>
        <w:tc>
          <w:tcPr>
            <w:tcW w:w="101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r>
    </w:tbl>
    <w:p>
      <w:pPr>
        <w:widowControl w:val="0"/>
        <w:jc w:val="both"/>
        <w:rPr>
          <w:rFonts w:hint="default" w:cs="宋体"/>
          <w:b/>
          <w:bCs/>
          <w:color w:val="000000"/>
          <w:kern w:val="2"/>
        </w:rPr>
      </w:pPr>
    </w:p>
    <w:p>
      <w:pPr>
        <w:pStyle w:val="2"/>
        <w:ind w:firstLine="480"/>
        <w:rPr>
          <w:rFonts w:hint="default"/>
        </w:rPr>
      </w:pPr>
    </w:p>
    <w:tbl>
      <w:tblPr>
        <w:tblStyle w:val="10"/>
        <w:tblW w:w="998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01"/>
        <w:gridCol w:w="1021"/>
        <w:gridCol w:w="1034"/>
        <w:gridCol w:w="1440"/>
        <w:gridCol w:w="841"/>
        <w:gridCol w:w="842"/>
        <w:gridCol w:w="623"/>
        <w:gridCol w:w="667"/>
        <w:gridCol w:w="623"/>
        <w:gridCol w:w="617"/>
        <w:gridCol w:w="10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8" w:hRule="atLeast"/>
          <w:jc w:val="center"/>
        </w:trPr>
        <w:tc>
          <w:tcPr>
            <w:tcW w:w="9980"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微软雅黑"/>
                <w:b/>
                <w:color w:val="000000"/>
                <w:sz w:val="40"/>
                <w:szCs w:val="40"/>
              </w:rPr>
            </w:pPr>
            <w:r>
              <w:rPr>
                <w:rFonts w:hint="default" w:ascii="Times New Roman" w:hAnsi="Times New Roman" w:eastAsia="微软雅黑"/>
                <w:b/>
                <w:color w:val="000000"/>
                <w:sz w:val="40"/>
                <w:szCs w:val="40"/>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6" w:hRule="atLeast"/>
          <w:jc w:val="center"/>
        </w:trPr>
        <w:tc>
          <w:tcPr>
            <w:tcW w:w="9980" w:type="dxa"/>
            <w:gridSpan w:val="11"/>
            <w:tcBorders>
              <w:top w:val="single" w:color="000000" w:sz="4" w:space="0"/>
              <w:left w:val="single" w:color="000000" w:sz="4" w:space="0"/>
              <w:bottom w:val="single" w:color="000000" w:sz="4" w:space="0"/>
              <w:right w:val="single" w:color="000000" w:sz="4" w:space="0"/>
            </w:tcBorders>
            <w:vAlign w:val="center"/>
          </w:tcPr>
          <w:p>
            <w:pPr>
              <w:ind w:firstLine="221" w:firstLineChars="100"/>
              <w:jc w:val="right"/>
              <w:textAlignment w:val="center"/>
              <w:rPr>
                <w:rFonts w:hint="default" w:ascii="Times New Roman" w:hAnsi="Times New Roman"/>
                <w:b/>
                <w:color w:val="000000"/>
                <w:sz w:val="22"/>
                <w:szCs w:val="22"/>
              </w:rPr>
            </w:pPr>
            <w:r>
              <w:rPr>
                <w:rFonts w:hint="default" w:ascii="Times New Roman" w:hAnsi="Times New Roman"/>
                <w:b/>
                <w:color w:val="000000"/>
                <w:sz w:val="22"/>
                <w:szCs w:val="22"/>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4"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ascii="Times New Roman" w:hAnsi="Times New Roman"/>
                <w:b/>
                <w:color w:val="000000"/>
                <w:sz w:val="22"/>
                <w:szCs w:val="22"/>
              </w:rPr>
            </w:pPr>
            <w:r>
              <w:rPr>
                <w:rFonts w:hint="default" w:ascii="Times New Roman" w:hAnsi="Times New Roman"/>
                <w:b/>
                <w:color w:val="000000"/>
                <w:sz w:val="22"/>
                <w:szCs w:val="22"/>
              </w:rPr>
              <w:t>项目名称：</w:t>
            </w:r>
          </w:p>
        </w:tc>
        <w:tc>
          <w:tcPr>
            <w:tcW w:w="2055"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老党员生活补贴</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ascii="Times New Roman" w:hAnsi="Times New Roman"/>
                <w:b/>
                <w:color w:val="000000"/>
                <w:sz w:val="22"/>
                <w:szCs w:val="22"/>
              </w:rPr>
            </w:pPr>
            <w:r>
              <w:rPr>
                <w:rFonts w:hint="default" w:ascii="Times New Roman" w:hAnsi="Times New Roman"/>
                <w:b/>
                <w:color w:val="000000"/>
                <w:sz w:val="22"/>
                <w:szCs w:val="22"/>
              </w:rPr>
              <w:t>项目编码：</w:t>
            </w:r>
          </w:p>
        </w:tc>
        <w:tc>
          <w:tcPr>
            <w:tcW w:w="1683"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50023123T000003484556</w:t>
            </w:r>
          </w:p>
        </w:tc>
        <w:tc>
          <w:tcPr>
            <w:tcW w:w="623"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ascii="Times New Roman" w:hAnsi="Times New Roman"/>
                <w:b/>
                <w:color w:val="000000"/>
                <w:sz w:val="22"/>
                <w:szCs w:val="22"/>
              </w:rPr>
            </w:pPr>
            <w:r>
              <w:rPr>
                <w:rFonts w:hint="default" w:ascii="Times New Roman" w:hAnsi="Times New Roman"/>
                <w:b/>
                <w:color w:val="000000"/>
                <w:sz w:val="22"/>
                <w:szCs w:val="22"/>
              </w:rPr>
              <w:t>自评总分：</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98.95</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Times New Roman" w:hAnsi="Times New Roman"/>
                <w:b/>
                <w:color w:val="000000"/>
                <w:sz w:val="22"/>
                <w:szCs w:val="22"/>
              </w:rPr>
            </w:pPr>
          </w:p>
        </w:tc>
        <w:tc>
          <w:tcPr>
            <w:tcW w:w="1071"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4"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ascii="Times New Roman" w:hAnsi="Times New Roman"/>
                <w:b/>
                <w:color w:val="000000"/>
                <w:sz w:val="22"/>
                <w:szCs w:val="22"/>
              </w:rPr>
            </w:pPr>
            <w:r>
              <w:rPr>
                <w:rFonts w:hint="default" w:ascii="Times New Roman" w:hAnsi="Times New Roman"/>
                <w:b/>
                <w:color w:val="000000"/>
                <w:sz w:val="22"/>
                <w:szCs w:val="22"/>
              </w:rPr>
              <w:t>项目主管部门：</w:t>
            </w:r>
          </w:p>
        </w:tc>
        <w:tc>
          <w:tcPr>
            <w:tcW w:w="2055"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701-垫江县人民政府桂溪街道办事处</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ascii="Times New Roman" w:hAnsi="Times New Roman"/>
                <w:b/>
                <w:color w:val="000000"/>
                <w:sz w:val="22"/>
                <w:szCs w:val="22"/>
              </w:rPr>
            </w:pPr>
            <w:r>
              <w:rPr>
                <w:rFonts w:hint="default" w:ascii="Times New Roman" w:hAnsi="Times New Roman"/>
                <w:b/>
                <w:color w:val="000000"/>
                <w:sz w:val="22"/>
                <w:szCs w:val="22"/>
              </w:rPr>
              <w:t>财政归口处室：</w:t>
            </w:r>
          </w:p>
        </w:tc>
        <w:tc>
          <w:tcPr>
            <w:tcW w:w="1683"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014-会计管理核算中心</w:t>
            </w:r>
          </w:p>
        </w:tc>
        <w:tc>
          <w:tcPr>
            <w:tcW w:w="623"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ascii="Times New Roman" w:hAnsi="Times New Roman"/>
                <w:b/>
                <w:color w:val="000000"/>
                <w:sz w:val="22"/>
                <w:szCs w:val="22"/>
              </w:rPr>
            </w:pPr>
            <w:r>
              <w:rPr>
                <w:rFonts w:hint="default" w:ascii="Times New Roman" w:hAnsi="Times New Roman"/>
                <w:b/>
                <w:color w:val="000000"/>
                <w:sz w:val="22"/>
                <w:szCs w:val="22"/>
              </w:rPr>
              <w:t>部门联系人：</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舒老师</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ascii="Times New Roman" w:hAnsi="Times New Roman"/>
                <w:b/>
                <w:color w:val="000000"/>
                <w:sz w:val="22"/>
                <w:szCs w:val="22"/>
              </w:rPr>
            </w:pPr>
            <w:r>
              <w:rPr>
                <w:rFonts w:hint="default" w:ascii="Times New Roman" w:hAnsi="Times New Roman"/>
                <w:b/>
                <w:color w:val="000000"/>
                <w:sz w:val="22"/>
                <w:szCs w:val="22"/>
              </w:rPr>
              <w:t>联系电话：</w:t>
            </w:r>
          </w:p>
        </w:tc>
        <w:tc>
          <w:tcPr>
            <w:tcW w:w="1071"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74691235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9" w:hRule="atLeast"/>
          <w:jc w:val="center"/>
        </w:trPr>
        <w:tc>
          <w:tcPr>
            <w:tcW w:w="9980"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微软雅黑"/>
                <w:b/>
                <w:color w:val="000000"/>
                <w:sz w:val="28"/>
                <w:szCs w:val="28"/>
              </w:rPr>
            </w:pPr>
            <w:r>
              <w:rPr>
                <w:rFonts w:hint="default" w:ascii="Times New Roman" w:hAnsi="Times New Roman" w:eastAsia="微软雅黑"/>
                <w:b/>
                <w:color w:val="000000"/>
                <w:sz w:val="28"/>
                <w:szCs w:val="28"/>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4" w:hRule="atLeast"/>
          <w:jc w:val="center"/>
        </w:trPr>
        <w:tc>
          <w:tcPr>
            <w:tcW w:w="222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olor w:val="000000"/>
                <w:sz w:val="22"/>
                <w:szCs w:val="22"/>
              </w:rPr>
            </w:pPr>
          </w:p>
        </w:tc>
        <w:tc>
          <w:tcPr>
            <w:tcW w:w="2474"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年初预算数</w:t>
            </w:r>
          </w:p>
        </w:tc>
        <w:tc>
          <w:tcPr>
            <w:tcW w:w="1683"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全年（调整）预算数</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全年执行数</w:t>
            </w:r>
          </w:p>
        </w:tc>
        <w:tc>
          <w:tcPr>
            <w:tcW w:w="6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执行率</w:t>
            </w:r>
          </w:p>
        </w:tc>
        <w:tc>
          <w:tcPr>
            <w:tcW w:w="61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b/>
                <w:color w:val="000000"/>
                <w:sz w:val="22"/>
                <w:szCs w:val="22"/>
              </w:rPr>
            </w:pPr>
            <w:r>
              <w:rPr>
                <w:rFonts w:hint="default" w:ascii="Times New Roman" w:hAnsi="Times New Roman"/>
                <w:b/>
                <w:color w:val="000000"/>
                <w:sz w:val="22"/>
                <w:szCs w:val="22"/>
              </w:rPr>
              <w:t>执行率权重</w:t>
            </w:r>
          </w:p>
        </w:tc>
        <w:tc>
          <w:tcPr>
            <w:tcW w:w="107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7" w:hRule="atLeast"/>
          <w:jc w:val="center"/>
        </w:trPr>
        <w:tc>
          <w:tcPr>
            <w:tcW w:w="1201" w:type="dxa"/>
            <w:tcBorders>
              <w:top w:val="single" w:color="000000" w:sz="4" w:space="0"/>
              <w:left w:val="single" w:color="000000" w:sz="4" w:space="0"/>
              <w:bottom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年度总金额</w:t>
            </w:r>
          </w:p>
        </w:tc>
        <w:tc>
          <w:tcPr>
            <w:tcW w:w="1021" w:type="dxa"/>
            <w:tcBorders>
              <w:top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c>
          <w:tcPr>
            <w:tcW w:w="1034" w:type="dxa"/>
            <w:tcBorders>
              <w:top w:val="single" w:color="000000" w:sz="4" w:space="0"/>
              <w:left w:val="single" w:color="000000" w:sz="4" w:space="0"/>
              <w:bottom w:val="single" w:color="000000" w:sz="4" w:space="0"/>
            </w:tcBorders>
            <w:vAlign w:val="center"/>
          </w:tcPr>
          <w:p>
            <w:pPr>
              <w:rPr>
                <w:rFonts w:hint="default" w:ascii="Times New Roman" w:hAnsi="Times New Roman"/>
                <w:color w:val="000000"/>
                <w:sz w:val="22"/>
                <w:szCs w:val="22"/>
              </w:rPr>
            </w:pPr>
          </w:p>
        </w:tc>
        <w:tc>
          <w:tcPr>
            <w:tcW w:w="1440" w:type="dxa"/>
            <w:tcBorders>
              <w:top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841" w:type="dxa"/>
            <w:tcBorders>
              <w:top w:val="single" w:color="000000" w:sz="4" w:space="0"/>
              <w:left w:val="single" w:color="000000" w:sz="4" w:space="0"/>
              <w:bottom w:val="single" w:color="000000" w:sz="4" w:space="0"/>
            </w:tcBorders>
            <w:vAlign w:val="center"/>
          </w:tcPr>
          <w:p>
            <w:pPr>
              <w:rPr>
                <w:rFonts w:hint="default" w:ascii="Times New Roman" w:hAnsi="Times New Roman"/>
                <w:color w:val="000000"/>
                <w:sz w:val="22"/>
                <w:szCs w:val="22"/>
              </w:rPr>
            </w:pPr>
          </w:p>
        </w:tc>
        <w:tc>
          <w:tcPr>
            <w:tcW w:w="842" w:type="dxa"/>
            <w:tcBorders>
              <w:top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10,840.00 </w:t>
            </w:r>
          </w:p>
        </w:tc>
        <w:tc>
          <w:tcPr>
            <w:tcW w:w="623" w:type="dxa"/>
            <w:tcBorders>
              <w:top w:val="single" w:color="000000" w:sz="4" w:space="0"/>
              <w:left w:val="single" w:color="000000" w:sz="4" w:space="0"/>
              <w:bottom w:val="single" w:color="000000" w:sz="4" w:space="0"/>
            </w:tcBorders>
            <w:vAlign w:val="center"/>
          </w:tcPr>
          <w:p>
            <w:pPr>
              <w:rPr>
                <w:rFonts w:hint="default" w:ascii="Times New Roman" w:hAnsi="Times New Roman"/>
                <w:color w:val="000000"/>
                <w:sz w:val="22"/>
                <w:szCs w:val="22"/>
              </w:rPr>
            </w:pPr>
          </w:p>
        </w:tc>
        <w:tc>
          <w:tcPr>
            <w:tcW w:w="667" w:type="dxa"/>
            <w:tcBorders>
              <w:top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10,840.00 </w:t>
            </w:r>
          </w:p>
        </w:tc>
        <w:tc>
          <w:tcPr>
            <w:tcW w:w="62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c>
          <w:tcPr>
            <w:tcW w:w="61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c>
          <w:tcPr>
            <w:tcW w:w="1071"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Times New Roman" w:hAnsi="Times New Roman"/>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7" w:hRule="atLeast"/>
          <w:jc w:val="center"/>
        </w:trPr>
        <w:tc>
          <w:tcPr>
            <w:tcW w:w="1201" w:type="dxa"/>
            <w:tcBorders>
              <w:top w:val="single" w:color="000000" w:sz="4" w:space="0"/>
              <w:left w:val="single" w:color="000000" w:sz="4" w:space="0"/>
              <w:bottom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其中：财政拨款</w:t>
            </w:r>
          </w:p>
        </w:tc>
        <w:tc>
          <w:tcPr>
            <w:tcW w:w="1021" w:type="dxa"/>
            <w:tcBorders>
              <w:top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c>
          <w:tcPr>
            <w:tcW w:w="1034" w:type="dxa"/>
            <w:tcBorders>
              <w:top w:val="single" w:color="000000" w:sz="4" w:space="0"/>
              <w:left w:val="single" w:color="000000" w:sz="4" w:space="0"/>
              <w:bottom w:val="single" w:color="000000" w:sz="4" w:space="0"/>
            </w:tcBorders>
            <w:vAlign w:val="center"/>
          </w:tcPr>
          <w:p>
            <w:pPr>
              <w:rPr>
                <w:rFonts w:hint="default" w:ascii="Times New Roman" w:hAnsi="Times New Roman"/>
                <w:color w:val="000000"/>
                <w:sz w:val="22"/>
                <w:szCs w:val="22"/>
              </w:rPr>
            </w:pPr>
          </w:p>
        </w:tc>
        <w:tc>
          <w:tcPr>
            <w:tcW w:w="1440" w:type="dxa"/>
            <w:tcBorders>
              <w:top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841" w:type="dxa"/>
            <w:tcBorders>
              <w:top w:val="single" w:color="000000" w:sz="4" w:space="0"/>
              <w:left w:val="single" w:color="000000" w:sz="4" w:space="0"/>
              <w:bottom w:val="single" w:color="000000" w:sz="4" w:space="0"/>
            </w:tcBorders>
            <w:vAlign w:val="center"/>
          </w:tcPr>
          <w:p>
            <w:pPr>
              <w:rPr>
                <w:rFonts w:hint="default" w:ascii="Times New Roman" w:hAnsi="Times New Roman"/>
                <w:color w:val="000000"/>
                <w:sz w:val="22"/>
                <w:szCs w:val="22"/>
              </w:rPr>
            </w:pPr>
          </w:p>
        </w:tc>
        <w:tc>
          <w:tcPr>
            <w:tcW w:w="842" w:type="dxa"/>
            <w:tcBorders>
              <w:top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10,840.00 </w:t>
            </w:r>
          </w:p>
        </w:tc>
        <w:tc>
          <w:tcPr>
            <w:tcW w:w="623" w:type="dxa"/>
            <w:tcBorders>
              <w:top w:val="single" w:color="000000" w:sz="4" w:space="0"/>
              <w:left w:val="single" w:color="000000" w:sz="4" w:space="0"/>
              <w:bottom w:val="single" w:color="000000" w:sz="4" w:space="0"/>
            </w:tcBorders>
            <w:vAlign w:val="center"/>
          </w:tcPr>
          <w:p>
            <w:pPr>
              <w:rPr>
                <w:rFonts w:hint="default" w:ascii="Times New Roman" w:hAnsi="Times New Roman"/>
                <w:color w:val="000000"/>
                <w:sz w:val="22"/>
                <w:szCs w:val="22"/>
              </w:rPr>
            </w:pPr>
          </w:p>
        </w:tc>
        <w:tc>
          <w:tcPr>
            <w:tcW w:w="667" w:type="dxa"/>
            <w:tcBorders>
              <w:top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10,840.00 </w:t>
            </w:r>
          </w:p>
        </w:tc>
        <w:tc>
          <w:tcPr>
            <w:tcW w:w="62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61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10.00</w:t>
            </w:r>
          </w:p>
        </w:tc>
        <w:tc>
          <w:tcPr>
            <w:tcW w:w="107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7" w:hRule="atLeast"/>
          <w:jc w:val="center"/>
        </w:trPr>
        <w:tc>
          <w:tcPr>
            <w:tcW w:w="1201" w:type="dxa"/>
            <w:tcBorders>
              <w:top w:val="single" w:color="000000" w:sz="4" w:space="0"/>
              <w:left w:val="single" w:color="000000" w:sz="4" w:space="0"/>
              <w:bottom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一般公共预算</w:t>
            </w:r>
          </w:p>
        </w:tc>
        <w:tc>
          <w:tcPr>
            <w:tcW w:w="1021" w:type="dxa"/>
            <w:tcBorders>
              <w:top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c>
          <w:tcPr>
            <w:tcW w:w="1034" w:type="dxa"/>
            <w:tcBorders>
              <w:top w:val="single" w:color="000000" w:sz="4" w:space="0"/>
              <w:left w:val="single" w:color="000000" w:sz="4" w:space="0"/>
              <w:bottom w:val="single" w:color="000000" w:sz="4" w:space="0"/>
            </w:tcBorders>
            <w:vAlign w:val="center"/>
          </w:tcPr>
          <w:p>
            <w:pPr>
              <w:rPr>
                <w:rFonts w:hint="default" w:ascii="Times New Roman" w:hAnsi="Times New Roman"/>
                <w:color w:val="000000"/>
                <w:sz w:val="22"/>
                <w:szCs w:val="22"/>
              </w:rPr>
            </w:pPr>
          </w:p>
        </w:tc>
        <w:tc>
          <w:tcPr>
            <w:tcW w:w="1440" w:type="dxa"/>
            <w:tcBorders>
              <w:top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841" w:type="dxa"/>
            <w:tcBorders>
              <w:top w:val="single" w:color="000000" w:sz="4" w:space="0"/>
              <w:left w:val="single" w:color="000000" w:sz="4" w:space="0"/>
              <w:bottom w:val="single" w:color="000000" w:sz="4" w:space="0"/>
            </w:tcBorders>
            <w:vAlign w:val="center"/>
          </w:tcPr>
          <w:p>
            <w:pPr>
              <w:rPr>
                <w:rFonts w:hint="default" w:ascii="Times New Roman" w:hAnsi="Times New Roman"/>
                <w:color w:val="000000"/>
                <w:sz w:val="22"/>
                <w:szCs w:val="22"/>
              </w:rPr>
            </w:pPr>
          </w:p>
        </w:tc>
        <w:tc>
          <w:tcPr>
            <w:tcW w:w="842" w:type="dxa"/>
            <w:tcBorders>
              <w:top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10,840.00 </w:t>
            </w:r>
          </w:p>
        </w:tc>
        <w:tc>
          <w:tcPr>
            <w:tcW w:w="623" w:type="dxa"/>
            <w:tcBorders>
              <w:top w:val="single" w:color="000000" w:sz="4" w:space="0"/>
              <w:left w:val="single" w:color="000000" w:sz="4" w:space="0"/>
              <w:bottom w:val="single" w:color="000000" w:sz="4" w:space="0"/>
            </w:tcBorders>
            <w:vAlign w:val="center"/>
          </w:tcPr>
          <w:p>
            <w:pPr>
              <w:rPr>
                <w:rFonts w:hint="default" w:ascii="Times New Roman" w:hAnsi="Times New Roman"/>
                <w:color w:val="000000"/>
                <w:sz w:val="22"/>
                <w:szCs w:val="22"/>
              </w:rPr>
            </w:pPr>
          </w:p>
        </w:tc>
        <w:tc>
          <w:tcPr>
            <w:tcW w:w="667" w:type="dxa"/>
            <w:tcBorders>
              <w:top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10,840.00 </w:t>
            </w:r>
          </w:p>
        </w:tc>
        <w:tc>
          <w:tcPr>
            <w:tcW w:w="62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61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c>
          <w:tcPr>
            <w:tcW w:w="1071"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Times New Roman" w:hAnsi="Times New Roman"/>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9" w:hRule="atLeast"/>
          <w:jc w:val="center"/>
        </w:trPr>
        <w:tc>
          <w:tcPr>
            <w:tcW w:w="9980"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微软雅黑"/>
                <w:b/>
                <w:color w:val="000000"/>
                <w:sz w:val="28"/>
                <w:szCs w:val="28"/>
              </w:rPr>
            </w:pPr>
            <w:r>
              <w:rPr>
                <w:rFonts w:hint="default" w:ascii="Times New Roman" w:hAnsi="Times New Roman" w:eastAsia="微软雅黑"/>
                <w:b/>
                <w:color w:val="000000"/>
                <w:sz w:val="28"/>
                <w:szCs w:val="28"/>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6" w:hRule="atLeast"/>
          <w:jc w:val="center"/>
        </w:trPr>
        <w:tc>
          <w:tcPr>
            <w:tcW w:w="4696"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年初绩效目标</w:t>
            </w:r>
          </w:p>
        </w:tc>
        <w:tc>
          <w:tcPr>
            <w:tcW w:w="2973"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全年（调整）绩效目标</w:t>
            </w:r>
          </w:p>
        </w:tc>
        <w:tc>
          <w:tcPr>
            <w:tcW w:w="2311"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94" w:hRule="atLeast"/>
          <w:jc w:val="center"/>
        </w:trPr>
        <w:tc>
          <w:tcPr>
            <w:tcW w:w="4696" w:type="dxa"/>
            <w:gridSpan w:val="4"/>
            <w:tcBorders>
              <w:top w:val="single" w:color="000000" w:sz="4" w:space="0"/>
              <w:left w:val="single" w:color="000000" w:sz="4" w:space="0"/>
              <w:bottom w:val="single" w:color="000000" w:sz="4" w:space="0"/>
              <w:right w:val="single" w:color="000000" w:sz="4" w:space="0"/>
            </w:tcBorders>
            <w:vAlign w:val="top"/>
          </w:tcPr>
          <w:p>
            <w:pPr>
              <w:textAlignment w:val="top"/>
              <w:rPr>
                <w:rFonts w:hint="default" w:ascii="Times New Roman" w:hAnsi="Times New Roman"/>
                <w:color w:val="000000"/>
                <w:sz w:val="22"/>
                <w:szCs w:val="22"/>
              </w:rPr>
            </w:pPr>
            <w:r>
              <w:rPr>
                <w:rFonts w:hint="default" w:ascii="Times New Roman" w:hAnsi="Times New Roman"/>
                <w:color w:val="000000"/>
                <w:sz w:val="22"/>
                <w:szCs w:val="22"/>
              </w:rPr>
              <w:t>2024年度党龄40年以上老党员生活补贴</w:t>
            </w:r>
          </w:p>
        </w:tc>
        <w:tc>
          <w:tcPr>
            <w:tcW w:w="2973" w:type="dxa"/>
            <w:gridSpan w:val="4"/>
            <w:tcBorders>
              <w:top w:val="single" w:color="000000" w:sz="4" w:space="0"/>
              <w:left w:val="single" w:color="000000" w:sz="4" w:space="0"/>
              <w:bottom w:val="single" w:color="000000" w:sz="4" w:space="0"/>
              <w:right w:val="single" w:color="000000" w:sz="4" w:space="0"/>
            </w:tcBorders>
            <w:vAlign w:val="top"/>
          </w:tcPr>
          <w:p>
            <w:pPr>
              <w:textAlignment w:val="top"/>
              <w:rPr>
                <w:rFonts w:hint="default" w:ascii="Times New Roman" w:hAnsi="Times New Roman"/>
                <w:color w:val="000000"/>
                <w:sz w:val="22"/>
                <w:szCs w:val="22"/>
              </w:rPr>
            </w:pPr>
            <w:r>
              <w:rPr>
                <w:rFonts w:hint="default" w:ascii="Times New Roman" w:hAnsi="Times New Roman"/>
                <w:color w:val="000000"/>
                <w:sz w:val="22"/>
                <w:szCs w:val="22"/>
              </w:rPr>
              <w:t>2024年度党龄40年以上老党员生活补贴</w:t>
            </w:r>
          </w:p>
        </w:tc>
        <w:tc>
          <w:tcPr>
            <w:tcW w:w="2311" w:type="dxa"/>
            <w:gridSpan w:val="3"/>
            <w:tcBorders>
              <w:top w:val="single" w:color="000000" w:sz="4" w:space="0"/>
              <w:left w:val="single" w:color="000000" w:sz="4" w:space="0"/>
              <w:bottom w:val="single" w:color="000000" w:sz="4" w:space="0"/>
              <w:right w:val="single" w:color="000000" w:sz="4" w:space="0"/>
            </w:tcBorders>
            <w:vAlign w:val="top"/>
          </w:tcPr>
          <w:p>
            <w:pPr>
              <w:textAlignment w:val="top"/>
              <w:rPr>
                <w:rFonts w:hint="default" w:ascii="Times New Roman" w:hAnsi="Times New Roman"/>
                <w:color w:val="000000"/>
                <w:sz w:val="22"/>
                <w:szCs w:val="22"/>
              </w:rPr>
            </w:pPr>
            <w:r>
              <w:rPr>
                <w:rFonts w:hint="default" w:ascii="Times New Roman" w:hAnsi="Times New Roman"/>
                <w:color w:val="000000"/>
                <w:sz w:val="22"/>
                <w:szCs w:val="22"/>
              </w:rPr>
              <w:t>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9" w:hRule="atLeast"/>
          <w:jc w:val="center"/>
        </w:trPr>
        <w:tc>
          <w:tcPr>
            <w:tcW w:w="9980"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微软雅黑"/>
                <w:b/>
                <w:color w:val="000000"/>
                <w:sz w:val="28"/>
                <w:szCs w:val="28"/>
              </w:rPr>
            </w:pPr>
            <w:r>
              <w:rPr>
                <w:rFonts w:hint="default" w:ascii="Times New Roman" w:hAnsi="Times New Roman" w:eastAsia="微软雅黑"/>
                <w:b/>
                <w:color w:val="000000"/>
                <w:sz w:val="28"/>
                <w:szCs w:val="28"/>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4"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指标名称</w:t>
            </w:r>
          </w:p>
        </w:tc>
        <w:tc>
          <w:tcPr>
            <w:tcW w:w="10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计量单位</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指标性质</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指标值</w:t>
            </w:r>
          </w:p>
        </w:tc>
        <w:tc>
          <w:tcPr>
            <w:tcW w:w="84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全年完成值</w:t>
            </w:r>
          </w:p>
        </w:tc>
        <w:tc>
          <w:tcPr>
            <w:tcW w:w="84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偏离度（%）</w:t>
            </w:r>
          </w:p>
        </w:tc>
        <w:tc>
          <w:tcPr>
            <w:tcW w:w="6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得分系数（%）</w:t>
            </w:r>
          </w:p>
        </w:tc>
        <w:tc>
          <w:tcPr>
            <w:tcW w:w="6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指标权重</w:t>
            </w:r>
          </w:p>
        </w:tc>
        <w:tc>
          <w:tcPr>
            <w:tcW w:w="6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指标得分</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是否核心指标</w:t>
            </w:r>
          </w:p>
        </w:tc>
        <w:tc>
          <w:tcPr>
            <w:tcW w:w="107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b/>
                <w:color w:val="000000"/>
                <w:sz w:val="22"/>
                <w:szCs w:val="22"/>
              </w:rPr>
            </w:pPr>
            <w:r>
              <w:rPr>
                <w:rFonts w:hint="default" w:ascii="Times New Roman" w:hAnsi="Times New Roman"/>
                <w:b/>
                <w:color w:val="000000"/>
                <w:sz w:val="22"/>
                <w:szCs w:val="22"/>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7"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享受补助人数</w:t>
            </w:r>
          </w:p>
        </w:tc>
        <w:tc>
          <w:tcPr>
            <w:tcW w:w="1021"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人</w:t>
            </w:r>
          </w:p>
        </w:tc>
        <w:tc>
          <w:tcPr>
            <w:tcW w:w="1034"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1440"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73</w:t>
            </w:r>
          </w:p>
        </w:tc>
        <w:tc>
          <w:tcPr>
            <w:tcW w:w="84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73</w:t>
            </w:r>
          </w:p>
        </w:tc>
        <w:tc>
          <w:tcPr>
            <w:tcW w:w="84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w:t>
            </w:r>
          </w:p>
        </w:tc>
        <w:tc>
          <w:tcPr>
            <w:tcW w:w="62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667"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w:t>
            </w:r>
          </w:p>
        </w:tc>
        <w:tc>
          <w:tcPr>
            <w:tcW w:w="62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w:t>
            </w:r>
          </w:p>
        </w:tc>
        <w:tc>
          <w:tcPr>
            <w:tcW w:w="617"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是</w:t>
            </w:r>
          </w:p>
        </w:tc>
        <w:tc>
          <w:tcPr>
            <w:tcW w:w="1071"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6"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质量合格率</w:t>
            </w:r>
          </w:p>
        </w:tc>
        <w:tc>
          <w:tcPr>
            <w:tcW w:w="1021"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1034"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1440"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84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84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w:t>
            </w:r>
          </w:p>
        </w:tc>
        <w:tc>
          <w:tcPr>
            <w:tcW w:w="62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667"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w:t>
            </w:r>
          </w:p>
        </w:tc>
        <w:tc>
          <w:tcPr>
            <w:tcW w:w="62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w:t>
            </w:r>
          </w:p>
        </w:tc>
        <w:tc>
          <w:tcPr>
            <w:tcW w:w="617"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否</w:t>
            </w:r>
          </w:p>
        </w:tc>
        <w:tc>
          <w:tcPr>
            <w:tcW w:w="1071"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6"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及时支付率</w:t>
            </w:r>
          </w:p>
        </w:tc>
        <w:tc>
          <w:tcPr>
            <w:tcW w:w="1021"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1034"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1440"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95</w:t>
            </w:r>
          </w:p>
        </w:tc>
        <w:tc>
          <w:tcPr>
            <w:tcW w:w="84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95</w:t>
            </w:r>
          </w:p>
        </w:tc>
        <w:tc>
          <w:tcPr>
            <w:tcW w:w="84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w:t>
            </w:r>
          </w:p>
        </w:tc>
        <w:tc>
          <w:tcPr>
            <w:tcW w:w="62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667"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w:t>
            </w:r>
          </w:p>
        </w:tc>
        <w:tc>
          <w:tcPr>
            <w:tcW w:w="62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w:t>
            </w:r>
          </w:p>
        </w:tc>
        <w:tc>
          <w:tcPr>
            <w:tcW w:w="617"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否</w:t>
            </w:r>
          </w:p>
        </w:tc>
        <w:tc>
          <w:tcPr>
            <w:tcW w:w="1071"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7"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保障40年以上党员生活补助</w:t>
            </w:r>
          </w:p>
        </w:tc>
        <w:tc>
          <w:tcPr>
            <w:tcW w:w="1021"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c>
          <w:tcPr>
            <w:tcW w:w="1034"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定性</w:t>
            </w:r>
          </w:p>
        </w:tc>
        <w:tc>
          <w:tcPr>
            <w:tcW w:w="1440"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好</w:t>
            </w:r>
          </w:p>
        </w:tc>
        <w:tc>
          <w:tcPr>
            <w:tcW w:w="84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w:t>
            </w:r>
          </w:p>
        </w:tc>
        <w:tc>
          <w:tcPr>
            <w:tcW w:w="84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w:t>
            </w:r>
          </w:p>
        </w:tc>
        <w:tc>
          <w:tcPr>
            <w:tcW w:w="62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667"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w:t>
            </w:r>
          </w:p>
        </w:tc>
        <w:tc>
          <w:tcPr>
            <w:tcW w:w="62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w:t>
            </w:r>
          </w:p>
        </w:tc>
        <w:tc>
          <w:tcPr>
            <w:tcW w:w="617"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否</w:t>
            </w:r>
          </w:p>
        </w:tc>
        <w:tc>
          <w:tcPr>
            <w:tcW w:w="1071"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7"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服务对象满意度</w:t>
            </w:r>
          </w:p>
        </w:tc>
        <w:tc>
          <w:tcPr>
            <w:tcW w:w="1021"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1034"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1440"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95</w:t>
            </w:r>
          </w:p>
        </w:tc>
        <w:tc>
          <w:tcPr>
            <w:tcW w:w="84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94</w:t>
            </w:r>
          </w:p>
        </w:tc>
        <w:tc>
          <w:tcPr>
            <w:tcW w:w="84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1.05</w:t>
            </w:r>
          </w:p>
        </w:tc>
        <w:tc>
          <w:tcPr>
            <w:tcW w:w="62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89.5</w:t>
            </w:r>
          </w:p>
        </w:tc>
        <w:tc>
          <w:tcPr>
            <w:tcW w:w="667"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w:t>
            </w:r>
          </w:p>
        </w:tc>
        <w:tc>
          <w:tcPr>
            <w:tcW w:w="62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8.95</w:t>
            </w:r>
          </w:p>
        </w:tc>
        <w:tc>
          <w:tcPr>
            <w:tcW w:w="617"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否</w:t>
            </w:r>
          </w:p>
        </w:tc>
        <w:tc>
          <w:tcPr>
            <w:tcW w:w="1071"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40年以上老党员生活补贴</w:t>
            </w:r>
          </w:p>
        </w:tc>
        <w:tc>
          <w:tcPr>
            <w:tcW w:w="1021"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元</w:t>
            </w:r>
          </w:p>
        </w:tc>
        <w:tc>
          <w:tcPr>
            <w:tcW w:w="1034"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1440"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10840</w:t>
            </w:r>
          </w:p>
        </w:tc>
        <w:tc>
          <w:tcPr>
            <w:tcW w:w="84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10840</w:t>
            </w:r>
          </w:p>
        </w:tc>
        <w:tc>
          <w:tcPr>
            <w:tcW w:w="84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w:t>
            </w:r>
          </w:p>
        </w:tc>
        <w:tc>
          <w:tcPr>
            <w:tcW w:w="62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667"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w:t>
            </w:r>
          </w:p>
        </w:tc>
        <w:tc>
          <w:tcPr>
            <w:tcW w:w="62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w:t>
            </w:r>
          </w:p>
        </w:tc>
        <w:tc>
          <w:tcPr>
            <w:tcW w:w="617"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ascii="Times New Roman" w:hAnsi="Times New Roman"/>
                <w:color w:val="000000"/>
                <w:sz w:val="22"/>
                <w:szCs w:val="22"/>
              </w:rPr>
            </w:pPr>
            <w:r>
              <w:rPr>
                <w:rFonts w:hint="default" w:ascii="Times New Roman" w:hAnsi="Times New Roman"/>
                <w:color w:val="000000"/>
                <w:sz w:val="22"/>
                <w:szCs w:val="22"/>
              </w:rPr>
              <w:t>否</w:t>
            </w:r>
          </w:p>
        </w:tc>
        <w:tc>
          <w:tcPr>
            <w:tcW w:w="1071"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olor w:val="000000"/>
                <w:sz w:val="22"/>
                <w:szCs w:val="22"/>
              </w:rPr>
            </w:pPr>
          </w:p>
        </w:tc>
      </w:tr>
    </w:tbl>
    <w:p>
      <w:pPr>
        <w:pStyle w:val="2"/>
        <w:ind w:firstLine="480"/>
        <w:rPr>
          <w:rFonts w:hint="default" w:ascii="Times New Roman" w:hAnsi="Times New Roman" w:cs="Times New Roman"/>
          <w:color w:val="000000"/>
        </w:rPr>
      </w:pPr>
    </w:p>
    <w:p>
      <w:pPr>
        <w:pStyle w:val="2"/>
        <w:ind w:firstLine="0" w:firstLineChars="0"/>
        <w:rPr>
          <w:rFonts w:hint="default" w:ascii="Times New Roman" w:hAnsi="Times New Roman" w:cs="Times New Roman"/>
          <w:color w:val="000000"/>
        </w:rPr>
      </w:pPr>
    </w:p>
    <w:p>
      <w:pPr>
        <w:widowControl w:val="0"/>
        <w:ind w:firstLine="640" w:firstLineChars="200"/>
        <w:jc w:val="both"/>
        <w:rPr>
          <w:rFonts w:hint="default" w:ascii="Times New Roman" w:hAnsi="Times New Roman" w:eastAsia="方正仿宋_GBK"/>
          <w:color w:val="000000"/>
          <w:kern w:val="2"/>
          <w:sz w:val="32"/>
          <w:szCs w:val="32"/>
        </w:rPr>
        <w:sectPr>
          <w:footerReference r:id="rId4" w:type="default"/>
          <w:pgSz w:w="11915" w:h="16840"/>
          <w:pgMar w:top="1985" w:right="1446" w:bottom="1644" w:left="1446" w:header="851" w:footer="992" w:gutter="0"/>
          <w:pgNumType w:fmt="numberInDash"/>
          <w:cols w:space="720" w:num="1"/>
          <w:docGrid w:type="linesAndChars" w:linePitch="312" w:charSpace="0"/>
        </w:sectPr>
      </w:pPr>
    </w:p>
    <w:p>
      <w:pPr>
        <w:widowControl w:val="0"/>
        <w:ind w:firstLine="640" w:firstLineChars="200"/>
        <w:jc w:val="both"/>
        <w:rPr>
          <w:rFonts w:hint="default" w:ascii="方正楷体_GBK" w:hAnsi="Times New Roman" w:eastAsia="方正楷体_GBK"/>
          <w:color w:val="000000"/>
          <w:kern w:val="2"/>
          <w:sz w:val="32"/>
          <w:szCs w:val="32"/>
        </w:rPr>
      </w:pPr>
      <w:r>
        <w:rPr>
          <w:rFonts w:hint="default" w:ascii="方正楷体_GBK" w:hAnsi="Times New Roman" w:eastAsia="方正楷体_GBK"/>
          <w:color w:val="000000"/>
          <w:kern w:val="2"/>
          <w:sz w:val="32"/>
          <w:szCs w:val="32"/>
        </w:rPr>
        <w:t>（二）</w:t>
      </w:r>
      <w:r>
        <w:rPr>
          <w:rFonts w:ascii="方正楷体_GBK" w:hAnsi="Times New Roman" w:eastAsia="方正楷体_GBK"/>
          <w:color w:val="000000"/>
          <w:kern w:val="2"/>
          <w:sz w:val="32"/>
          <w:szCs w:val="32"/>
        </w:rPr>
        <w:t>部门</w:t>
      </w:r>
      <w:r>
        <w:rPr>
          <w:rFonts w:hint="default" w:ascii="方正楷体_GBK" w:hAnsi="Times New Roman" w:eastAsia="方正楷体_GBK"/>
          <w:color w:val="000000"/>
          <w:kern w:val="2"/>
          <w:sz w:val="32"/>
          <w:szCs w:val="32"/>
        </w:rPr>
        <w:t>绩效评价情况</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本</w:t>
      </w:r>
      <w:r>
        <w:rPr>
          <w:rFonts w:ascii="Times New Roman" w:hAnsi="Times New Roman" w:eastAsia="方正仿宋_GBK"/>
          <w:color w:val="000000"/>
          <w:kern w:val="2"/>
          <w:sz w:val="32"/>
          <w:szCs w:val="32"/>
        </w:rPr>
        <w:t>部门</w:t>
      </w:r>
      <w:r>
        <w:rPr>
          <w:rFonts w:hint="default" w:ascii="Times New Roman" w:hAnsi="Times New Roman" w:eastAsia="方正仿宋_GBK"/>
          <w:color w:val="000000"/>
          <w:kern w:val="2"/>
          <w:sz w:val="32"/>
          <w:szCs w:val="32"/>
        </w:rPr>
        <w:t>未组织开展绩效评价。</w:t>
      </w:r>
    </w:p>
    <w:p>
      <w:pPr>
        <w:widowControl w:val="0"/>
        <w:ind w:firstLine="640" w:firstLineChars="200"/>
        <w:jc w:val="both"/>
        <w:rPr>
          <w:rFonts w:hint="default" w:ascii="方正楷体_GBK" w:hAnsi="Times New Roman" w:eastAsia="方正楷体_GBK"/>
          <w:color w:val="000000"/>
          <w:kern w:val="2"/>
          <w:sz w:val="32"/>
          <w:szCs w:val="32"/>
        </w:rPr>
      </w:pPr>
      <w:r>
        <w:rPr>
          <w:rFonts w:hint="default" w:ascii="方正楷体_GBK" w:hAnsi="Times New Roman" w:eastAsia="方正楷体_GBK"/>
          <w:color w:val="000000"/>
          <w:kern w:val="2"/>
          <w:sz w:val="32"/>
          <w:szCs w:val="32"/>
        </w:rPr>
        <w:t>（三）财政绩效评价情况</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县财政局未委托第三方对</w:t>
      </w:r>
      <w:r>
        <w:rPr>
          <w:rFonts w:ascii="Times New Roman" w:hAnsi="Times New Roman" w:eastAsia="方正仿宋_GBK"/>
          <w:color w:val="000000"/>
          <w:kern w:val="2"/>
          <w:sz w:val="32"/>
          <w:szCs w:val="32"/>
        </w:rPr>
        <w:t>本部门</w:t>
      </w:r>
      <w:r>
        <w:rPr>
          <w:rFonts w:hint="default" w:ascii="Times New Roman" w:hAnsi="Times New Roman" w:eastAsia="方正仿宋_GBK"/>
          <w:color w:val="000000"/>
          <w:kern w:val="2"/>
          <w:sz w:val="32"/>
          <w:szCs w:val="32"/>
        </w:rPr>
        <w:t>开展绩效评价。</w:t>
      </w:r>
    </w:p>
    <w:p>
      <w:pPr>
        <w:widowControl w:val="0"/>
        <w:ind w:firstLine="640" w:firstLineChars="200"/>
        <w:jc w:val="both"/>
        <w:rPr>
          <w:rFonts w:hint="default" w:ascii="方正黑体_GBK" w:hAnsi="Times New Roman" w:eastAsia="方正黑体_GBK"/>
          <w:color w:val="000000"/>
          <w:kern w:val="2"/>
          <w:sz w:val="32"/>
          <w:szCs w:val="32"/>
        </w:rPr>
      </w:pPr>
      <w:r>
        <w:rPr>
          <w:rFonts w:ascii="方正黑体_GBK" w:hAnsi="Times New Roman" w:eastAsia="方正黑体_GBK"/>
          <w:color w:val="000000"/>
          <w:kern w:val="2"/>
          <w:sz w:val="32"/>
          <w:szCs w:val="32"/>
        </w:rPr>
        <w:t>六、专业名词解释</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方正楷体_GBK" w:hAnsi="Times New Roman" w:eastAsia="方正楷体_GBK"/>
          <w:color w:val="000000"/>
          <w:kern w:val="2"/>
          <w:sz w:val="32"/>
          <w:szCs w:val="32"/>
        </w:rPr>
        <w:t>（一）财政拨款收入：</w:t>
      </w:r>
      <w:r>
        <w:rPr>
          <w:rFonts w:hint="default" w:ascii="Times New Roman" w:hAnsi="Times New Roman" w:eastAsia="方正仿宋_GBK"/>
          <w:color w:val="000000"/>
          <w:kern w:val="2"/>
          <w:sz w:val="32"/>
          <w:szCs w:val="32"/>
        </w:rPr>
        <w:t>指本年度从本级财政部门取得的财政拨款，包括一般公共预算财政拨款和政府性基金预算财政拨款。</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（二）事业收入</w:t>
      </w:r>
      <w:r>
        <w:rPr>
          <w:rFonts w:hint="default" w:ascii="方正楷体_GBK" w:hAnsi="Times New Roman" w:eastAsia="方正楷体_GBK"/>
          <w:color w:val="000000"/>
          <w:kern w:val="2"/>
          <w:sz w:val="32"/>
          <w:szCs w:val="32"/>
        </w:rPr>
        <w:t>：</w:t>
      </w:r>
      <w:r>
        <w:rPr>
          <w:rFonts w:hint="default" w:ascii="Times New Roman" w:hAnsi="Times New Roman" w:eastAsia="方正仿宋_GBK"/>
          <w:color w:val="000000"/>
          <w:kern w:val="2"/>
          <w:sz w:val="32"/>
          <w:szCs w:val="32"/>
        </w:rPr>
        <w:t>指事业单位开展专业业务活动及其辅助活动取得的现金流入；事业单位收到的财政专户实际核拨的教育收费等资金在此反映。</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（三）经营收入</w:t>
      </w:r>
      <w:r>
        <w:rPr>
          <w:rFonts w:hint="default" w:ascii="方正楷体_GBK" w:hAnsi="Times New Roman" w:eastAsia="方正楷体_GBK"/>
          <w:color w:val="000000"/>
          <w:kern w:val="2"/>
          <w:sz w:val="32"/>
          <w:szCs w:val="32"/>
        </w:rPr>
        <w:t>：</w:t>
      </w:r>
      <w:r>
        <w:rPr>
          <w:rFonts w:hint="default" w:ascii="Times New Roman" w:hAnsi="Times New Roman" w:eastAsia="方正仿宋_GBK"/>
          <w:color w:val="000000"/>
          <w:kern w:val="2"/>
          <w:sz w:val="32"/>
          <w:szCs w:val="32"/>
        </w:rPr>
        <w:t>指事业单位在专业业务活动及其辅助活动之外开展非独立核算经营活动取得的现金流入。</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（四）其他收入</w:t>
      </w:r>
      <w:r>
        <w:rPr>
          <w:rFonts w:hint="default" w:ascii="方正楷体_GBK" w:hAnsi="Times New Roman" w:eastAsia="方正楷体_GBK"/>
          <w:color w:val="000000"/>
          <w:kern w:val="2"/>
          <w:sz w:val="32"/>
          <w:szCs w:val="32"/>
        </w:rPr>
        <w:t>：</w:t>
      </w:r>
      <w:r>
        <w:rPr>
          <w:rFonts w:hint="default" w:ascii="Times New Roman" w:hAnsi="Times New Roman" w:eastAsia="方正仿宋_GBK"/>
          <w:color w:val="000000"/>
          <w:kern w:val="2"/>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（五）使用非财政拨款结余</w:t>
      </w:r>
      <w:r>
        <w:rPr>
          <w:rFonts w:hint="default" w:ascii="方正楷体_GBK" w:hAnsi="Times New Roman" w:eastAsia="方正楷体_GBK"/>
          <w:color w:val="000000"/>
          <w:kern w:val="2"/>
          <w:sz w:val="32"/>
          <w:szCs w:val="32"/>
        </w:rPr>
        <w:t>：</w:t>
      </w:r>
      <w:r>
        <w:rPr>
          <w:rFonts w:hint="default" w:ascii="Times New Roman" w:hAnsi="Times New Roman" w:eastAsia="方正仿宋_GBK"/>
          <w:color w:val="000000"/>
          <w:kern w:val="2"/>
          <w:sz w:val="32"/>
          <w:szCs w:val="32"/>
        </w:rPr>
        <w:t>指单位在当年的“财政拨款收入”、“事业收入”、“经营收入”、“其他收入”等不足以安排当年支出的情况下，使用以前年度积累的非财政拨款结余弥补本年度收支缺口的资金。</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（六）年初结转和结余</w:t>
      </w:r>
      <w:r>
        <w:rPr>
          <w:rFonts w:hint="default" w:ascii="方正楷体_GBK" w:hAnsi="Times New Roman" w:eastAsia="方正楷体_GBK"/>
          <w:color w:val="000000"/>
          <w:kern w:val="2"/>
          <w:sz w:val="32"/>
          <w:szCs w:val="32"/>
        </w:rPr>
        <w:t>：</w:t>
      </w:r>
      <w:r>
        <w:rPr>
          <w:rFonts w:hint="default" w:ascii="Times New Roman" w:hAnsi="Times New Roman" w:eastAsia="方正仿宋_GBK"/>
          <w:color w:val="000000"/>
          <w:kern w:val="2"/>
          <w:sz w:val="32"/>
          <w:szCs w:val="32"/>
        </w:rPr>
        <w:t>指单位上年结转本年使用的基本支出结转、项目支出结转和结余、经营结余。</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（七）结余分配</w:t>
      </w:r>
      <w:r>
        <w:rPr>
          <w:rFonts w:hint="default" w:ascii="方正楷体_GBK" w:hAnsi="Times New Roman" w:eastAsia="方正楷体_GBK"/>
          <w:color w:val="000000"/>
          <w:kern w:val="2"/>
          <w:sz w:val="32"/>
          <w:szCs w:val="32"/>
        </w:rPr>
        <w:t>：</w:t>
      </w:r>
      <w:r>
        <w:rPr>
          <w:rFonts w:hint="default" w:ascii="Times New Roman" w:hAnsi="Times New Roman" w:eastAsia="方正仿宋_GBK"/>
          <w:color w:val="000000"/>
          <w:kern w:val="2"/>
          <w:sz w:val="32"/>
          <w:szCs w:val="32"/>
        </w:rPr>
        <w:t>指单位按照国家有关规定，缴纳所得税、提取专用基金、转入非财政拨款结余等当年结余的分配情况。</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（八）年末结转和结余</w:t>
      </w:r>
      <w:r>
        <w:rPr>
          <w:rFonts w:hint="default" w:ascii="方正楷体_GBK" w:hAnsi="Times New Roman" w:eastAsia="方正楷体_GBK"/>
          <w:color w:val="000000"/>
          <w:kern w:val="2"/>
          <w:sz w:val="32"/>
          <w:szCs w:val="32"/>
        </w:rPr>
        <w:t>：</w:t>
      </w:r>
      <w:r>
        <w:rPr>
          <w:rFonts w:hint="default" w:ascii="Times New Roman" w:hAnsi="Times New Roman" w:eastAsia="方正仿宋_GBK"/>
          <w:color w:val="000000"/>
          <w:kern w:val="2"/>
          <w:sz w:val="32"/>
          <w:szCs w:val="32"/>
        </w:rPr>
        <w:t>指单位结转下年的基本支出结转、项目支出结转和结余、经营结余。</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（九）基本支出</w:t>
      </w:r>
      <w:r>
        <w:rPr>
          <w:rFonts w:hint="default" w:ascii="方正楷体_GBK" w:hAnsi="Times New Roman" w:eastAsia="方正楷体_GBK"/>
          <w:color w:val="000000"/>
          <w:kern w:val="2"/>
          <w:sz w:val="32"/>
          <w:szCs w:val="32"/>
        </w:rPr>
        <w:t>：</w:t>
      </w:r>
      <w:r>
        <w:rPr>
          <w:rFonts w:hint="default" w:ascii="Times New Roman" w:hAnsi="Times New Roman" w:eastAsia="方正仿宋_GBK"/>
          <w:color w:val="000000"/>
          <w:kern w:val="2"/>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（十）项目支出</w:t>
      </w:r>
      <w:r>
        <w:rPr>
          <w:rFonts w:hint="default" w:ascii="方正楷体_GBK" w:hAnsi="Times New Roman" w:eastAsia="方正楷体_GBK"/>
          <w:color w:val="000000"/>
          <w:kern w:val="2"/>
          <w:sz w:val="32"/>
          <w:szCs w:val="32"/>
        </w:rPr>
        <w:t>：</w:t>
      </w:r>
      <w:r>
        <w:rPr>
          <w:rFonts w:hint="default" w:ascii="Times New Roman" w:hAnsi="Times New Roman" w:eastAsia="方正仿宋_GBK"/>
          <w:color w:val="000000"/>
          <w:kern w:val="2"/>
          <w:sz w:val="32"/>
          <w:szCs w:val="32"/>
        </w:rPr>
        <w:t>指在基本支出之外为完成特定行政任务和事业发展目标所发生的支出。</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（十一）经营支出</w:t>
      </w:r>
      <w:r>
        <w:rPr>
          <w:rFonts w:hint="default" w:ascii="方正楷体_GBK" w:hAnsi="Times New Roman" w:eastAsia="方正楷体_GBK"/>
          <w:color w:val="000000"/>
          <w:kern w:val="2"/>
          <w:sz w:val="32"/>
          <w:szCs w:val="32"/>
        </w:rPr>
        <w:t>：</w:t>
      </w:r>
      <w:r>
        <w:rPr>
          <w:rFonts w:hint="default" w:ascii="Times New Roman" w:hAnsi="Times New Roman" w:eastAsia="方正仿宋_GBK"/>
          <w:color w:val="000000"/>
          <w:kern w:val="2"/>
          <w:sz w:val="32"/>
          <w:szCs w:val="32"/>
        </w:rPr>
        <w:t>指事业单位在专业业务活动及其辅助活动之外开展非独立核算经营活动发生的支出。</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（十二）“三公”经费</w:t>
      </w:r>
      <w:r>
        <w:rPr>
          <w:rFonts w:hint="default" w:ascii="方正楷体_GBK" w:hAnsi="Times New Roman" w:eastAsia="方正楷体_GBK"/>
          <w:color w:val="000000"/>
          <w:kern w:val="2"/>
          <w:sz w:val="32"/>
          <w:szCs w:val="32"/>
        </w:rPr>
        <w:t>：</w:t>
      </w:r>
      <w:r>
        <w:rPr>
          <w:rFonts w:hint="default" w:ascii="Times New Roman" w:hAnsi="Times New Roman" w:eastAsia="方正仿宋_GBK"/>
          <w:color w:val="000000"/>
          <w:kern w:val="2"/>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（十三）机关运行经费</w:t>
      </w:r>
      <w:r>
        <w:rPr>
          <w:rFonts w:hint="default" w:ascii="方正楷体_GBK" w:hAnsi="Times New Roman" w:eastAsia="方正楷体_GBK"/>
          <w:color w:val="000000"/>
          <w:kern w:val="2"/>
          <w:sz w:val="32"/>
          <w:szCs w:val="32"/>
        </w:rPr>
        <w:t>：</w:t>
      </w:r>
      <w:r>
        <w:rPr>
          <w:rFonts w:hint="default" w:ascii="Times New Roman" w:hAnsi="Times New Roman" w:eastAsia="方正仿宋_GBK"/>
          <w:color w:val="000000"/>
          <w:kern w:val="2"/>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（十四）工资福利支出（支出经济分类科目类级）</w:t>
      </w:r>
      <w:r>
        <w:rPr>
          <w:rFonts w:hint="default" w:ascii="方正楷体_GBK" w:hAnsi="Times New Roman" w:eastAsia="方正楷体_GBK"/>
          <w:color w:val="000000"/>
          <w:kern w:val="2"/>
          <w:sz w:val="32"/>
          <w:szCs w:val="32"/>
        </w:rPr>
        <w:t>：</w:t>
      </w:r>
      <w:r>
        <w:rPr>
          <w:rFonts w:hint="default" w:ascii="Times New Roman" w:hAnsi="Times New Roman" w:eastAsia="方正仿宋_GBK"/>
          <w:color w:val="000000"/>
          <w:kern w:val="2"/>
          <w:sz w:val="32"/>
          <w:szCs w:val="32"/>
        </w:rPr>
        <w:t>反映单位开支的在职职工和编制外长期聘用人员的各类劳动报酬，以及为上述人员缴纳的各项社会保险费等。</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（十五）商品和服务支出（支出经济分类科目类级）：</w:t>
      </w:r>
      <w:r>
        <w:rPr>
          <w:rFonts w:hint="default" w:ascii="Times New Roman" w:hAnsi="Times New Roman" w:eastAsia="方正仿宋_GBK"/>
          <w:color w:val="000000"/>
          <w:kern w:val="2"/>
          <w:sz w:val="32"/>
          <w:szCs w:val="32"/>
        </w:rPr>
        <w:t>反映单位购买商品和服务的支出（不包括用于购置固定资产的支出、战略性和应急储备支出）。</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（十六）对个人和家庭的补助（支出经济分类科目类级）</w:t>
      </w:r>
      <w:r>
        <w:rPr>
          <w:rFonts w:hint="default" w:ascii="方正楷体_GBK" w:hAnsi="Times New Roman" w:eastAsia="方正楷体_GBK"/>
          <w:color w:val="000000"/>
          <w:kern w:val="2"/>
          <w:sz w:val="32"/>
          <w:szCs w:val="32"/>
        </w:rPr>
        <w:t>：</w:t>
      </w:r>
      <w:r>
        <w:rPr>
          <w:rFonts w:hint="default" w:ascii="Times New Roman" w:hAnsi="Times New Roman" w:eastAsia="方正仿宋_GBK"/>
          <w:color w:val="000000"/>
          <w:kern w:val="2"/>
          <w:sz w:val="32"/>
          <w:szCs w:val="32"/>
        </w:rPr>
        <w:t>反映用于对个人和家庭的补助支出。</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（十七）其他资本性支出（支出经济分类科目类级）：</w:t>
      </w:r>
      <w:r>
        <w:rPr>
          <w:rFonts w:hint="default" w:ascii="Times New Roman" w:hAnsi="Times New Roman" w:eastAsia="方正仿宋_GBK"/>
          <w:color w:val="000000"/>
          <w:kern w:val="2"/>
          <w:sz w:val="32"/>
          <w:szCs w:val="32"/>
        </w:rPr>
        <w:t>反映非各级发展与改革部门集中安排的用于购置固定资产、战略性和应急性储备、土地和无形资产，以及构建基础设施、大型修缮和财政支持企业更新改造所发生的支出。</w:t>
      </w:r>
    </w:p>
    <w:p>
      <w:pPr>
        <w:widowControl w:val="0"/>
        <w:ind w:firstLine="640" w:firstLineChars="200"/>
        <w:jc w:val="both"/>
        <w:rPr>
          <w:rFonts w:hint="default" w:ascii="方正黑体_GBK" w:hAnsi="Times New Roman" w:eastAsia="方正黑体_GBK"/>
          <w:color w:val="000000"/>
          <w:kern w:val="2"/>
          <w:sz w:val="32"/>
          <w:szCs w:val="32"/>
        </w:rPr>
      </w:pPr>
      <w:r>
        <w:rPr>
          <w:rFonts w:ascii="方正黑体_GBK" w:hAnsi="Times New Roman" w:eastAsia="方正黑体_GBK"/>
          <w:color w:val="000000"/>
          <w:kern w:val="2"/>
          <w:sz w:val="32"/>
          <w:szCs w:val="32"/>
        </w:rPr>
        <w:t>七、决算公开联系方式及信息反馈渠道</w:t>
      </w:r>
    </w:p>
    <w:p>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本部门</w:t>
      </w:r>
      <w:r>
        <w:rPr>
          <w:rFonts w:hint="default" w:ascii="Times New Roman" w:hAnsi="Times New Roman" w:eastAsia="方正仿宋_GBK"/>
          <w:color w:val="000000"/>
          <w:kern w:val="2"/>
          <w:sz w:val="32"/>
          <w:szCs w:val="32"/>
        </w:rPr>
        <w:t>决算公开信息反馈和联系方式：023-74691235。</w:t>
      </w:r>
    </w:p>
    <w:p>
      <w:pPr>
        <w:pStyle w:val="2"/>
        <w:ind w:firstLine="640"/>
        <w:rPr>
          <w:rFonts w:hint="default" w:ascii="Times New Roman" w:hAnsi="Times New Roman" w:eastAsia="方正仿宋_GBK"/>
          <w:color w:val="000000"/>
          <w:kern w:val="2"/>
          <w:sz w:val="32"/>
          <w:szCs w:val="32"/>
        </w:rPr>
      </w:pPr>
    </w:p>
    <w:p>
      <w:pPr>
        <w:ind w:firstLine="640" w:firstLineChars="200"/>
        <w:rPr>
          <w:rFonts w:hint="default" w:ascii="Times New Roman" w:hAnsi="Times New Roman" w:eastAsia="方正仿宋_GBK"/>
          <w:color w:val="000000"/>
          <w:kern w:val="2"/>
          <w:sz w:val="32"/>
          <w:szCs w:val="32"/>
        </w:rPr>
      </w:pPr>
    </w:p>
    <w:p>
      <w:pPr>
        <w:pStyle w:val="2"/>
        <w:ind w:firstLine="0" w:firstLineChars="0"/>
        <w:rPr>
          <w:rFonts w:hint="default"/>
        </w:rPr>
      </w:pPr>
    </w:p>
    <w:p>
      <w:pPr>
        <w:pStyle w:val="2"/>
        <w:ind w:firstLine="480"/>
        <w:rPr>
          <w:rFonts w:hint="default"/>
          <w:color w:val="000000"/>
        </w:rPr>
      </w:pPr>
    </w:p>
    <w:p>
      <w:pPr>
        <w:rPr>
          <w:rFonts w:hint="default"/>
          <w:color w:val="000000"/>
        </w:rPr>
        <w:sectPr>
          <w:pgSz w:w="11915" w:h="16840"/>
          <w:pgMar w:top="1985" w:right="1446" w:bottom="1644" w:left="1446"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4294"/>
        <w:gridCol w:w="3558"/>
        <w:gridCol w:w="4044"/>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32" w:hRule="atLeast"/>
        </w:trPr>
        <w:tc>
          <w:tcPr>
            <w:tcW w:w="14737" w:type="dxa"/>
            <w:gridSpan w:val="4"/>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32" w:hRule="atLeast"/>
        </w:trPr>
        <w:tc>
          <w:tcPr>
            <w:tcW w:w="4294"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20"/>
                <w:szCs w:val="20"/>
              </w:rPr>
            </w:pPr>
          </w:p>
        </w:tc>
        <w:tc>
          <w:tcPr>
            <w:tcW w:w="3558" w:type="dxa"/>
            <w:tcBorders>
              <w:top w:val="nil"/>
              <w:left w:val="nil"/>
              <w:bottom w:val="nil"/>
              <w:right w:val="nil"/>
            </w:tcBorders>
            <w:tcMar>
              <w:top w:w="15" w:type="dxa"/>
              <w:left w:w="15" w:type="dxa"/>
              <w:right w:w="15" w:type="dxa"/>
            </w:tcMar>
            <w:vAlign w:val="bottom"/>
          </w:tcPr>
          <w:p>
            <w:pPr>
              <w:spacing w:line="200" w:lineRule="exact"/>
              <w:jc w:val="right"/>
              <w:rPr>
                <w:rFonts w:hint="default" w:ascii="Times New Roman" w:hAnsi="Times New Roman"/>
                <w:color w:val="000000"/>
                <w:sz w:val="20"/>
                <w:szCs w:val="20"/>
              </w:rPr>
            </w:pPr>
          </w:p>
        </w:tc>
        <w:tc>
          <w:tcPr>
            <w:tcW w:w="4044"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20"/>
                <w:szCs w:val="20"/>
              </w:rPr>
            </w:pPr>
          </w:p>
        </w:tc>
        <w:tc>
          <w:tcPr>
            <w:tcW w:w="284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32" w:hRule="atLeast"/>
        </w:trPr>
        <w:tc>
          <w:tcPr>
            <w:tcW w:w="7852" w:type="dxa"/>
            <w:gridSpan w:val="2"/>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22"/>
                <w:szCs w:val="22"/>
              </w:rPr>
            </w:pPr>
            <w:r>
              <w:rPr>
                <w:rFonts w:hint="default" w:ascii="Times New Roman" w:hAnsi="Times New Roman"/>
                <w:color w:val="000000"/>
                <w:sz w:val="20"/>
                <w:szCs w:val="20"/>
              </w:rPr>
              <w:t>部门：</w:t>
            </w:r>
            <w:r>
              <w:rPr>
                <w:rFonts w:hint="default" w:ascii="Times New Roman" w:hAnsi="Times New Roman"/>
                <w:color w:val="000000"/>
                <w:sz w:val="20"/>
              </w:rPr>
              <w:t>垫江县人民政府桂溪街道办事处</w:t>
            </w:r>
          </w:p>
        </w:tc>
        <w:tc>
          <w:tcPr>
            <w:tcW w:w="4044"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22"/>
                <w:szCs w:val="22"/>
              </w:rPr>
            </w:pPr>
          </w:p>
        </w:tc>
        <w:tc>
          <w:tcPr>
            <w:tcW w:w="284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10,140.15</w:t>
            </w: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1,970.56</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158.26</w:t>
            </w: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二、外交支出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三、国防支出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四、上级补助收入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四、公共安全支出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五、事业收入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五、教育支出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六、经营收入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六、科学技术支出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八、其他收入</w:t>
            </w:r>
          </w:p>
        </w:tc>
        <w:tc>
          <w:tcPr>
            <w:tcW w:w="3558" w:type="dxa"/>
            <w:tcBorders>
              <w:top w:val="nil"/>
              <w:left w:val="nil"/>
              <w:bottom w:val="nil"/>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774.81</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九、卫生健康支出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119.71</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十、节能环保支出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99.88</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356.68</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十二、农林水支出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1,731.89</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465.11</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4,610.77</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92.32</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十六、金融支出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97.22</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二十三、其他支出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本年收入合计</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10,298.40</w:t>
            </w: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本年支出合计</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10,389.23</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结余分配</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年初结转和结余</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90.82</w:t>
            </w: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年末结转和结余</w:t>
            </w:r>
          </w:p>
        </w:tc>
        <w:tc>
          <w:tcPr>
            <w:tcW w:w="2841" w:type="dxa"/>
            <w:tcBorders>
              <w:top w:val="nil"/>
              <w:left w:val="nil"/>
              <w:bottom w:val="single" w:color="auto"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10,389.23</w:t>
            </w: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10,389.23</w:t>
            </w:r>
            <w:r>
              <w:rPr>
                <w:rFonts w:hint="default" w:ascii="Times New Roman" w:hAnsi="Times New Roman"/>
                <w:color w:val="000000"/>
                <w:sz w:val="20"/>
              </w:rPr>
              <w:t xml:space="preserve"> </w:t>
            </w:r>
          </w:p>
        </w:tc>
      </w:tr>
    </w:tbl>
    <w:p>
      <w:pPr>
        <w:rPr>
          <w:rFonts w:hint="default" w:ascii="Times New Roman" w:hAnsi="Times New Roman"/>
          <w:color w:val="000000"/>
          <w:sz w:val="21"/>
          <w:szCs w:val="21"/>
        </w:rPr>
      </w:pPr>
    </w:p>
    <w:p>
      <w:pPr>
        <w:spacing w:line="240" w:lineRule="exact"/>
        <w:rPr>
          <w:rFonts w:hint="default" w:ascii="Times New Roman" w:hAnsi="Times New Roman"/>
          <w:color w:val="000000"/>
          <w:sz w:val="20"/>
          <w:szCs w:val="20"/>
        </w:rPr>
      </w:pPr>
      <w:r>
        <w:rPr>
          <w:rFonts w:hint="default" w:ascii="Times New Roman" w:hAnsi="Times New Roman"/>
          <w:color w:val="000000"/>
          <w:sz w:val="20"/>
          <w:szCs w:val="20"/>
        </w:rPr>
        <w:t>备注：1.本表反映部门本年度的总收支和年末结转结余情况。</w:t>
      </w:r>
      <w:r>
        <w:rPr>
          <w:rFonts w:hint="default" w:ascii="Times New Roman" w:hAnsi="Times New Roman"/>
          <w:color w:val="000000"/>
          <w:sz w:val="20"/>
          <w:szCs w:val="20"/>
        </w:rPr>
        <w:br/>
      </w:r>
      <w:r>
        <w:rPr>
          <w:rFonts w:hint="default" w:ascii="Times New Roman" w:hAnsi="Times New Roman"/>
          <w:color w:val="000000"/>
          <w:sz w:val="20"/>
          <w:szCs w:val="20"/>
        </w:rPr>
        <w:t xml:space="preserve">      2.本套报表金额单位转换时可能存在尾数误差。</w:t>
      </w:r>
      <w:r>
        <w:rPr>
          <w:rFonts w:hint="default" w:ascii="Times New Roman" w:hAnsi="Times New Roman"/>
          <w:color w:val="000000"/>
          <w:sz w:val="20"/>
          <w:szCs w:val="20"/>
        </w:rPr>
        <w:br/>
      </w:r>
      <w:r>
        <w:rPr>
          <w:rFonts w:hint="default" w:ascii="Times New Roman" w:hAnsi="Times New Roman"/>
          <w:color w:val="000000"/>
          <w:sz w:val="20"/>
          <w:szCs w:val="20"/>
        </w:rPr>
        <w:br/>
      </w:r>
    </w:p>
    <w:tbl>
      <w:tblPr>
        <w:tblStyle w:val="10"/>
        <w:tblW w:w="155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436"/>
        <w:gridCol w:w="3116"/>
        <w:gridCol w:w="1349"/>
        <w:gridCol w:w="1408"/>
        <w:gridCol w:w="1228"/>
        <w:gridCol w:w="1228"/>
        <w:gridCol w:w="1361"/>
        <w:gridCol w:w="1299"/>
        <w:gridCol w:w="1432"/>
        <w:gridCol w:w="1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41" w:hRule="atLeast"/>
        </w:trPr>
        <w:tc>
          <w:tcPr>
            <w:tcW w:w="15503" w:type="dxa"/>
            <w:gridSpan w:val="10"/>
            <w:tcBorders>
              <w:top w:val="nil"/>
              <w:left w:val="nil"/>
              <w:bottom w:val="nil"/>
              <w:right w:val="nil"/>
            </w:tcBorders>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28" w:hRule="atLeast"/>
        </w:trPr>
        <w:tc>
          <w:tcPr>
            <w:tcW w:w="5901" w:type="dxa"/>
            <w:gridSpan w:val="3"/>
            <w:vMerge w:val="restart"/>
            <w:tcBorders>
              <w:top w:val="nil"/>
              <w:left w:val="nil"/>
              <w:right w:val="nil"/>
            </w:tcBorders>
            <w:tcMar>
              <w:top w:w="15" w:type="dxa"/>
              <w:left w:w="15" w:type="dxa"/>
              <w:right w:w="15" w:type="dxa"/>
            </w:tcMar>
            <w:vAlign w:val="bottom"/>
          </w:tcPr>
          <w:p>
            <w:pPr>
              <w:rPr>
                <w:rFonts w:hint="default" w:ascii="Times New Roman" w:hAnsi="Times New Roman"/>
                <w:color w:val="000000"/>
                <w:sz w:val="20"/>
                <w:szCs w:val="20"/>
              </w:rPr>
            </w:pPr>
            <w:r>
              <w:rPr>
                <w:rFonts w:hint="default" w:ascii="Times New Roman" w:hAnsi="Times New Roman"/>
                <w:color w:val="000000"/>
                <w:sz w:val="20"/>
                <w:szCs w:val="20"/>
              </w:rPr>
              <w:t>部门：</w:t>
            </w:r>
            <w:r>
              <w:rPr>
                <w:rFonts w:hint="default" w:ascii="Times New Roman" w:hAnsi="Times New Roman"/>
                <w:color w:val="000000"/>
                <w:sz w:val="20"/>
              </w:rPr>
              <w:t>垫江县人民政府桂溪街道办事处</w:t>
            </w:r>
          </w:p>
        </w:tc>
        <w:tc>
          <w:tcPr>
            <w:tcW w:w="1408"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228"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228"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361"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299"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432"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646" w:type="dxa"/>
            <w:tcBorders>
              <w:top w:val="nil"/>
              <w:left w:val="nil"/>
              <w:bottom w:val="nil"/>
              <w:right w:val="nil"/>
            </w:tcBorders>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28" w:hRule="atLeast"/>
        </w:trPr>
        <w:tc>
          <w:tcPr>
            <w:tcW w:w="5901" w:type="dxa"/>
            <w:gridSpan w:val="3"/>
            <w:vMerge w:val="continue"/>
            <w:tcBorders>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408"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228"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228"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361"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299"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432"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646" w:type="dxa"/>
            <w:tcBorders>
              <w:top w:val="nil"/>
              <w:left w:val="nil"/>
              <w:bottom w:val="nil"/>
              <w:right w:val="nil"/>
            </w:tcBorders>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116"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116"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116"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116"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34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10,298.40</w:t>
            </w:r>
            <w:r>
              <w:rPr>
                <w:rFonts w:hint="default"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10,298.40</w:t>
            </w:r>
            <w:r>
              <w:rPr>
                <w:rFonts w:hint="default"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1,970.56</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1,970.56</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人大事务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27.91</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27.91</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2010107</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人大代表履职能力提升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2010108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代表工作</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23.66</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23.66</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20103</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1,887.17</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1,887.17</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2010301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1,062.61</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1,062.61</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2010302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704.19</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704.19</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2010350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120.37</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120.37</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统计信息事务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16.09</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16.09</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2010507</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专项普查活动</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16.09</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16.09</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20111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纪检监察事务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2011199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其他纪检监察事务支出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20113</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商贸事务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2011308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招商引资</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党委办公厅（室）及相关机构事务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2013102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2013202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其他共产党事务支出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2013699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其他共产党事务支出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市场监督管理事务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2013802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公共安全支出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20402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公安</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2040202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文化旅游体育与传媒支出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26.30</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20701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文化和旅游</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26.30</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2070109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群众文化</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23.47</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23.47</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2070199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其他文化和旅游支出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774.81</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774.81</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111.71</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111.71</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2080150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111.71</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111.71</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478.86</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478.86</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215.05</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215.05</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107.94</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107.94</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155.87</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155.87</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抚恤</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36.88</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36.88</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2080801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死亡抚恤</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25.15</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25.15</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2080899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其他优抚支出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退役安置</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2080999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其他退役安置支出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20810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社会福利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76.30</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2081006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养老服务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76.30</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20811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残疾人事业</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2081106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残疾人体育</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2081199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其他残疾人事业支出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20820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临时救助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2082001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临时救助支出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20825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其他生活救助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2082501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其他城市生活救助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20828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49.40</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2082804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拥军优属</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2082850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44.99</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44.99</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2082899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其他退役军人事务管理支出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119.71</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119.71</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21004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公共卫生</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2100410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突发公共卫生事件应急处置</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21007</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计划生育事务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2100799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其他计划生育事务支出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99.56</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99.56</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46.54</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46.54</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53.03</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53.03</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优抚对象医疗</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2101401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优抚对象医疗补助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医疗保障管理事务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2101506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医疗保障经办事务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节能环保支出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99.88</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99.88</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21103</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污染防治</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98.38</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98.38</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2110301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大气</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98.38</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98.38</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21105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森林保护修复</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2110501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森林管护</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307.52</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307.52</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154.53</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154.53</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2120104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城管执法</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154.53</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154.53</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152.99</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152.99</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2120801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征地和拆迁补偿支出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58.83</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58.83</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2120804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农村基础设施建设支出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2120814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农业生产发展支出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28.41</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28.41</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2120899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62.75</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62.75</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1,701.89</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1,701.89</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农业农村</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247.73</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247.73</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2130104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242.57</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242.57</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病虫害控制</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其他农业农村支出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林业和草原</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71.66</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71.66</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2130205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森林资源培育</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2130234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林业草原防灾减灾</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15.82</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15.82</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2130299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其他林业和草原支出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39.84</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39.84</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21303</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水利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35.33</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35.33</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2130314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防汛</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35.33</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35.33</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巩固脱贫攻坚成果衔接乡村振兴</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35.93</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35.93</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2130599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其他巩固脱贫攻坚成果衔接乡村振兴支出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35.93</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35.93</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21307</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农村综合改革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1,311.25</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1,311.25</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2130701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对村级公益事业建设的补助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81.00</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2130705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对村民委员会和村党支部的补助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1,230.25</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1,230.25</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交通运输支出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453.44</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453.44</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21401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公路水路运输</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453.44</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453.44</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2140104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公路建设</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452.67</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452.67</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2140106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公路养护</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资源勘探工业信息等支出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4,610.77</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4,610.77</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21508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4,610.77</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4,610.77</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2150899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4,610.77</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4,610.77</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商业服务业等支出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92.32</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92.32</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21602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商业流通事务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92.32</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92.32</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2160299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其他商业流通事务支出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92.32</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92.32</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97.22</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97.22</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97.22</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97.22</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97.22</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97.22</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灾害防治及应急管理支出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24.90</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22401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应急管理事务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16.54</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16.54</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2240108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应急救援</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2240199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其他应急管理支出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16.51</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16.51</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22406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自然灾害防治</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2240601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地质灾害防治</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22407</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自然灾害救灾及恢复重建支出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2240703</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自然灾害救灾补助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其他支出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22960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彩票公益金安排的支出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2296002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用于社会福利的彩票公益金支出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2296099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用于其他社会公益事业的彩票公益金支出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ind w:left="600" w:hanging="600" w:hangingChars="300"/>
        <w:rPr>
          <w:rFonts w:hint="default" w:ascii="Times New Roman" w:hAnsi="Times New Roman"/>
          <w:color w:val="000000"/>
          <w:sz w:val="20"/>
          <w:szCs w:val="20"/>
        </w:rPr>
      </w:pPr>
      <w:r>
        <w:rPr>
          <w:rFonts w:hint="default" w:ascii="Times New Roman" w:hAnsi="Times New Roman"/>
          <w:color w:val="000000"/>
          <w:sz w:val="20"/>
          <w:szCs w:val="20"/>
        </w:rPr>
        <w:t>备注：1.本表反映部门本年度取得的各项收入情况。</w:t>
      </w:r>
      <w:r>
        <w:rPr>
          <w:rFonts w:hint="default" w:ascii="Times New Roman" w:hAnsi="Times New Roman"/>
          <w:color w:val="000000"/>
          <w:sz w:val="20"/>
          <w:szCs w:val="20"/>
        </w:rPr>
        <w:br/>
      </w:r>
      <w:r>
        <w:rPr>
          <w:rFonts w:hint="default" w:ascii="Times New Roman" w:hAnsi="Times New Roman"/>
          <w:color w:val="000000"/>
          <w:sz w:val="20"/>
          <w:szCs w:val="20"/>
        </w:rPr>
        <w:t>2.本套报表金额单位转换时可能存在尾数误差。</w:t>
      </w:r>
      <w:r>
        <w:rPr>
          <w:rFonts w:hint="default" w:ascii="Times New Roman" w:hAnsi="Times New Roman"/>
          <w:color w:val="000000"/>
          <w:sz w:val="20"/>
          <w:szCs w:val="20"/>
        </w:rPr>
        <w:br/>
      </w:r>
      <w:r>
        <w:rPr>
          <w:rFonts w:hint="default" w:ascii="Times New Roman" w:hAnsi="Times New Roman"/>
          <w:color w:val="000000"/>
          <w:sz w:val="20"/>
          <w:szCs w:val="20"/>
        </w:rPr>
        <w:br/>
      </w:r>
    </w:p>
    <w:p>
      <w:pPr>
        <w:rPr>
          <w:rFonts w:hint="default" w:ascii="Times New Roman" w:hAnsi="Times New Roman"/>
          <w:color w:val="000000"/>
          <w:sz w:val="20"/>
          <w:szCs w:val="20"/>
        </w:rPr>
      </w:pPr>
      <w:r>
        <w:rPr>
          <w:rFonts w:hint="default" w:ascii="Times New Roman" w:hAnsi="Times New Roman"/>
          <w:color w:val="000000"/>
          <w:sz w:val="20"/>
          <w:szCs w:val="20"/>
        </w:rPr>
        <w:br w:type="page"/>
      </w:r>
    </w:p>
    <w:tbl>
      <w:tblPr>
        <w:tblStyle w:val="10"/>
        <w:tblW w:w="15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483"/>
        <w:gridCol w:w="3552"/>
        <w:gridCol w:w="1667"/>
        <w:gridCol w:w="1716"/>
        <w:gridCol w:w="1649"/>
        <w:gridCol w:w="1581"/>
        <w:gridCol w:w="1716"/>
        <w:gridCol w:w="1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54" w:hRule="atLeast"/>
        </w:trPr>
        <w:tc>
          <w:tcPr>
            <w:tcW w:w="15322"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42" w:hRule="atLeast"/>
        </w:trPr>
        <w:tc>
          <w:tcPr>
            <w:tcW w:w="6702" w:type="dxa"/>
            <w:gridSpan w:val="3"/>
            <w:vMerge w:val="restart"/>
            <w:tcBorders>
              <w:top w:val="nil"/>
              <w:left w:val="nil"/>
              <w:right w:val="nil"/>
            </w:tcBorders>
            <w:tcMar>
              <w:top w:w="15" w:type="dxa"/>
              <w:left w:w="15" w:type="dxa"/>
              <w:right w:w="15" w:type="dxa"/>
            </w:tcMar>
            <w:vAlign w:val="bottom"/>
          </w:tcPr>
          <w:p>
            <w:pPr>
              <w:rPr>
                <w:rFonts w:hint="default" w:ascii="Times New Roman" w:hAnsi="Times New Roman"/>
                <w:color w:val="000000"/>
                <w:sz w:val="20"/>
                <w:szCs w:val="20"/>
              </w:rPr>
            </w:pPr>
            <w:r>
              <w:rPr>
                <w:rFonts w:hint="default" w:ascii="Times New Roman" w:hAnsi="Times New Roman"/>
                <w:color w:val="000000"/>
                <w:sz w:val="20"/>
                <w:szCs w:val="20"/>
              </w:rPr>
              <w:t>部门：</w:t>
            </w:r>
            <w:r>
              <w:rPr>
                <w:rFonts w:hint="default" w:ascii="Times New Roman" w:hAnsi="Times New Roman"/>
                <w:color w:val="000000"/>
                <w:sz w:val="20"/>
              </w:rPr>
              <w:t xml:space="preserve">垫江县人民政府桂溪街道办事处 </w:t>
            </w:r>
          </w:p>
        </w:tc>
        <w:tc>
          <w:tcPr>
            <w:tcW w:w="1716"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649"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581"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716"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958" w:type="dxa"/>
            <w:tcBorders>
              <w:top w:val="nil"/>
              <w:left w:val="nil"/>
              <w:bottom w:val="nil"/>
              <w:right w:val="nil"/>
            </w:tcBorders>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2" w:hRule="atLeast"/>
        </w:trPr>
        <w:tc>
          <w:tcPr>
            <w:tcW w:w="6702" w:type="dxa"/>
            <w:gridSpan w:val="3"/>
            <w:vMerge w:val="continue"/>
            <w:tcBorders>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716"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649"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581"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716"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958" w:type="dxa"/>
            <w:tcBorders>
              <w:top w:val="nil"/>
              <w:left w:val="nil"/>
              <w:bottom w:val="nil"/>
              <w:right w:val="nil"/>
            </w:tcBorders>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552"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552"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552"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552"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66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10,389.23</w:t>
            </w:r>
            <w:r>
              <w:rPr>
                <w:rFonts w:hint="default"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3,202.61</w:t>
            </w:r>
            <w:r>
              <w:rPr>
                <w:rFonts w:hint="default"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7,186.62</w:t>
            </w:r>
            <w:r>
              <w:rPr>
                <w:rFonts w:hint="default"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1,970.56</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1,182.98</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787.58</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人大事务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27.91</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27.91</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2010107</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人大代表履职能力提升</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2010108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代表工作</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23.66</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23.66</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1,887.17</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1,182.98</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704.19</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2010301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1,062.61</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1,062.61</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2010302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704.19</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704.19</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2010350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120.37</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120.37</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统计信息事务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16.09</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16.09</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2010507</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专项普查活动</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16.09</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16.09</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20111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纪检监察事务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2011199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其他纪检监察事务支出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20113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商贸事务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2011308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招商引资</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党委办公厅（室）及相关机构事务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2013102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2013202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其他共产党事务支出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2013699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其他共产党事务支出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市场监督管理事务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2013802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公共安全支出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20402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公安</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2040202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文化旅游体育与传媒支出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23.47</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20701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文化和旅游</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23.47</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2070109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群众文化</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23.47</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23.47</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2070199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其他文化和旅游支出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774.81</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655.69</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119.12</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111.71</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111.71</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2080150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111.71</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111.71</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478.86</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473.84</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5.02</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215.05</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215.05</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107.94</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107.94</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155.87</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150.85</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5.02</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抚恤</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36.88</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25.15</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2080801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死亡抚恤</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25.15</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25.15</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2080899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其他优抚支出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退役安置</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2080999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其他退役安置支出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20810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社会福利</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76.30</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2081006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养老服务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20811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残疾人事业</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2081106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残疾人体育</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2081199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其他残疾人事业支出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20820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临时救助</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2082001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临时救助支出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20825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其他生活救助</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2082501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其他城市生活救助</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20828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退役军人管理事务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44.99</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2082804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拥军优属</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2082850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44.99</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44.99</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2082899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其他退役军人事务管理支出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119.71</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99.56</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20.15</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21004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公共卫生</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2100410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突发公共卫生事件应急处置</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21007</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计划生育事务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2100799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其他计划生育事务支出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99.56</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99.56</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46.54</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46.54</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53.03</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53.03</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优抚对象医疗</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2101401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优抚对象医疗补助</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医疗保障管理事务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2101506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医疗保障经办事务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节能环保支出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99.88</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99.88</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21103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污染防治</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98.38</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98.38</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2110301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大气</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98.38</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98.38</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21105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森林保护修复</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2110501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森林管护</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356.68</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154.53</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202.15</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203.69</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154.53</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49.16</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2120104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城管执法</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154.53</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154.53</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2120199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其他城乡社区管理事务支出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49.16</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49.16</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152.99</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152.99</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2120801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征地和拆迁补偿支出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58.83</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58.83</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2120804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农村基础设施建设支出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2120814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农业生产发展支出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28.41</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28.41</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2120899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62.75</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62.75</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1,731.89</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989.16</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742.74</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农业农村</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277.73</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242.57</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35.16</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2130104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242.57</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242.57</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病虫害控制</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其他农业农村支出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32.38</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32.38</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林业和草原</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71.66</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71.66</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2130205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森林资源培育</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2130234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林业草原防灾减灾</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15.82</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15.82</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2130299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其他林业和草原支出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39.84</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39.84</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水利</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35.33</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35.33</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2130314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防汛</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35.33</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35.33</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巩固脱贫攻坚成果衔接乡村振兴</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35.93</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35.93</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2130599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其他巩固脱贫攻坚成果衔接乡村振兴支出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35.93</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35.93</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21307</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农村综合改革</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1,311.25</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746.59</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564.66</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2130701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对村级公益事业建设的补助</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2130705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对村民委员会和村党支部的补助</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1,230.25</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746.59</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483.66</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交通运输支出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465.11</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465.11</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21401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公路水路运输</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465.11</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465.11</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2140104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公路建设</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452.67</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452.67</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2140106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公路养护</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12.43</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12.43</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资源勘探工业信息等支出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4,610.77</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4,610.77</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21508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4,610.77</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4,610.77</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2150899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4,610.77</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4,610.77</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商业服务业等支出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92.32</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92.32</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21602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商业流通事务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92.32</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92.32</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2160299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其他商业流通事务支出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92.32</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92.32</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97.22</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97.22</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97.22</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97.22</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97.22</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97.22</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灾害防治及应急管理支出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24.90</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22401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应急管理事务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16.54</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16.54</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2240108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应急救援</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2240199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其他应急管理支出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16.51</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16.51</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22406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自然灾害防治</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2240601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地质灾害防治</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22407</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自然灾害救灾及恢复重建支出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2240703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自然灾害救灾补助</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其他支出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22960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彩票公益金安排的支出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2296002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用于社会福利的彩票公益金支出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2296099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用于其他社会公益事业的彩票公益金支出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rPr>
          <w:rFonts w:hint="default" w:ascii="Times New Roman" w:hAnsi="Times New Roman"/>
          <w:color w:val="000000"/>
          <w:sz w:val="20"/>
          <w:szCs w:val="20"/>
        </w:rPr>
      </w:pPr>
      <w:r>
        <w:rPr>
          <w:rFonts w:hint="default" w:ascii="Times New Roman" w:hAnsi="Times New Roman"/>
          <w:color w:val="000000"/>
          <w:sz w:val="20"/>
          <w:szCs w:val="20"/>
        </w:rPr>
        <w:t>备注：1.本表反映部门本年度各项支出情况。</w:t>
      </w:r>
      <w:r>
        <w:rPr>
          <w:rFonts w:hint="default" w:ascii="Times New Roman" w:hAnsi="Times New Roman"/>
          <w:color w:val="000000"/>
          <w:sz w:val="20"/>
          <w:szCs w:val="20"/>
        </w:rPr>
        <w:br/>
      </w:r>
      <w:r>
        <w:rPr>
          <w:rFonts w:hint="default" w:ascii="Times New Roman" w:hAnsi="Times New Roman"/>
          <w:color w:val="000000"/>
          <w:sz w:val="20"/>
          <w:szCs w:val="20"/>
        </w:rPr>
        <w:t xml:space="preserve">      2.本套报表金额单位转换时可能存在尾数误差。</w:t>
      </w:r>
      <w:r>
        <w:rPr>
          <w:rFonts w:hint="default" w:ascii="Times New Roman" w:hAnsi="Times New Roman"/>
          <w:color w:val="000000"/>
          <w:sz w:val="20"/>
          <w:szCs w:val="20"/>
        </w:rPr>
        <w:br/>
      </w:r>
      <w:r>
        <w:rPr>
          <w:rFonts w:hint="default" w:ascii="Times New Roman" w:hAnsi="Times New Roman"/>
          <w:color w:val="000000"/>
          <w:sz w:val="20"/>
          <w:szCs w:val="20"/>
        </w:rPr>
        <w:br/>
      </w:r>
    </w:p>
    <w:p>
      <w:pPr>
        <w:rPr>
          <w:rFonts w:hint="default" w:ascii="Times New Roman" w:hAnsi="Times New Roman"/>
          <w:color w:val="000000"/>
          <w:sz w:val="21"/>
          <w:szCs w:val="21"/>
        </w:rPr>
      </w:pPr>
      <w:r>
        <w:rPr>
          <w:rFonts w:hint="default" w:ascii="Times New Roman" w:hAnsi="Times New Roman"/>
          <w:color w:val="000000"/>
          <w:sz w:val="21"/>
          <w:szCs w:val="21"/>
        </w:rPr>
        <w:br w:type="page"/>
      </w:r>
    </w:p>
    <w:p>
      <w:pPr>
        <w:rPr>
          <w:rFonts w:hint="default" w:ascii="Times New Roman" w:hAnsi="Times New Roman"/>
          <w:color w:val="000000"/>
          <w:sz w:val="21"/>
          <w:szCs w:val="21"/>
        </w:rPr>
      </w:pPr>
    </w:p>
    <w:tbl>
      <w:tblPr>
        <w:tblStyle w:val="10"/>
        <w:tblW w:w="146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2967"/>
        <w:gridCol w:w="1521"/>
        <w:gridCol w:w="3179"/>
        <w:gridCol w:w="1694"/>
        <w:gridCol w:w="1694"/>
        <w:gridCol w:w="1694"/>
        <w:gridCol w:w="1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trPr>
        <w:tc>
          <w:tcPr>
            <w:tcW w:w="14678" w:type="dxa"/>
            <w:gridSpan w:val="7"/>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7667" w:type="dxa"/>
            <w:gridSpan w:val="3"/>
            <w:vMerge w:val="restart"/>
            <w:tcBorders>
              <w:top w:val="nil"/>
              <w:left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r>
              <w:rPr>
                <w:rFonts w:hint="default" w:ascii="Times New Roman" w:hAnsi="Times New Roman"/>
                <w:color w:val="000000"/>
                <w:sz w:val="20"/>
                <w:szCs w:val="20"/>
              </w:rPr>
              <w:t>部门：</w:t>
            </w:r>
            <w:r>
              <w:rPr>
                <w:rFonts w:hint="default" w:ascii="Times New Roman" w:hAnsi="Times New Roman"/>
                <w:color w:val="000000"/>
                <w:sz w:val="20"/>
              </w:rPr>
              <w:t>垫江县人民政府桂溪街道办事处</w:t>
            </w: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nil"/>
              <w:left w:val="nil"/>
              <w:bottom w:val="nil"/>
              <w:right w:val="nil"/>
            </w:tcBorders>
            <w:tcMar>
              <w:top w:w="15" w:type="dxa"/>
              <w:left w:w="15" w:type="dxa"/>
              <w:right w:w="15" w:type="dxa"/>
            </w:tcMar>
            <w:vAlign w:val="bottom"/>
          </w:tcPr>
          <w:p>
            <w:pPr>
              <w:spacing w:line="24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7667" w:type="dxa"/>
            <w:gridSpan w:val="3"/>
            <w:vMerge w:val="continue"/>
            <w:tcBorders>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3179"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10,140.15</w:t>
            </w: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1,970.56</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1,970.56</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158.26</w:t>
            </w: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13.82</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13.82</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26.30</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26.30</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774.81</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774.81</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119.71</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119.71</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99.88</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99.88</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356.68</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203.69</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152.99</w:t>
            </w: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1,731.89</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1,731.89</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465.11</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465.11</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4,610.77</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4,610.77</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92.32</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92.32</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97.22</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97.22</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24.90</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24.90</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5.27</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5.27</w:t>
            </w: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10,298.40</w:t>
            </w: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10,389.23</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10,230.97</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158.26</w:t>
            </w: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90.82</w:t>
            </w: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90.82</w:t>
            </w: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10,389.23</w:t>
            </w: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10,389.23</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10,230.97</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158.26</w:t>
            </w: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bl>
    <w:p>
      <w:pPr>
        <w:spacing w:line="240" w:lineRule="exact"/>
        <w:rPr>
          <w:rFonts w:hint="default" w:ascii="Times New Roman" w:hAnsi="Times New Roman"/>
          <w:color w:val="000000"/>
          <w:sz w:val="20"/>
          <w:szCs w:val="20"/>
        </w:rPr>
      </w:pPr>
      <w:r>
        <w:rPr>
          <w:rFonts w:hint="default" w:ascii="Times New Roman" w:hAnsi="Times New Roman"/>
          <w:color w:val="000000"/>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olor w:val="000000"/>
          <w:sz w:val="20"/>
          <w:szCs w:val="20"/>
        </w:rPr>
        <w:br/>
      </w:r>
      <w:r>
        <w:rPr>
          <w:rFonts w:hint="default" w:ascii="Times New Roman" w:hAnsi="Times New Roman"/>
          <w:color w:val="000000"/>
          <w:sz w:val="20"/>
          <w:szCs w:val="20"/>
        </w:rPr>
        <w:t xml:space="preserve">      2.本套报表金额单位转换时可能存在尾数误差。</w:t>
      </w:r>
      <w:r>
        <w:rPr>
          <w:rFonts w:hint="default" w:ascii="Times New Roman" w:hAnsi="Times New Roman"/>
          <w:color w:val="000000"/>
          <w:sz w:val="20"/>
          <w:szCs w:val="20"/>
        </w:rPr>
        <w:br/>
      </w:r>
      <w:r>
        <w:rPr>
          <w:rFonts w:hint="default" w:ascii="Times New Roman" w:hAnsi="Times New Roman"/>
          <w:color w:val="000000"/>
          <w:sz w:val="20"/>
          <w:szCs w:val="20"/>
        </w:rPr>
        <w:br/>
      </w:r>
      <w:r>
        <w:rPr>
          <w:rFonts w:hint="default" w:ascii="Times New Roman" w:hAnsi="Times New Roman"/>
          <w:color w:val="000000"/>
          <w:sz w:val="21"/>
          <w:szCs w:val="21"/>
        </w:rPr>
        <w:br w:type="page"/>
      </w:r>
    </w:p>
    <w:tbl>
      <w:tblPr>
        <w:tblStyle w:val="10"/>
        <w:tblW w:w="15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486"/>
        <w:gridCol w:w="3895"/>
        <w:gridCol w:w="3306"/>
        <w:gridCol w:w="3300"/>
        <w:gridCol w:w="3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10" w:hRule="atLeast"/>
        </w:trPr>
        <w:tc>
          <w:tcPr>
            <w:tcW w:w="15322" w:type="dxa"/>
            <w:gridSpan w:val="5"/>
            <w:tcBorders>
              <w:top w:val="nil"/>
              <w:left w:val="nil"/>
              <w:bottom w:val="nil"/>
              <w:right w:val="nil"/>
            </w:tcBorders>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55" w:hRule="atLeast"/>
        </w:trPr>
        <w:tc>
          <w:tcPr>
            <w:tcW w:w="8687" w:type="dxa"/>
            <w:gridSpan w:val="3"/>
            <w:vMerge w:val="restart"/>
            <w:tcBorders>
              <w:top w:val="nil"/>
              <w:left w:val="nil"/>
              <w:right w:val="nil"/>
            </w:tcBorders>
            <w:tcMar>
              <w:top w:w="15" w:type="dxa"/>
              <w:left w:w="15" w:type="dxa"/>
              <w:right w:w="15" w:type="dxa"/>
            </w:tcMar>
            <w:vAlign w:val="bottom"/>
          </w:tcPr>
          <w:p>
            <w:pPr>
              <w:rPr>
                <w:rFonts w:hint="default" w:ascii="Times New Roman" w:hAnsi="Times New Roman"/>
                <w:color w:val="000000"/>
                <w:sz w:val="20"/>
                <w:szCs w:val="20"/>
              </w:rPr>
            </w:pPr>
            <w:r>
              <w:rPr>
                <w:rFonts w:hint="default" w:ascii="Times New Roman" w:hAnsi="Times New Roman"/>
                <w:color w:val="000000"/>
                <w:sz w:val="20"/>
                <w:szCs w:val="20"/>
              </w:rPr>
              <w:t>部门：</w:t>
            </w:r>
            <w:r>
              <w:rPr>
                <w:rFonts w:hint="default" w:ascii="Times New Roman" w:hAnsi="Times New Roman"/>
                <w:color w:val="000000"/>
                <w:sz w:val="20"/>
              </w:rPr>
              <w:t>垫江县人民政府桂溪街道办事处</w:t>
            </w:r>
          </w:p>
        </w:tc>
        <w:tc>
          <w:tcPr>
            <w:tcW w:w="3300"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3335" w:type="dxa"/>
            <w:tcBorders>
              <w:top w:val="nil"/>
              <w:left w:val="nil"/>
              <w:bottom w:val="nil"/>
              <w:right w:val="nil"/>
            </w:tcBorders>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5" w:hRule="atLeast"/>
        </w:trPr>
        <w:tc>
          <w:tcPr>
            <w:tcW w:w="8687" w:type="dxa"/>
            <w:gridSpan w:val="3"/>
            <w:vMerge w:val="continue"/>
            <w:tcBorders>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3300"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3335" w:type="dxa"/>
            <w:tcBorders>
              <w:top w:val="nil"/>
              <w:left w:val="nil"/>
              <w:bottom w:val="nil"/>
              <w:right w:val="nil"/>
            </w:tcBorders>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26" w:hRule="atLeast"/>
        </w:trPr>
        <w:tc>
          <w:tcPr>
            <w:tcW w:w="148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300"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3335"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89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30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30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33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89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30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30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33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10,230.97</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3,202.61</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7,028.36</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1,970.56</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1,182.98</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787.58</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人大事务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27.91</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27.91</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2010107</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人大代表履职能力提升</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4.25</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4.25</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2010108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代表工作</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23.66</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23.66</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政府办公厅（室）及相关机构事务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1,887.17</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1,182.98</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704.19</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2010301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行政运行</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1,062.61</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1,062.61</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2010302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704.19</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704.19</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2010350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120.37</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120.37</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统计信息事务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16.09</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16.09</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2010507</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专项普查活动</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16.09</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16.09</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20111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纪检监察事务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其他纪检监察事务支出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20113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商贸事务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2011308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招商引资</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6.90</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党委办公厅（室）及相关机构事务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2013102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17.66</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17.66</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组织事务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2013202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其他共产党事务支出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2013699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其他共产党事务支出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市场监督管理事务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9.17</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9.17</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2013802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9.17</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9.17</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公共安全支出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13.82</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13.82</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20402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公安</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13.82</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13.82</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2040202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13.82</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13.82</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文化旅游体育与传媒支出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26.30</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23.47</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20701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文化和旅游</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26.30</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23.47</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2070109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群众文化</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23.47</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23.47</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2070199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其他文化和旅游支出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774.81</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655.69</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119.12</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人力资源和社会保障管理事务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111.71</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111.71</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2080150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111.71</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111.71</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478.86</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473.84</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5.02</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215.05</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215.05</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107.94</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107.94</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其他行政事业单位养老支出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155.87</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150.85</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5.02</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抚恤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36.88</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25.15</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11.74</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2080801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死亡抚恤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25.15</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25.15</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2080899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其他优抚支出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11.74</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11.74</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退役安置</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8.21</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8.21</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2080999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其他退役安置支出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8.21</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8.21</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20810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社会福利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76.30</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2081006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养老服务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76.30</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76.30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20811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残疾人事业</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2081106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残疾人体育</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0.03</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0.03</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2081199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其他残疾人事业支出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9.76</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9.76</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20820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临时救助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2082001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临时救助支出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20825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其他生活救助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2082501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其他城市生活救助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20828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退役军人管理事务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49.40</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44.99</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2082804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拥军优属</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2082850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44.99</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44.99</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2082899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其他退役军人事务管理支出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119.71</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99.56</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20.15</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21004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公共卫生</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2100410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突发公共卫生事件应急处置</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5.11</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5.11</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21007</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计划生育事务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10.61</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10.61</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2100799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其他计划生育事务支出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10.61</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10.61</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99.56</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99.56</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46.54</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46.54</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53.03</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53.03</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优抚对象医疗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0.67</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0.67</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2101401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优抚对象医疗补助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医疗保障管理事务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2101506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医疗保障经办事务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节能环保支出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99.88</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99.88</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21103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污染防治</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98.38</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98.38</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2110301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大气</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98.38</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98.38</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21105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森林保护修复</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2110501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森林管护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203.69</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154.53</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49.16</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203.69</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154.53</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49.16</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2120104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城管执法</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154.53</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154.53</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其他城乡社区管理事务支出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49.16</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49.16</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农林水支出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1,731.89</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989.16</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742.74</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农业农村</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277.73</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242.57</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35.16</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2130104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242.57</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242.57</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病虫害控制</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其他农业农村支出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32.38</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32.38</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林业和草原</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71.66</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71.66</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2130205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森林资源培育</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16.00</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2130234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林业草原防灾减灾</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15.82</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15.82</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2130299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其他林业和草原支出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39.84</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39.84</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水利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35.33</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35.33</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2130314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防汛</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35.33</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35.33</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巩固脱贫攻坚成果衔接乡村振兴</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35.93</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35.93</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2130599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35.93</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35.93</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21307</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农村综合改革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1,311.25</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746.59</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564.66</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2130701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对村级公益事业建设的补助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81.00</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2130705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对村民委员会和村党支部的补助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1,230.25</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746.59</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483.66</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交通运输支出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465.11</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465.11</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21401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公路水路运输</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465.11</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465.11</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2140104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公路建设</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452.67</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452.67</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2140106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公路养护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12.43</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12.43</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资源勘探工业信息等支出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4,610.77</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4,610.77</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21508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支持中小企业发展和管理支出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4,610.77</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4,610.77</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2150899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其他支持中小企业发展和管理支出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4,610.77</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4,610.77</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商业服务业等支出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92.32</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92.32</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21602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商业流通事务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92.32</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92.32</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2160299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其他商业流通事务支出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92.32</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92.32</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97.22</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97.22</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97.22</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97.22</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97.22</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97.22</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灾害防治及应急管理支出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24.90</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22401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应急管理事务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16.54</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16.54</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2240108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应急救援</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0.03</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0.03</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2240199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其他应急管理支出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16.51</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16.51</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22406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自然灾害防治</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2240601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地质灾害防治</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7.36</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7.36</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22407</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自然灾害救灾及恢复重建支出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2240703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自然灾害救灾补助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hint="default" w:ascii="Times New Roman" w:hAnsi="Times New Roman"/>
                <w:color w:val="000000"/>
                <w:sz w:val="20"/>
              </w:rPr>
              <w:t xml:space="preserve"> </w:t>
            </w:r>
          </w:p>
        </w:tc>
      </w:tr>
    </w:tbl>
    <w:p>
      <w:pPr>
        <w:rPr>
          <w:rFonts w:hint="default" w:ascii="Times New Roman" w:hAnsi="Times New Roman"/>
          <w:color w:val="000000"/>
          <w:sz w:val="21"/>
          <w:szCs w:val="21"/>
        </w:rPr>
      </w:pPr>
      <w:r>
        <w:rPr>
          <w:rFonts w:hint="default" w:ascii="Times New Roman" w:hAnsi="Times New Roman"/>
          <w:color w:val="000000"/>
          <w:sz w:val="20"/>
          <w:szCs w:val="20"/>
        </w:rPr>
        <w:t>备注：1.本表反映部门本年度一般公共预算财政拨款支出情况。</w:t>
      </w:r>
      <w:r>
        <w:rPr>
          <w:rFonts w:hint="default" w:ascii="Times New Roman" w:hAnsi="Times New Roman"/>
          <w:color w:val="000000"/>
          <w:sz w:val="20"/>
          <w:szCs w:val="20"/>
        </w:rPr>
        <w:br/>
      </w:r>
      <w:r>
        <w:rPr>
          <w:rFonts w:hint="default" w:ascii="Times New Roman" w:hAnsi="Times New Roman"/>
          <w:color w:val="000000"/>
          <w:sz w:val="20"/>
          <w:szCs w:val="20"/>
        </w:rPr>
        <w:t xml:space="preserve">      2.本套报表金额单位转换时可能存在尾数误差。</w:t>
      </w:r>
      <w:r>
        <w:rPr>
          <w:rFonts w:hint="default" w:ascii="Times New Roman" w:hAnsi="Times New Roman"/>
          <w:color w:val="000000"/>
          <w:sz w:val="20"/>
          <w:szCs w:val="20"/>
        </w:rPr>
        <w:br/>
      </w:r>
      <w:r>
        <w:rPr>
          <w:rFonts w:hint="default" w:ascii="Times New Roman" w:hAnsi="Times New Roman"/>
          <w:color w:val="000000"/>
          <w:sz w:val="21"/>
          <w:szCs w:val="21"/>
        </w:rPr>
        <w:br w:type="page"/>
      </w:r>
    </w:p>
    <w:tbl>
      <w:tblPr>
        <w:tblStyle w:val="10"/>
        <w:tblW w:w="15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603"/>
        <w:gridCol w:w="2730"/>
        <w:gridCol w:w="1371"/>
        <w:gridCol w:w="833"/>
        <w:gridCol w:w="1916"/>
        <w:gridCol w:w="1650"/>
        <w:gridCol w:w="805"/>
        <w:gridCol w:w="3514"/>
        <w:gridCol w:w="18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trPr>
        <w:tc>
          <w:tcPr>
            <w:tcW w:w="15304" w:type="dxa"/>
            <w:gridSpan w:val="9"/>
            <w:tcBorders>
              <w:top w:val="nil"/>
              <w:left w:val="nil"/>
              <w:bottom w:val="nil"/>
              <w:right w:val="nil"/>
            </w:tcBorders>
            <w:tcMar>
              <w:top w:w="15" w:type="dxa"/>
              <w:left w:w="15" w:type="dxa"/>
              <w:right w:w="15" w:type="dxa"/>
            </w:tcMar>
            <w:vAlign w:val="bottom"/>
          </w:tcPr>
          <w:p>
            <w:pPr>
              <w:spacing w:line="44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7453" w:type="dxa"/>
            <w:gridSpan w:val="5"/>
            <w:vMerge w:val="restart"/>
            <w:tcBorders>
              <w:top w:val="nil"/>
              <w:left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r>
              <w:rPr>
                <w:rFonts w:hint="default" w:ascii="Times New Roman" w:hAnsi="Times New Roman"/>
                <w:color w:val="000000"/>
                <w:sz w:val="20"/>
                <w:szCs w:val="20"/>
              </w:rPr>
              <w:t>部门：</w:t>
            </w:r>
            <w:r>
              <w:rPr>
                <w:rFonts w:hint="default" w:ascii="Times New Roman" w:hAnsi="Times New Roman"/>
                <w:color w:val="000000"/>
                <w:sz w:val="20"/>
              </w:rPr>
              <w:t>垫江县人民政府桂溪街道办事处</w:t>
            </w:r>
          </w:p>
        </w:tc>
        <w:tc>
          <w:tcPr>
            <w:tcW w:w="1650"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05"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514"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88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7453" w:type="dxa"/>
            <w:gridSpan w:val="5"/>
            <w:vMerge w:val="continue"/>
            <w:tcBorders>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50"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05"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514"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88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12" w:hRule="atLeast"/>
        </w:trPr>
        <w:tc>
          <w:tcPr>
            <w:tcW w:w="60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2730"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371"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916"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650"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3514"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882"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1,819.94</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445.12</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13.66</w:t>
            </w: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375.88</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30.54</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135.79</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41.85</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13.66</w:t>
            </w: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253.22</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62.11</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441.21</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8.17</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215.05</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25.35</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107.94</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51.64</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99.56</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23.40</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79.31</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97.22</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14.17</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14.62</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14.81</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0.49</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923.88</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10.45</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25.15</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878.64</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99.41</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11.33</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180" w:firstLineChars="100"/>
              <w:textAlignment w:val="center"/>
              <w:rPr>
                <w:rFonts w:hint="default" w:ascii="Times New Roman" w:hAnsi="Times New Roman"/>
                <w:color w:val="000000"/>
                <w:sz w:val="18"/>
                <w:szCs w:val="18"/>
              </w:rPr>
            </w:pPr>
            <w:r>
              <w:rPr>
                <w:rFonts w:hint="default" w:ascii="Times New Roman" w:hAnsi="Times New Roman"/>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8.77</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13.25</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33.15</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9.12</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2,743.83</w:t>
            </w:r>
            <w:r>
              <w:rPr>
                <w:rFonts w:hint="default"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公用经费合计</w:t>
            </w:r>
          </w:p>
        </w:tc>
        <w:tc>
          <w:tcPr>
            <w:tcW w:w="188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458.78</w:t>
            </w:r>
            <w:r>
              <w:rPr>
                <w:rFonts w:hint="default" w:ascii="Times New Roman" w:hAnsi="Times New Roman"/>
                <w:color w:val="000000"/>
                <w:sz w:val="18"/>
              </w:rPr>
              <w:t xml:space="preserve"> </w:t>
            </w:r>
          </w:p>
        </w:tc>
      </w:tr>
    </w:tbl>
    <w:p>
      <w:pPr>
        <w:spacing w:line="280" w:lineRule="exact"/>
        <w:rPr>
          <w:rFonts w:hint="default" w:ascii="Times New Roman" w:hAnsi="Times New Roman"/>
          <w:color w:val="000000"/>
          <w:sz w:val="20"/>
          <w:szCs w:val="20"/>
        </w:rPr>
      </w:pPr>
      <w:r>
        <w:rPr>
          <w:rFonts w:hint="default" w:ascii="Times New Roman" w:hAnsi="Times New Roman"/>
          <w:color w:val="000000"/>
          <w:sz w:val="20"/>
          <w:szCs w:val="20"/>
        </w:rPr>
        <w:t>备注：1.本表反映部门本年度一般公共预算财政拨款基本支出明细情况。</w:t>
      </w:r>
      <w:r>
        <w:rPr>
          <w:rFonts w:hint="default" w:ascii="Times New Roman" w:hAnsi="Times New Roman"/>
          <w:color w:val="000000"/>
          <w:sz w:val="20"/>
          <w:szCs w:val="20"/>
        </w:rPr>
        <w:br/>
      </w:r>
      <w:r>
        <w:rPr>
          <w:rFonts w:hint="default" w:ascii="Times New Roman" w:hAnsi="Times New Roman"/>
          <w:color w:val="000000"/>
          <w:sz w:val="20"/>
          <w:szCs w:val="20"/>
        </w:rPr>
        <w:t xml:space="preserve">      2.本套报表金额单位转换时可能存在尾数误差。</w:t>
      </w:r>
      <w:r>
        <w:rPr>
          <w:rFonts w:hint="default" w:ascii="Times New Roman" w:hAnsi="Times New Roman"/>
          <w:color w:val="000000"/>
          <w:sz w:val="20"/>
          <w:szCs w:val="20"/>
        </w:rPr>
        <w:br/>
      </w:r>
      <w:r>
        <w:rPr>
          <w:rFonts w:hint="default" w:ascii="Times New Roman" w:hAnsi="Times New Roman"/>
          <w:color w:val="000000"/>
          <w:sz w:val="21"/>
          <w:szCs w:val="21"/>
        </w:rPr>
        <w:br w:type="page"/>
      </w:r>
    </w:p>
    <w:tbl>
      <w:tblPr>
        <w:tblStyle w:val="10"/>
        <w:tblW w:w="15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635"/>
        <w:gridCol w:w="3285"/>
        <w:gridCol w:w="1701"/>
        <w:gridCol w:w="1701"/>
        <w:gridCol w:w="1701"/>
        <w:gridCol w:w="1701"/>
        <w:gridCol w:w="1765"/>
        <w:gridCol w:w="1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44" w:hRule="atLeast"/>
        </w:trPr>
        <w:tc>
          <w:tcPr>
            <w:tcW w:w="15322"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29" w:hRule="atLeast"/>
        </w:trPr>
        <w:tc>
          <w:tcPr>
            <w:tcW w:w="6621" w:type="dxa"/>
            <w:gridSpan w:val="3"/>
            <w:vMerge w:val="restart"/>
            <w:tcBorders>
              <w:top w:val="nil"/>
              <w:left w:val="nil"/>
              <w:right w:val="nil"/>
            </w:tcBorders>
            <w:tcMar>
              <w:top w:w="15" w:type="dxa"/>
              <w:left w:w="15" w:type="dxa"/>
              <w:right w:w="15" w:type="dxa"/>
            </w:tcMar>
            <w:vAlign w:val="bottom"/>
          </w:tcPr>
          <w:p>
            <w:pPr>
              <w:rPr>
                <w:rFonts w:hint="default" w:ascii="Times New Roman" w:hAnsi="Times New Roman"/>
                <w:color w:val="000000"/>
                <w:sz w:val="20"/>
                <w:szCs w:val="20"/>
              </w:rPr>
            </w:pPr>
            <w:r>
              <w:rPr>
                <w:rFonts w:hint="default" w:ascii="Times New Roman" w:hAnsi="Times New Roman"/>
                <w:color w:val="000000"/>
                <w:sz w:val="20"/>
                <w:szCs w:val="20"/>
              </w:rPr>
              <w:t>部门：</w:t>
            </w:r>
            <w:r>
              <w:rPr>
                <w:rFonts w:hint="default" w:ascii="Times New Roman" w:hAnsi="Times New Roman"/>
                <w:color w:val="000000"/>
                <w:sz w:val="20"/>
              </w:rPr>
              <w:t>垫江县人民政府桂溪街道办事处</w:t>
            </w:r>
          </w:p>
        </w:tc>
        <w:tc>
          <w:tcPr>
            <w:tcW w:w="1701"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765"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833" w:type="dxa"/>
            <w:tcBorders>
              <w:top w:val="nil"/>
              <w:left w:val="nil"/>
              <w:bottom w:val="nil"/>
              <w:right w:val="nil"/>
            </w:tcBorders>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29" w:hRule="atLeast"/>
        </w:trPr>
        <w:tc>
          <w:tcPr>
            <w:tcW w:w="6621" w:type="dxa"/>
            <w:gridSpan w:val="3"/>
            <w:vMerge w:val="continue"/>
            <w:tcBorders>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765"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833" w:type="dxa"/>
            <w:tcBorders>
              <w:top w:val="nil"/>
              <w:left w:val="nil"/>
              <w:bottom w:val="nil"/>
              <w:right w:val="nil"/>
            </w:tcBorders>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701"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6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6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158.26</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158.26</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158.26</w:t>
            </w:r>
            <w:r>
              <w:rPr>
                <w:rFonts w:hint="default"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212</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152.99</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152.99</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152.99</w:t>
            </w:r>
            <w:r>
              <w:rPr>
                <w:rFonts w:hint="default"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21208</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152.99</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152.99</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152.99</w:t>
            </w:r>
            <w:r>
              <w:rPr>
                <w:rFonts w:hint="default"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2120801</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征地和拆迁补偿支出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58.83</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58.83</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58.83</w:t>
            </w:r>
            <w:r>
              <w:rPr>
                <w:rFonts w:hint="default"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2120804</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农村基础设施建设支出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hint="default"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2120814</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农业生产发展支出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28.41</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28.41</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28.41</w:t>
            </w:r>
            <w:r>
              <w:rPr>
                <w:rFonts w:hint="default"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2120899</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62.75</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62.75</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62.75</w:t>
            </w:r>
            <w:r>
              <w:rPr>
                <w:rFonts w:hint="default"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其他支出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w:t>
            </w:r>
            <w:r>
              <w:rPr>
                <w:rFonts w:hint="default"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22960</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彩票公益金安排的支出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w:t>
            </w:r>
            <w:r>
              <w:rPr>
                <w:rFonts w:hint="default"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2296002</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用于社会福利的彩票公益金支出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hint="default"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2296099</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w:t>
            </w:r>
            <w:r>
              <w:rPr>
                <w:rFonts w:hint="default"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rPr>
          <w:rFonts w:hint="default" w:ascii="Times New Roman" w:hAnsi="Times New Roman"/>
          <w:color w:val="000000"/>
          <w:sz w:val="21"/>
          <w:szCs w:val="21"/>
        </w:rPr>
      </w:pPr>
      <w:r>
        <w:rPr>
          <w:rFonts w:hint="default" w:ascii="Times New Roman" w:hAnsi="Times New Roman"/>
          <w:color w:val="000000"/>
          <w:sz w:val="20"/>
          <w:szCs w:val="20"/>
        </w:rPr>
        <w:t>备注：1.本表反映部门本年度政府性基金预算财政拨款收入支出及结转和结余情况。</w:t>
      </w:r>
      <w:r>
        <w:rPr>
          <w:rFonts w:hint="default" w:ascii="Times New Roman" w:hAnsi="Times New Roman"/>
          <w:color w:val="000000"/>
          <w:sz w:val="20"/>
          <w:szCs w:val="20"/>
        </w:rPr>
        <w:br/>
      </w:r>
      <w:r>
        <w:rPr>
          <w:rFonts w:hint="default" w:ascii="Times New Roman" w:hAnsi="Times New Roman"/>
          <w:color w:val="000000"/>
          <w:sz w:val="20"/>
          <w:szCs w:val="20"/>
        </w:rPr>
        <w:t xml:space="preserve">      2.本套报表金额单位转换时可能存在尾数误差。</w:t>
      </w:r>
      <w:r>
        <w:rPr>
          <w:rFonts w:hint="default" w:ascii="Times New Roman" w:hAnsi="Times New Roman"/>
          <w:color w:val="000000"/>
          <w:sz w:val="20"/>
          <w:szCs w:val="20"/>
        </w:rPr>
        <w:br/>
      </w:r>
      <w:r>
        <w:rPr>
          <w:rFonts w:hint="default" w:ascii="Times New Roman" w:hAnsi="Times New Roman"/>
          <w:color w:val="000000"/>
          <w:sz w:val="20"/>
          <w:szCs w:val="20"/>
        </w:rPr>
        <w:br/>
      </w:r>
    </w:p>
    <w:p>
      <w:pPr>
        <w:rPr>
          <w:rFonts w:hint="default" w:ascii="Times New Roman" w:hAnsi="Times New Roman"/>
          <w:color w:val="000000"/>
          <w:sz w:val="21"/>
          <w:szCs w:val="21"/>
        </w:rPr>
      </w:pPr>
      <w:r>
        <w:rPr>
          <w:rFonts w:hint="default" w:ascii="Times New Roman" w:hAnsi="Times New Roman"/>
          <w:color w:val="000000"/>
          <w:sz w:val="21"/>
          <w:szCs w:val="21"/>
        </w:rPr>
        <w:br w:type="page"/>
      </w:r>
    </w:p>
    <w:tbl>
      <w:tblPr>
        <w:tblStyle w:val="10"/>
        <w:tblW w:w="15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2001"/>
        <w:gridCol w:w="2917"/>
        <w:gridCol w:w="3264"/>
        <w:gridCol w:w="199"/>
        <w:gridCol w:w="3463"/>
        <w:gridCol w:w="77"/>
        <w:gridCol w:w="34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50" w:hRule="atLeast"/>
        </w:trPr>
        <w:tc>
          <w:tcPr>
            <w:tcW w:w="15322" w:type="dxa"/>
            <w:gridSpan w:val="7"/>
            <w:tcBorders>
              <w:top w:val="nil"/>
              <w:left w:val="nil"/>
              <w:bottom w:val="nil"/>
              <w:right w:val="nil"/>
            </w:tcBorders>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2" w:hRule="atLeast"/>
        </w:trPr>
        <w:tc>
          <w:tcPr>
            <w:tcW w:w="8182" w:type="dxa"/>
            <w:gridSpan w:val="3"/>
            <w:vMerge w:val="restart"/>
            <w:tcBorders>
              <w:top w:val="nil"/>
              <w:left w:val="nil"/>
              <w:right w:val="nil"/>
            </w:tcBorders>
            <w:tcMar>
              <w:top w:w="15" w:type="dxa"/>
              <w:left w:w="15" w:type="dxa"/>
              <w:right w:w="15" w:type="dxa"/>
            </w:tcMar>
            <w:vAlign w:val="bottom"/>
          </w:tcPr>
          <w:p>
            <w:pPr>
              <w:rPr>
                <w:rFonts w:hint="default" w:ascii="Times New Roman" w:hAnsi="Times New Roman"/>
                <w:color w:val="000000"/>
                <w:sz w:val="20"/>
                <w:szCs w:val="20"/>
              </w:rPr>
            </w:pPr>
            <w:r>
              <w:rPr>
                <w:rFonts w:hint="default" w:ascii="Times New Roman" w:hAnsi="Times New Roman"/>
                <w:color w:val="000000"/>
                <w:sz w:val="20"/>
                <w:szCs w:val="20"/>
              </w:rPr>
              <w:t>部门：</w:t>
            </w:r>
            <w:r>
              <w:rPr>
                <w:rFonts w:hint="default" w:ascii="Times New Roman" w:hAnsi="Times New Roman"/>
                <w:color w:val="000000"/>
                <w:sz w:val="20"/>
              </w:rPr>
              <w:t>垫江县人民政府桂溪街道办事处</w:t>
            </w:r>
          </w:p>
        </w:tc>
        <w:tc>
          <w:tcPr>
            <w:tcW w:w="3739" w:type="dxa"/>
            <w:gridSpan w:val="3"/>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3401" w:type="dxa"/>
            <w:tcBorders>
              <w:top w:val="nil"/>
              <w:left w:val="nil"/>
              <w:bottom w:val="nil"/>
              <w:right w:val="nil"/>
            </w:tcBorders>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2" w:hRule="atLeast"/>
        </w:trPr>
        <w:tc>
          <w:tcPr>
            <w:tcW w:w="8182" w:type="dxa"/>
            <w:gridSpan w:val="3"/>
            <w:vMerge w:val="continue"/>
            <w:tcBorders>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3739" w:type="dxa"/>
            <w:gridSpan w:val="3"/>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3401" w:type="dxa"/>
            <w:tcBorders>
              <w:top w:val="nil"/>
              <w:left w:val="nil"/>
              <w:bottom w:val="nil"/>
              <w:right w:val="nil"/>
            </w:tcBorders>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39" w:hRule="atLeast"/>
        </w:trPr>
        <w:tc>
          <w:tcPr>
            <w:tcW w:w="2001"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463"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291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291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291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463"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p>
        </w:tc>
        <w:tc>
          <w:tcPr>
            <w:tcW w:w="29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p>
        </w:tc>
        <w:tc>
          <w:tcPr>
            <w:tcW w:w="3463"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ascii="Times New Roman" w:hAnsi="Times New Roman"/>
          <w:color w:val="000000"/>
          <w:sz w:val="21"/>
          <w:szCs w:val="21"/>
        </w:rPr>
      </w:pPr>
      <w:r>
        <w:rPr>
          <w:rFonts w:hint="default" w:ascii="Times New Roman" w:hAnsi="Times New Roman"/>
          <w:color w:val="000000"/>
          <w:sz w:val="20"/>
          <w:szCs w:val="20"/>
        </w:rPr>
        <w:t>备注：本表反映部门本年度国有资本经营预算财政拨款支出情况。本部门无国有资本经营收支，故本表无数据。</w:t>
      </w:r>
      <w:r>
        <w:rPr>
          <w:rFonts w:hint="default" w:ascii="Times New Roman" w:hAnsi="Times New Roman"/>
          <w:color w:val="000000"/>
          <w:sz w:val="20"/>
          <w:szCs w:val="20"/>
        </w:rPr>
        <w:br/>
      </w:r>
      <w:r>
        <w:rPr>
          <w:rFonts w:hint="default" w:ascii="Times New Roman" w:hAnsi="Times New Roman"/>
          <w:color w:val="000000"/>
          <w:sz w:val="20"/>
          <w:szCs w:val="20"/>
        </w:rPr>
        <w:br/>
      </w:r>
    </w:p>
    <w:p>
      <w:pPr>
        <w:rPr>
          <w:rFonts w:hint="default" w:ascii="Times New Roman" w:hAnsi="Times New Roman"/>
          <w:color w:val="000000"/>
          <w:sz w:val="21"/>
          <w:szCs w:val="21"/>
        </w:rPr>
      </w:pPr>
      <w:r>
        <w:rPr>
          <w:rFonts w:hint="default" w:ascii="Times New Roman" w:hAnsi="Times New Roman"/>
          <w:color w:val="000000"/>
          <w:sz w:val="21"/>
          <w:szCs w:val="21"/>
        </w:rPr>
        <w:br w:type="page"/>
      </w:r>
    </w:p>
    <w:tbl>
      <w:tblPr>
        <w:tblStyle w:val="10"/>
        <w:tblW w:w="153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
      <w:tblGrid>
        <w:gridCol w:w="3179"/>
        <w:gridCol w:w="2416"/>
        <w:gridCol w:w="2784"/>
        <w:gridCol w:w="4252"/>
        <w:gridCol w:w="2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343" w:hRule="atLeast"/>
        </w:trPr>
        <w:tc>
          <w:tcPr>
            <w:tcW w:w="15324" w:type="dxa"/>
            <w:gridSpan w:val="5"/>
            <w:tcMar>
              <w:top w:w="15" w:type="dxa"/>
              <w:left w:w="15" w:type="dxa"/>
              <w:right w:w="15" w:type="dxa"/>
            </w:tcMar>
            <w:vAlign w:val="bottom"/>
          </w:tcPr>
          <w:p>
            <w:pPr>
              <w:spacing w:line="400" w:lineRule="exact"/>
              <w:jc w:val="center"/>
              <w:textAlignment w:val="bottom"/>
              <w:rPr>
                <w:rFonts w:hint="default" w:ascii="Times New Roman" w:hAnsi="Times New Roman"/>
                <w:b/>
                <w:color w:val="000000"/>
                <w:kern w:val="2"/>
                <w:sz w:val="32"/>
                <w:szCs w:val="32"/>
              </w:rPr>
            </w:pPr>
            <w:r>
              <w:rPr>
                <w:rFonts w:hint="default" w:ascii="Times New Roman" w:hAnsi="Times New Roman"/>
                <w:b/>
                <w:color w:val="000000"/>
                <w:kern w:val="2"/>
                <w:sz w:val="32"/>
                <w:szCs w:val="32"/>
              </w:rPr>
              <w:t>机构运行信息表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44" w:hRule="atLeast"/>
        </w:trPr>
        <w:tc>
          <w:tcPr>
            <w:tcW w:w="3179" w:type="dxa"/>
            <w:tcMar>
              <w:top w:w="15" w:type="dxa"/>
              <w:left w:w="15" w:type="dxa"/>
              <w:right w:w="15" w:type="dxa"/>
            </w:tcMar>
            <w:vAlign w:val="bottom"/>
          </w:tcPr>
          <w:p>
            <w:pPr>
              <w:spacing w:line="280" w:lineRule="exact"/>
              <w:rPr>
                <w:rFonts w:hint="default" w:ascii="Times New Roman" w:hAnsi="Times New Roman"/>
                <w:color w:val="000000"/>
                <w:kern w:val="2"/>
                <w:sz w:val="20"/>
                <w:szCs w:val="20"/>
              </w:rPr>
            </w:pPr>
          </w:p>
        </w:tc>
        <w:tc>
          <w:tcPr>
            <w:tcW w:w="2416" w:type="dxa"/>
            <w:tcMar>
              <w:top w:w="15" w:type="dxa"/>
              <w:left w:w="15" w:type="dxa"/>
              <w:right w:w="15" w:type="dxa"/>
            </w:tcMar>
            <w:vAlign w:val="bottom"/>
          </w:tcPr>
          <w:p>
            <w:pPr>
              <w:spacing w:line="280" w:lineRule="exact"/>
              <w:jc w:val="center"/>
              <w:rPr>
                <w:rFonts w:hint="default" w:ascii="Times New Roman" w:hAnsi="Times New Roman"/>
                <w:color w:val="000000"/>
                <w:kern w:val="2"/>
                <w:sz w:val="20"/>
                <w:szCs w:val="20"/>
              </w:rPr>
            </w:pPr>
          </w:p>
        </w:tc>
        <w:tc>
          <w:tcPr>
            <w:tcW w:w="2784" w:type="dxa"/>
            <w:tcMar>
              <w:top w:w="15" w:type="dxa"/>
              <w:left w:w="15" w:type="dxa"/>
              <w:right w:w="15" w:type="dxa"/>
            </w:tcMar>
            <w:vAlign w:val="bottom"/>
          </w:tcPr>
          <w:p>
            <w:pPr>
              <w:spacing w:line="280" w:lineRule="exact"/>
              <w:jc w:val="right"/>
              <w:rPr>
                <w:rFonts w:hint="default" w:ascii="Times New Roman" w:hAnsi="Times New Roman"/>
                <w:color w:val="000000"/>
                <w:kern w:val="2"/>
                <w:sz w:val="20"/>
                <w:szCs w:val="20"/>
              </w:rPr>
            </w:pPr>
          </w:p>
        </w:tc>
        <w:tc>
          <w:tcPr>
            <w:tcW w:w="4252" w:type="dxa"/>
            <w:tcMar>
              <w:top w:w="15" w:type="dxa"/>
              <w:left w:w="15" w:type="dxa"/>
              <w:right w:w="15" w:type="dxa"/>
            </w:tcMar>
            <w:vAlign w:val="bottom"/>
          </w:tcPr>
          <w:p>
            <w:pPr>
              <w:spacing w:line="280" w:lineRule="exact"/>
              <w:rPr>
                <w:rFonts w:hint="default" w:ascii="Times New Roman" w:hAnsi="Times New Roman"/>
                <w:color w:val="000000"/>
                <w:kern w:val="2"/>
                <w:sz w:val="20"/>
                <w:szCs w:val="20"/>
              </w:rPr>
            </w:pPr>
          </w:p>
        </w:tc>
        <w:tc>
          <w:tcPr>
            <w:tcW w:w="2693" w:type="dxa"/>
            <w:tcMar>
              <w:top w:w="15" w:type="dxa"/>
              <w:left w:w="15" w:type="dxa"/>
              <w:right w:w="15" w:type="dxa"/>
            </w:tcMar>
            <w:vAlign w:val="bottom"/>
          </w:tcPr>
          <w:p>
            <w:pPr>
              <w:spacing w:line="28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44" w:hRule="atLeast"/>
        </w:trPr>
        <w:tc>
          <w:tcPr>
            <w:tcW w:w="5595" w:type="dxa"/>
            <w:gridSpan w:val="2"/>
            <w:tcBorders>
              <w:top w:val="nil"/>
              <w:left w:val="nil"/>
              <w:bottom w:val="single" w:color="auto" w:sz="4" w:space="0"/>
              <w:right w:val="nil"/>
            </w:tcBorders>
            <w:tcMar>
              <w:top w:w="15" w:type="dxa"/>
              <w:left w:w="15" w:type="dxa"/>
              <w:right w:w="15" w:type="dxa"/>
            </w:tcMar>
            <w:vAlign w:val="bottom"/>
          </w:tcPr>
          <w:p>
            <w:pPr>
              <w:spacing w:line="280" w:lineRule="exact"/>
              <w:rPr>
                <w:rFonts w:hint="default" w:ascii="Times New Roman" w:hAnsi="Times New Roman"/>
                <w:color w:val="000000"/>
                <w:kern w:val="2"/>
                <w:sz w:val="20"/>
                <w:szCs w:val="20"/>
              </w:rPr>
            </w:pPr>
            <w:r>
              <w:rPr>
                <w:rFonts w:hint="default" w:ascii="Times New Roman" w:hAnsi="Times New Roman"/>
                <w:color w:val="000000"/>
                <w:kern w:val="2"/>
                <w:sz w:val="20"/>
                <w:szCs w:val="20"/>
              </w:rPr>
              <w:t>部门：</w:t>
            </w:r>
            <w:r>
              <w:rPr>
                <w:rFonts w:hint="default" w:ascii="Times New Roman" w:hAnsi="Times New Roman"/>
                <w:color w:val="000000"/>
                <w:sz w:val="20"/>
              </w:rPr>
              <w:t>垫江县人民政府桂溪街道办事处</w:t>
            </w:r>
          </w:p>
        </w:tc>
        <w:tc>
          <w:tcPr>
            <w:tcW w:w="2784" w:type="dxa"/>
            <w:tcBorders>
              <w:top w:val="nil"/>
              <w:left w:val="nil"/>
              <w:bottom w:val="single" w:color="auto" w:sz="4" w:space="0"/>
              <w:right w:val="nil"/>
            </w:tcBorders>
            <w:tcMar>
              <w:top w:w="15" w:type="dxa"/>
              <w:left w:w="15" w:type="dxa"/>
              <w:right w:w="15" w:type="dxa"/>
            </w:tcMar>
            <w:vAlign w:val="bottom"/>
          </w:tcPr>
          <w:p>
            <w:pPr>
              <w:spacing w:line="280" w:lineRule="exact"/>
              <w:jc w:val="right"/>
              <w:rPr>
                <w:rFonts w:hint="default" w:ascii="Times New Roman" w:hAnsi="Times New Roman"/>
                <w:color w:val="000000"/>
                <w:kern w:val="2"/>
                <w:sz w:val="20"/>
                <w:szCs w:val="20"/>
              </w:rPr>
            </w:pPr>
          </w:p>
        </w:tc>
        <w:tc>
          <w:tcPr>
            <w:tcW w:w="4252" w:type="dxa"/>
            <w:tcBorders>
              <w:top w:val="nil"/>
              <w:left w:val="nil"/>
              <w:bottom w:val="single" w:color="auto" w:sz="4" w:space="0"/>
              <w:right w:val="nil"/>
            </w:tcBorders>
            <w:tcMar>
              <w:top w:w="15" w:type="dxa"/>
              <w:left w:w="15" w:type="dxa"/>
              <w:right w:w="15" w:type="dxa"/>
            </w:tcMar>
            <w:vAlign w:val="bottom"/>
          </w:tcPr>
          <w:p>
            <w:pPr>
              <w:spacing w:line="280" w:lineRule="exact"/>
              <w:rPr>
                <w:rFonts w:hint="default" w:ascii="Times New Roman" w:hAnsi="Times New Roman"/>
                <w:color w:val="000000"/>
                <w:kern w:val="2"/>
                <w:sz w:val="20"/>
                <w:szCs w:val="20"/>
              </w:rPr>
            </w:pPr>
          </w:p>
        </w:tc>
        <w:tc>
          <w:tcPr>
            <w:tcW w:w="2693" w:type="dxa"/>
            <w:tcBorders>
              <w:top w:val="nil"/>
              <w:left w:val="nil"/>
              <w:bottom w:val="single" w:color="auto" w:sz="4" w:space="0"/>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预算数</w:t>
            </w:r>
          </w:p>
        </w:tc>
        <w:tc>
          <w:tcPr>
            <w:tcW w:w="27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c>
          <w:tcPr>
            <w:tcW w:w="42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2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7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42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五、机关运行经费</w:t>
            </w:r>
          </w:p>
        </w:tc>
        <w:tc>
          <w:tcPr>
            <w:tcW w:w="2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430.26</w:t>
            </w: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18.49</w:t>
            </w:r>
            <w:r>
              <w:rPr>
                <w:rFonts w:hint="default" w:ascii="Times New Roman" w:hAnsi="Times New Roman"/>
                <w:color w:val="000000"/>
                <w:sz w:val="18"/>
              </w:rPr>
              <w:t xml:space="preserve"> </w:t>
            </w:r>
          </w:p>
        </w:tc>
        <w:tc>
          <w:tcPr>
            <w:tcW w:w="27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18.49</w:t>
            </w:r>
            <w:r>
              <w:rPr>
                <w:rFonts w:hint="default" w:ascii="Times New Roman" w:hAnsi="Times New Roman"/>
                <w:color w:val="000000"/>
                <w:sz w:val="18"/>
              </w:rPr>
              <w:t xml:space="preserve"> </w:t>
            </w:r>
          </w:p>
        </w:tc>
        <w:tc>
          <w:tcPr>
            <w:tcW w:w="42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（一）行政单位</w:t>
            </w:r>
          </w:p>
        </w:tc>
        <w:tc>
          <w:tcPr>
            <w:tcW w:w="2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430.26</w:t>
            </w: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27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42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（二）参照公务员法管理事业单位</w:t>
            </w:r>
          </w:p>
        </w:tc>
        <w:tc>
          <w:tcPr>
            <w:tcW w:w="2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13.25</w:t>
            </w:r>
            <w:r>
              <w:rPr>
                <w:rFonts w:hint="default" w:ascii="Times New Roman" w:hAnsi="Times New Roman"/>
                <w:color w:val="000000"/>
                <w:sz w:val="18"/>
              </w:rPr>
              <w:t xml:space="preserve"> </w:t>
            </w:r>
          </w:p>
        </w:tc>
        <w:tc>
          <w:tcPr>
            <w:tcW w:w="27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13.25</w:t>
            </w:r>
            <w:r>
              <w:rPr>
                <w:rFonts w:hint="default" w:ascii="Times New Roman" w:hAnsi="Times New Roman"/>
                <w:color w:val="000000"/>
                <w:sz w:val="18"/>
              </w:rPr>
              <w:t xml:space="preserve"> </w:t>
            </w:r>
          </w:p>
        </w:tc>
        <w:tc>
          <w:tcPr>
            <w:tcW w:w="42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六、资产信息</w:t>
            </w:r>
          </w:p>
        </w:tc>
        <w:tc>
          <w:tcPr>
            <w:tcW w:w="2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27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42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（一）车辆数合计（辆）</w:t>
            </w:r>
          </w:p>
        </w:tc>
        <w:tc>
          <w:tcPr>
            <w:tcW w:w="2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13.25</w:t>
            </w:r>
            <w:r>
              <w:rPr>
                <w:rFonts w:hint="default" w:ascii="Times New Roman" w:hAnsi="Times New Roman"/>
                <w:color w:val="000000"/>
                <w:sz w:val="18"/>
              </w:rPr>
              <w:t xml:space="preserve"> </w:t>
            </w:r>
          </w:p>
        </w:tc>
        <w:tc>
          <w:tcPr>
            <w:tcW w:w="27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13.25</w:t>
            </w:r>
            <w:r>
              <w:rPr>
                <w:rFonts w:hint="default" w:ascii="Times New Roman" w:hAnsi="Times New Roman"/>
                <w:color w:val="000000"/>
                <w:sz w:val="18"/>
              </w:rPr>
              <w:t xml:space="preserve"> </w:t>
            </w:r>
          </w:p>
        </w:tc>
        <w:tc>
          <w:tcPr>
            <w:tcW w:w="42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1．副部（省）级及以上领导用车</w:t>
            </w:r>
          </w:p>
        </w:tc>
        <w:tc>
          <w:tcPr>
            <w:tcW w:w="2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5.25</w:t>
            </w:r>
            <w:r>
              <w:rPr>
                <w:rFonts w:hint="default" w:ascii="Times New Roman" w:hAnsi="Times New Roman"/>
                <w:color w:val="000000"/>
                <w:sz w:val="18"/>
              </w:rPr>
              <w:t xml:space="preserve"> </w:t>
            </w:r>
          </w:p>
        </w:tc>
        <w:tc>
          <w:tcPr>
            <w:tcW w:w="27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5.25</w:t>
            </w:r>
            <w:r>
              <w:rPr>
                <w:rFonts w:hint="default" w:ascii="Times New Roman" w:hAnsi="Times New Roman"/>
                <w:color w:val="000000"/>
                <w:sz w:val="18"/>
              </w:rPr>
              <w:t xml:space="preserve"> </w:t>
            </w:r>
          </w:p>
        </w:tc>
        <w:tc>
          <w:tcPr>
            <w:tcW w:w="42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2．主要领导干部用车</w:t>
            </w:r>
          </w:p>
        </w:tc>
        <w:tc>
          <w:tcPr>
            <w:tcW w:w="2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7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5.25</w:t>
            </w:r>
            <w:r>
              <w:rPr>
                <w:rFonts w:hint="default" w:ascii="Times New Roman" w:hAnsi="Times New Roman"/>
                <w:color w:val="000000"/>
                <w:sz w:val="18"/>
              </w:rPr>
              <w:t xml:space="preserve"> </w:t>
            </w:r>
          </w:p>
        </w:tc>
        <w:tc>
          <w:tcPr>
            <w:tcW w:w="42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3．机要通信用车</w:t>
            </w:r>
          </w:p>
        </w:tc>
        <w:tc>
          <w:tcPr>
            <w:tcW w:w="2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7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42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4．应急保障用车</w:t>
            </w:r>
          </w:p>
        </w:tc>
        <w:tc>
          <w:tcPr>
            <w:tcW w:w="2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7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42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5．执法执勤用车</w:t>
            </w:r>
          </w:p>
        </w:tc>
        <w:tc>
          <w:tcPr>
            <w:tcW w:w="2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7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42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6．特种专业技术用车</w:t>
            </w:r>
          </w:p>
        </w:tc>
        <w:tc>
          <w:tcPr>
            <w:tcW w:w="2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7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42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7．离退休干部用车</w:t>
            </w:r>
          </w:p>
        </w:tc>
        <w:tc>
          <w:tcPr>
            <w:tcW w:w="2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7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42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8．其他用车</w:t>
            </w:r>
          </w:p>
        </w:tc>
        <w:tc>
          <w:tcPr>
            <w:tcW w:w="2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7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42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（二）单价100万元（含）以上设备（不含车辆）</w:t>
            </w:r>
          </w:p>
        </w:tc>
        <w:tc>
          <w:tcPr>
            <w:tcW w:w="2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7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hint="default" w:ascii="Times New Roman" w:hAnsi="Times New Roman"/>
                <w:color w:val="000000"/>
                <w:sz w:val="18"/>
              </w:rPr>
              <w:t xml:space="preserve"> </w:t>
            </w:r>
          </w:p>
        </w:tc>
        <w:tc>
          <w:tcPr>
            <w:tcW w:w="42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七、政府采购支出信息</w:t>
            </w:r>
          </w:p>
        </w:tc>
        <w:tc>
          <w:tcPr>
            <w:tcW w:w="2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7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138</w:t>
            </w:r>
            <w:r>
              <w:rPr>
                <w:rFonts w:hint="default" w:ascii="Times New Roman" w:hAnsi="Times New Roman"/>
                <w:color w:val="000000"/>
                <w:sz w:val="18"/>
              </w:rPr>
              <w:t xml:space="preserve"> </w:t>
            </w:r>
          </w:p>
        </w:tc>
        <w:tc>
          <w:tcPr>
            <w:tcW w:w="42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（一）政府采购支出合计</w:t>
            </w:r>
          </w:p>
        </w:tc>
        <w:tc>
          <w:tcPr>
            <w:tcW w:w="2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2.33</w:t>
            </w: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7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42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1．政府采购货物支出</w:t>
            </w:r>
          </w:p>
        </w:tc>
        <w:tc>
          <w:tcPr>
            <w:tcW w:w="2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2.33</w:t>
            </w: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7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832</w:t>
            </w:r>
            <w:r>
              <w:rPr>
                <w:rFonts w:hint="default" w:ascii="Times New Roman" w:hAnsi="Times New Roman"/>
                <w:color w:val="000000"/>
                <w:sz w:val="18"/>
              </w:rPr>
              <w:t xml:space="preserve"> </w:t>
            </w:r>
          </w:p>
        </w:tc>
        <w:tc>
          <w:tcPr>
            <w:tcW w:w="42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2．政府采购工程支出</w:t>
            </w:r>
          </w:p>
        </w:tc>
        <w:tc>
          <w:tcPr>
            <w:tcW w:w="2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7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42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3．政府采购服务支出</w:t>
            </w:r>
          </w:p>
        </w:tc>
        <w:tc>
          <w:tcPr>
            <w:tcW w:w="2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7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42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（二）政府采购授予中小企业合同金额</w:t>
            </w:r>
          </w:p>
        </w:tc>
        <w:tc>
          <w:tcPr>
            <w:tcW w:w="2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2.33</w:t>
            </w: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7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42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其中：授予小微企业合同金额</w:t>
            </w:r>
          </w:p>
        </w:tc>
        <w:tc>
          <w:tcPr>
            <w:tcW w:w="2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2.33</w:t>
            </w:r>
            <w:r>
              <w:rPr>
                <w:rFonts w:hint="default"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7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1.38</w:t>
            </w:r>
            <w:r>
              <w:rPr>
                <w:rFonts w:hint="default" w:ascii="Times New Roman" w:hAnsi="Times New Roman"/>
                <w:color w:val="000000"/>
                <w:sz w:val="18"/>
              </w:rPr>
              <w:t xml:space="preserve"> </w:t>
            </w:r>
          </w:p>
        </w:tc>
        <w:tc>
          <w:tcPr>
            <w:tcW w:w="42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ascii="Times New Roman" w:hAnsi="Times New Roman"/>
                <w:color w:val="000000"/>
                <w:kern w:val="2"/>
                <w:sz w:val="16"/>
                <w:szCs w:val="16"/>
              </w:rPr>
            </w:pPr>
          </w:p>
        </w:tc>
        <w:tc>
          <w:tcPr>
            <w:tcW w:w="2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ascii="Times New Roman" w:hAnsi="Times New Roman"/>
                <w:color w:val="000000"/>
                <w:kern w:val="2"/>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7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3.22</w:t>
            </w:r>
            <w:r>
              <w:rPr>
                <w:rFonts w:hint="default" w:ascii="Times New Roman" w:hAnsi="Times New Roman"/>
                <w:color w:val="000000"/>
                <w:sz w:val="18"/>
              </w:rPr>
              <w:t xml:space="preserve"> </w:t>
            </w:r>
          </w:p>
        </w:tc>
        <w:tc>
          <w:tcPr>
            <w:tcW w:w="42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ascii="Times New Roman" w:hAnsi="Times New Roman"/>
                <w:color w:val="000000"/>
                <w:kern w:val="2"/>
                <w:sz w:val="16"/>
                <w:szCs w:val="16"/>
              </w:rPr>
            </w:pPr>
          </w:p>
        </w:tc>
        <w:tc>
          <w:tcPr>
            <w:tcW w:w="2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ascii="Times New Roman" w:hAnsi="Times New Roman"/>
                <w:color w:val="000000"/>
                <w:kern w:val="2"/>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sz w:val="16"/>
                <w:szCs w:val="16"/>
              </w:rPr>
            </w:pPr>
            <w:r>
              <w:rPr>
                <w:rFonts w:hint="default" w:ascii="Times New Roman" w:hAnsi="Times New Roman"/>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7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83.51</w:t>
            </w:r>
            <w:r>
              <w:rPr>
                <w:rFonts w:hint="default" w:ascii="Times New Roman" w:hAnsi="Times New Roman"/>
                <w:color w:val="000000"/>
                <w:sz w:val="18"/>
              </w:rPr>
              <w:t xml:space="preserve"> </w:t>
            </w:r>
          </w:p>
        </w:tc>
        <w:tc>
          <w:tcPr>
            <w:tcW w:w="42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ascii="Times New Roman" w:hAnsi="Times New Roman"/>
                <w:color w:val="000000"/>
                <w:sz w:val="16"/>
                <w:szCs w:val="16"/>
              </w:rPr>
            </w:pPr>
          </w:p>
        </w:tc>
        <w:tc>
          <w:tcPr>
            <w:tcW w:w="2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ascii="Times New Roman" w:hAnsi="Times New Roman"/>
                <w:color w:val="000000"/>
                <w:sz w:val="16"/>
                <w:szCs w:val="16"/>
              </w:rPr>
            </w:pPr>
          </w:p>
        </w:tc>
      </w:tr>
    </w:tbl>
    <w:p>
      <w:pPr>
        <w:rPr>
          <w:rFonts w:hint="default" w:ascii="Times New Roman" w:hAnsi="Times New Roman"/>
          <w:color w:val="000000"/>
        </w:rPr>
      </w:pPr>
      <w:r>
        <w:rPr>
          <w:rFonts w:hint="default" w:ascii="Times New Roman" w:hAnsi="Times New Roman"/>
          <w:color w:val="000000"/>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olor w:val="000000"/>
          <w:sz w:val="18"/>
          <w:szCs w:val="18"/>
        </w:rPr>
        <w:br/>
      </w:r>
      <w:r>
        <w:rPr>
          <w:rFonts w:hint="default" w:ascii="Times New Roman" w:hAnsi="Times New Roman"/>
          <w:color w:val="000000"/>
          <w:sz w:val="18"/>
          <w:szCs w:val="18"/>
        </w:rPr>
        <w:t xml:space="preserve">      2.本套报表金额单位转换时可能存在尾数误差。</w:t>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方正小标宋_GBK">
    <w:altName w:val="Arial Unicode MS"/>
    <w:panose1 w:val="03000509000000000000"/>
    <w:charset w:val="86"/>
    <w:family w:val="auto"/>
    <w:pitch w:val="default"/>
    <w:sig w:usb0="00000001" w:usb1="080E0000" w:usb2="00000010" w:usb3="00000000" w:csb0="00040000" w:csb1="00000000"/>
  </w:font>
  <w:font w:name="方正仿宋_GBK">
    <w:altName w:val="Arial Unicode MS"/>
    <w:panose1 w:val="03000509000000000000"/>
    <w:charset w:val="86"/>
    <w:family w:val="auto"/>
    <w:pitch w:val="default"/>
    <w:sig w:usb0="00000001" w:usb1="080E0000" w:usb2="00000010" w:usb3="00000000" w:csb0="00040000" w:csb1="00000000"/>
  </w:font>
  <w:font w:name="方正黑体_GBK">
    <w:altName w:val="Arial Unicode MS"/>
    <w:panose1 w:val="03000509000000000000"/>
    <w:charset w:val="86"/>
    <w:family w:val="auto"/>
    <w:pitch w:val="default"/>
    <w:sig w:usb0="00000001" w:usb1="080E0000" w:usb2="00000010" w:usb3="00000000" w:csb0="00040000" w:csb1="00000000"/>
  </w:font>
  <w:font w:name="方正楷体_GBK">
    <w:altName w:val="Arial Unicode MS"/>
    <w:panose1 w:val="03000509000000000000"/>
    <w:charset w:val="86"/>
    <w:family w:val="auto"/>
    <w:pitch w:val="default"/>
    <w:sig w:usb0="00000001" w:usb1="080E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rPr>
        <w:rFonts w:hint="default"/>
      </w:rPr>
    </w:pPr>
    <w:r>
      <w:rPr>
        <w:rFonts w:hint="default" w:ascii="宋体" w:hAnsi="宋体" w:eastAsia="宋体" w:cs="Times New Roman"/>
        <w:sz w:val="18"/>
        <w:szCs w:val="18"/>
        <w:lang w:val="en-US" w:eastAsia="zh-CN" w:bidi="ar-SA"/>
      </w:rPr>
      <w:pict>
        <v:rect id="文本框 1" o:spid="_x0000_s1025" style="position:absolute;left:0;margin-top:0pt;height:144pt;width:144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4"/>
                  <w:rPr>
                    <w:rFonts w:hint="default"/>
                    <w:sz w:val="24"/>
                    <w:szCs w:val="24"/>
                  </w:rPr>
                </w:pPr>
                <w:r>
                  <w:rPr>
                    <w:sz w:val="24"/>
                    <w:szCs w:val="24"/>
                  </w:rPr>
                  <w:fldChar w:fldCharType="begin"/>
                </w:r>
                <w:r>
                  <w:rPr>
                    <w:sz w:val="24"/>
                    <w:szCs w:val="24"/>
                  </w:rPr>
                  <w:instrText xml:space="preserve"> PAGE  \* MERGEFORMAT </w:instrText>
                </w:r>
                <w:r>
                  <w:rPr>
                    <w:sz w:val="24"/>
                    <w:szCs w:val="24"/>
                  </w:rPr>
                  <w:fldChar w:fldCharType="separate"/>
                </w:r>
                <w:r>
                  <w:rPr>
                    <w:rFonts w:hint="default"/>
                    <w:sz w:val="24"/>
                    <w:szCs w:val="24"/>
                  </w:rPr>
                  <w:t>- 23 -</w:t>
                </w:r>
                <w:r>
                  <w:rPr>
                    <w:sz w:val="24"/>
                    <w:szCs w:val="24"/>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both"/>
      <w:rPr>
        <w:rFonts w:hint="default"/>
      </w:rPr>
    </w:pPr>
    <w:r>
      <w:rPr>
        <w:rFonts w:hint="default" w:ascii="宋体" w:hAnsi="宋体" w:eastAsia="宋体" w:cs="Times New Roman"/>
        <w:sz w:val="18"/>
        <w:szCs w:val="18"/>
        <w:lang w:val="en-US" w:eastAsia="zh-CN" w:bidi="ar-SA"/>
      </w:rPr>
      <w:pict>
        <v:rect id="文本框 127" o:spid="_x0000_s1026" style="position:absolute;left:0;margin-top:0pt;height:144pt;width:144pt;mso-position-horizontal:center;mso-position-horizontal-relative:margin;mso-wrap-style:none;rotation:0f;z-index:251659264;" o:ole="f" fillcolor="#FFFFFF" filled="f" o:preferrelative="t" stroked="f" coordsize="21600,21600" o:allowoverlap="f">
          <v:fill on="f" color2="#FFFFFF" focus="0%"/>
          <v:imagedata gain="65536f" blacklevel="0f" gamma="0"/>
          <o:lock v:ext="edit" position="f" selection="f" grouping="f" rotation="f" cropping="f" text="f" aspectratio="f"/>
          <v:textbox inset="0.00pt,0.00pt,0.00pt,0.00pt" style="mso-fit-shape-to-text:t;">
            <w:txbxContent>
              <w:p>
                <w:pPr>
                  <w:pStyle w:val="4"/>
                  <w:rPr>
                    <w:rFonts w:hint="default"/>
                    <w:sz w:val="24"/>
                    <w:szCs w:val="24"/>
                  </w:rPr>
                </w:pPr>
                <w:r>
                  <w:rPr>
                    <w:sz w:val="24"/>
                    <w:szCs w:val="24"/>
                  </w:rPr>
                  <w:t xml:space="preserve"> </w:t>
                </w:r>
                <w:r>
                  <w:rPr>
                    <w:sz w:val="24"/>
                    <w:szCs w:val="24"/>
                  </w:rPr>
                  <w:fldChar w:fldCharType="begin"/>
                </w:r>
                <w:r>
                  <w:rPr>
                    <w:sz w:val="24"/>
                    <w:szCs w:val="24"/>
                  </w:rPr>
                  <w:instrText xml:space="preserve">PAGE   \* MERGEFORMAT</w:instrText>
                </w:r>
                <w:r>
                  <w:rPr>
                    <w:sz w:val="24"/>
                    <w:szCs w:val="24"/>
                  </w:rPr>
                  <w:fldChar w:fldCharType="separate"/>
                </w:r>
                <w:r>
                  <w:rPr>
                    <w:rFonts w:hint="default"/>
                    <w:sz w:val="24"/>
                    <w:szCs w:val="24"/>
                    <w:lang w:val="zh-CN"/>
                  </w:rPr>
                  <w:t>-</w:t>
                </w:r>
                <w:r>
                  <w:rPr>
                    <w:rFonts w:hint="default"/>
                    <w:sz w:val="24"/>
                    <w:szCs w:val="24"/>
                  </w:rPr>
                  <w:t xml:space="preserve"> 32 -</w:t>
                </w:r>
                <w:r>
                  <w:rPr>
                    <w:sz w:val="24"/>
                    <w:szCs w:val="24"/>
                  </w:rPr>
                  <w:fldChar w:fldCharType="end"/>
                </w:r>
                <w:r>
                  <w:rPr>
                    <w:sz w:val="24"/>
                    <w:szCs w:val="24"/>
                  </w:rPr>
                  <w:t xml:space="preserve"> </w:t>
                </w:r>
              </w:p>
            </w:txbxContent>
          </v:textbox>
        </v:rect>
      </w:pict>
    </w:r>
    <w:r>
      <w:rPr>
        <w:rFonts w:hint="default" w:ascii="宋体" w:hAnsi="宋体" w:eastAsia="宋体" w:cs="Times New Roman"/>
        <w:sz w:val="18"/>
        <w:szCs w:val="18"/>
        <w:lang w:val="en-US" w:eastAsia="zh-CN" w:bidi="ar-SA"/>
      </w:rPr>
      <w:pict>
        <v:rect id="文本框 126" o:spid="_x0000_s1027" style="position:absolute;left:0;margin-top:1160.4pt;height:17.4pt;width:144pt;mso-position-horizontal:center;mso-position-horizontal-relative:margin;mso-position-vertical-relative:page;mso-wrap-style:none;rotation:0f;z-index:251658240;" o:ole="f" fillcolor="#FFFFFF" filled="f" o:preferrelative="t" stroked="f" coordsize="21600,21600" o:allowoverlap="f">
          <v:fill on="f" color2="#FFFFFF" focus="0%"/>
          <v:imagedata gain="65536f" blacklevel="0f" gamma="0"/>
          <o:lock v:ext="edit" position="f" selection="f" grouping="f" rotation="f" cropping="f" text="f" aspectratio="f"/>
          <v:textbox inset="0.00pt,0.00pt,0.00pt,0.00pt">
            <w:txbxContent>
              <w:p>
                <w:pPr>
                  <w:pStyle w:val="4"/>
                  <w:jc w:val="both"/>
                  <w:rPr>
                    <w:rFonts w:hint="default" w:cs="宋体"/>
                  </w:rPr>
                </w:pPr>
                <w:r>
                  <w:rPr>
                    <w:rFonts w:cs="宋体"/>
                  </w:rPr>
                  <w:t>— 27.1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OGQwYWQ1YTE0ZDA0NjgxYzlhMjZlMDExNTFmMWI3MmEifQ=="/>
  </w:docVars>
  <w:rsids>
    <w:rsidRoot w:val="00B03CCD"/>
    <w:rsid w:val="000C01CC"/>
    <w:rsid w:val="000D7702"/>
    <w:rsid w:val="001D0DF5"/>
    <w:rsid w:val="001F0BEC"/>
    <w:rsid w:val="0024628F"/>
    <w:rsid w:val="00261065"/>
    <w:rsid w:val="002D0E5A"/>
    <w:rsid w:val="002E5443"/>
    <w:rsid w:val="0032196C"/>
    <w:rsid w:val="00355387"/>
    <w:rsid w:val="003C5A96"/>
    <w:rsid w:val="00406A27"/>
    <w:rsid w:val="00490F5E"/>
    <w:rsid w:val="004C12FF"/>
    <w:rsid w:val="00550ABE"/>
    <w:rsid w:val="00571792"/>
    <w:rsid w:val="005B023C"/>
    <w:rsid w:val="00600322"/>
    <w:rsid w:val="006137D7"/>
    <w:rsid w:val="00634FA8"/>
    <w:rsid w:val="0063613A"/>
    <w:rsid w:val="00664FE7"/>
    <w:rsid w:val="006E2034"/>
    <w:rsid w:val="00732392"/>
    <w:rsid w:val="00777795"/>
    <w:rsid w:val="00792285"/>
    <w:rsid w:val="007A0D2E"/>
    <w:rsid w:val="007A3314"/>
    <w:rsid w:val="007B419D"/>
    <w:rsid w:val="00810F13"/>
    <w:rsid w:val="0094084D"/>
    <w:rsid w:val="00944711"/>
    <w:rsid w:val="00953FB5"/>
    <w:rsid w:val="009821E3"/>
    <w:rsid w:val="00984852"/>
    <w:rsid w:val="009B67B8"/>
    <w:rsid w:val="00A03B1E"/>
    <w:rsid w:val="00A67739"/>
    <w:rsid w:val="00A74CB9"/>
    <w:rsid w:val="00A820B7"/>
    <w:rsid w:val="00AC5566"/>
    <w:rsid w:val="00B03CCD"/>
    <w:rsid w:val="00B40138"/>
    <w:rsid w:val="00B66173"/>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4B3A24"/>
    <w:rsid w:val="03B87EA0"/>
    <w:rsid w:val="03E3214F"/>
    <w:rsid w:val="044C50BA"/>
    <w:rsid w:val="04B563EA"/>
    <w:rsid w:val="058A692C"/>
    <w:rsid w:val="05A97AB3"/>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1002E2"/>
    <w:rsid w:val="0B9335CE"/>
    <w:rsid w:val="0C7927C4"/>
    <w:rsid w:val="0C9B098C"/>
    <w:rsid w:val="0D2D0470"/>
    <w:rsid w:val="0D673E11"/>
    <w:rsid w:val="0D7456BC"/>
    <w:rsid w:val="0DDA54E4"/>
    <w:rsid w:val="0DF44FA5"/>
    <w:rsid w:val="0E06648F"/>
    <w:rsid w:val="0E3A5F83"/>
    <w:rsid w:val="0E74421A"/>
    <w:rsid w:val="0F836721"/>
    <w:rsid w:val="0FA25D96"/>
    <w:rsid w:val="107B59E5"/>
    <w:rsid w:val="10EC0126"/>
    <w:rsid w:val="10F70B9A"/>
    <w:rsid w:val="111445C7"/>
    <w:rsid w:val="114278C6"/>
    <w:rsid w:val="1158083A"/>
    <w:rsid w:val="11643A4B"/>
    <w:rsid w:val="11772283"/>
    <w:rsid w:val="11AE7451"/>
    <w:rsid w:val="11ED0F98"/>
    <w:rsid w:val="11F03528"/>
    <w:rsid w:val="122675B0"/>
    <w:rsid w:val="12336AC6"/>
    <w:rsid w:val="12C921C4"/>
    <w:rsid w:val="13871C70"/>
    <w:rsid w:val="13A71CB4"/>
    <w:rsid w:val="13AF1D43"/>
    <w:rsid w:val="13CE1647"/>
    <w:rsid w:val="13FD55AB"/>
    <w:rsid w:val="14200702"/>
    <w:rsid w:val="14D723BA"/>
    <w:rsid w:val="15D1287E"/>
    <w:rsid w:val="162E6FB6"/>
    <w:rsid w:val="163A6CEE"/>
    <w:rsid w:val="173708E3"/>
    <w:rsid w:val="17C374FC"/>
    <w:rsid w:val="189079DC"/>
    <w:rsid w:val="189B0D0B"/>
    <w:rsid w:val="18B43F7C"/>
    <w:rsid w:val="18F106FE"/>
    <w:rsid w:val="194A1770"/>
    <w:rsid w:val="19B906A4"/>
    <w:rsid w:val="1B6F15B6"/>
    <w:rsid w:val="1BAA2EDC"/>
    <w:rsid w:val="1C5C0973"/>
    <w:rsid w:val="1C970BB9"/>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156B69"/>
    <w:rsid w:val="24B92327"/>
    <w:rsid w:val="24C14514"/>
    <w:rsid w:val="2533755C"/>
    <w:rsid w:val="25791755"/>
    <w:rsid w:val="26396DF4"/>
    <w:rsid w:val="27167136"/>
    <w:rsid w:val="27B23302"/>
    <w:rsid w:val="27FE151C"/>
    <w:rsid w:val="29310A5F"/>
    <w:rsid w:val="29C37A35"/>
    <w:rsid w:val="2A076083"/>
    <w:rsid w:val="2A73162E"/>
    <w:rsid w:val="2B167953"/>
    <w:rsid w:val="2B200583"/>
    <w:rsid w:val="2B8209DE"/>
    <w:rsid w:val="2C6762A3"/>
    <w:rsid w:val="2EBF7B3E"/>
    <w:rsid w:val="2EDE1934"/>
    <w:rsid w:val="2EF57185"/>
    <w:rsid w:val="2FCA4B37"/>
    <w:rsid w:val="2FE029D7"/>
    <w:rsid w:val="2FF06E00"/>
    <w:rsid w:val="30562E26"/>
    <w:rsid w:val="30586FEC"/>
    <w:rsid w:val="30CA3D23"/>
    <w:rsid w:val="30EC7046"/>
    <w:rsid w:val="315F0B22"/>
    <w:rsid w:val="319D022C"/>
    <w:rsid w:val="31C90022"/>
    <w:rsid w:val="31D84415"/>
    <w:rsid w:val="32285F6F"/>
    <w:rsid w:val="32770556"/>
    <w:rsid w:val="329C0913"/>
    <w:rsid w:val="32AA0460"/>
    <w:rsid w:val="3337290D"/>
    <w:rsid w:val="33E31118"/>
    <w:rsid w:val="33EF7674"/>
    <w:rsid w:val="33F96400"/>
    <w:rsid w:val="342D7BC6"/>
    <w:rsid w:val="352930DB"/>
    <w:rsid w:val="35573069"/>
    <w:rsid w:val="355F6038"/>
    <w:rsid w:val="358C217E"/>
    <w:rsid w:val="35937598"/>
    <w:rsid w:val="36C9128A"/>
    <w:rsid w:val="372A747D"/>
    <w:rsid w:val="372E3953"/>
    <w:rsid w:val="37841E99"/>
    <w:rsid w:val="37BF1123"/>
    <w:rsid w:val="383C3F15"/>
    <w:rsid w:val="38BE4696"/>
    <w:rsid w:val="3939115E"/>
    <w:rsid w:val="39933691"/>
    <w:rsid w:val="39B82A39"/>
    <w:rsid w:val="39C42CA8"/>
    <w:rsid w:val="39DC4FD6"/>
    <w:rsid w:val="39F03D7A"/>
    <w:rsid w:val="39F33306"/>
    <w:rsid w:val="3A2C1C67"/>
    <w:rsid w:val="3B1705E5"/>
    <w:rsid w:val="3B18334B"/>
    <w:rsid w:val="3B36794F"/>
    <w:rsid w:val="3BFE87F0"/>
    <w:rsid w:val="3C566AD6"/>
    <w:rsid w:val="3C5F4041"/>
    <w:rsid w:val="3C6A5B02"/>
    <w:rsid w:val="3D2757A1"/>
    <w:rsid w:val="3D3D4FC4"/>
    <w:rsid w:val="3DDF3AB1"/>
    <w:rsid w:val="3DEF7496"/>
    <w:rsid w:val="3E1D0952"/>
    <w:rsid w:val="3E42660A"/>
    <w:rsid w:val="3E7555B1"/>
    <w:rsid w:val="3E787ED9"/>
    <w:rsid w:val="3EEC37F3"/>
    <w:rsid w:val="3F032E93"/>
    <w:rsid w:val="3F0527E5"/>
    <w:rsid w:val="3F5577CC"/>
    <w:rsid w:val="3F694D83"/>
    <w:rsid w:val="3F885DCC"/>
    <w:rsid w:val="3FCD675E"/>
    <w:rsid w:val="4004000C"/>
    <w:rsid w:val="411B6CE5"/>
    <w:rsid w:val="412070D7"/>
    <w:rsid w:val="41314E40"/>
    <w:rsid w:val="41E0734B"/>
    <w:rsid w:val="426554D0"/>
    <w:rsid w:val="426C1EA8"/>
    <w:rsid w:val="42736402"/>
    <w:rsid w:val="42E86A87"/>
    <w:rsid w:val="43307B09"/>
    <w:rsid w:val="438A213A"/>
    <w:rsid w:val="438D0E97"/>
    <w:rsid w:val="43BB152F"/>
    <w:rsid w:val="445C59E8"/>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A8E0B6B"/>
    <w:rsid w:val="4B0502DF"/>
    <w:rsid w:val="4B135857"/>
    <w:rsid w:val="4B7951CB"/>
    <w:rsid w:val="4B7C315C"/>
    <w:rsid w:val="4BC80C51"/>
    <w:rsid w:val="4DAC4ACA"/>
    <w:rsid w:val="4DBE01D2"/>
    <w:rsid w:val="4EFC6D10"/>
    <w:rsid w:val="4F0C6BA3"/>
    <w:rsid w:val="4F10477D"/>
    <w:rsid w:val="4F186D58"/>
    <w:rsid w:val="4FB157F1"/>
    <w:rsid w:val="4FEA65B7"/>
    <w:rsid w:val="4FF4660A"/>
    <w:rsid w:val="50114CE4"/>
    <w:rsid w:val="50F06B6E"/>
    <w:rsid w:val="50F172DA"/>
    <w:rsid w:val="511C4FE5"/>
    <w:rsid w:val="52234D33"/>
    <w:rsid w:val="522F6E0C"/>
    <w:rsid w:val="52463BA1"/>
    <w:rsid w:val="52F163D4"/>
    <w:rsid w:val="531A2DB4"/>
    <w:rsid w:val="538A58B6"/>
    <w:rsid w:val="53C0244D"/>
    <w:rsid w:val="53DD4D4E"/>
    <w:rsid w:val="53E578CE"/>
    <w:rsid w:val="541330F0"/>
    <w:rsid w:val="54272666"/>
    <w:rsid w:val="543B029D"/>
    <w:rsid w:val="54861779"/>
    <w:rsid w:val="552256E1"/>
    <w:rsid w:val="552D100F"/>
    <w:rsid w:val="554E5773"/>
    <w:rsid w:val="555A3CBC"/>
    <w:rsid w:val="5582012B"/>
    <w:rsid w:val="558E4E05"/>
    <w:rsid w:val="55BE2E85"/>
    <w:rsid w:val="56530F5D"/>
    <w:rsid w:val="567700D3"/>
    <w:rsid w:val="56FF7E9E"/>
    <w:rsid w:val="578867FC"/>
    <w:rsid w:val="5842572D"/>
    <w:rsid w:val="58805462"/>
    <w:rsid w:val="5A3B59D6"/>
    <w:rsid w:val="5AD134D8"/>
    <w:rsid w:val="5B6503B1"/>
    <w:rsid w:val="5B7FC2C8"/>
    <w:rsid w:val="5BD9640D"/>
    <w:rsid w:val="5C263CE4"/>
    <w:rsid w:val="5C5D2777"/>
    <w:rsid w:val="5CF66BF3"/>
    <w:rsid w:val="5D290C69"/>
    <w:rsid w:val="5D6218D0"/>
    <w:rsid w:val="5E6FBD61"/>
    <w:rsid w:val="5EBFD545"/>
    <w:rsid w:val="5F243AD9"/>
    <w:rsid w:val="5F2D4A41"/>
    <w:rsid w:val="5F7E16D2"/>
    <w:rsid w:val="60C74F6C"/>
    <w:rsid w:val="61025A59"/>
    <w:rsid w:val="613D5BBC"/>
    <w:rsid w:val="61536C39"/>
    <w:rsid w:val="61740135"/>
    <w:rsid w:val="62944DD7"/>
    <w:rsid w:val="63085D70"/>
    <w:rsid w:val="6319381F"/>
    <w:rsid w:val="63236436"/>
    <w:rsid w:val="6366447C"/>
    <w:rsid w:val="63C25DC5"/>
    <w:rsid w:val="63C62057"/>
    <w:rsid w:val="644C61E3"/>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1C36BE"/>
    <w:rsid w:val="69475C96"/>
    <w:rsid w:val="6AAD2300"/>
    <w:rsid w:val="6B474EF5"/>
    <w:rsid w:val="6BBF53FD"/>
    <w:rsid w:val="6C560CAE"/>
    <w:rsid w:val="6C576495"/>
    <w:rsid w:val="6CA97B6E"/>
    <w:rsid w:val="6D903FF5"/>
    <w:rsid w:val="6DA955B8"/>
    <w:rsid w:val="6DE346AB"/>
    <w:rsid w:val="6DE5391A"/>
    <w:rsid w:val="6EA107D2"/>
    <w:rsid w:val="6EBE35EC"/>
    <w:rsid w:val="6EFD1324"/>
    <w:rsid w:val="6F5A53AC"/>
    <w:rsid w:val="6FAC003D"/>
    <w:rsid w:val="6FE55E12"/>
    <w:rsid w:val="6FFB2E76"/>
    <w:rsid w:val="708F6F7F"/>
    <w:rsid w:val="70D94BD3"/>
    <w:rsid w:val="71C34D91"/>
    <w:rsid w:val="726B0114"/>
    <w:rsid w:val="72DB435C"/>
    <w:rsid w:val="72E2613A"/>
    <w:rsid w:val="72F771F4"/>
    <w:rsid w:val="736650B0"/>
    <w:rsid w:val="73934AD2"/>
    <w:rsid w:val="750837F0"/>
    <w:rsid w:val="754758CF"/>
    <w:rsid w:val="75FF84C0"/>
    <w:rsid w:val="764F62AB"/>
    <w:rsid w:val="765C45EC"/>
    <w:rsid w:val="768A7619"/>
    <w:rsid w:val="772E1EBA"/>
    <w:rsid w:val="779723A3"/>
    <w:rsid w:val="77DB55AB"/>
    <w:rsid w:val="77EB79F7"/>
    <w:rsid w:val="7954082B"/>
    <w:rsid w:val="796A0DB3"/>
    <w:rsid w:val="796D60A4"/>
    <w:rsid w:val="79A031D5"/>
    <w:rsid w:val="7A1525F7"/>
    <w:rsid w:val="7B420052"/>
    <w:rsid w:val="7B861484"/>
    <w:rsid w:val="7BD06A28"/>
    <w:rsid w:val="7C3A7C0B"/>
    <w:rsid w:val="7C5248E4"/>
    <w:rsid w:val="7C566698"/>
    <w:rsid w:val="7C5866A3"/>
    <w:rsid w:val="7D7406BB"/>
    <w:rsid w:val="7D7D5030"/>
    <w:rsid w:val="7DBB3041"/>
    <w:rsid w:val="7DBB4836"/>
    <w:rsid w:val="7DE94331"/>
    <w:rsid w:val="7F446A19"/>
    <w:rsid w:val="7F7452B9"/>
    <w:rsid w:val="7FAB3A3B"/>
    <w:rsid w:val="7FF5E716"/>
    <w:rsid w:val="DFFA5AC6"/>
    <w:rsid w:val="EFFEBDF5"/>
    <w:rsid w:val="F6E7EEC1"/>
    <w:rsid w:val="F7FE7880"/>
    <w:rsid w:val="F97E90D4"/>
    <w:rsid w:val="FBB7779D"/>
  </w:rsids>
  <w:doNotAutoCompressPicture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uiPriority w:val="1"/>
  </w:style>
  <w:style w:type="table" w:default="1" w:styleId="10">
    <w:name w:val="Normal Table"/>
    <w:unhideWhenUsed/>
    <w:uiPriority w:val="99"/>
    <w:tblPr>
      <w:tblStyle w:val="10"/>
      <w:tblLayout w:type="fixed"/>
      <w:tblCellMar>
        <w:top w:w="0" w:type="dxa"/>
        <w:left w:w="108" w:type="dxa"/>
        <w:bottom w:w="0" w:type="dxa"/>
        <w:right w:w="108" w:type="dxa"/>
      </w:tblCellMar>
    </w:tblPr>
    <w:tcPr>
      <w:textDirection w:val="lrTb"/>
    </w:tcPr>
  </w:style>
  <w:style w:type="paragraph" w:styleId="2">
    <w:name w:val="Normal Indent"/>
    <w:basedOn w:val="1"/>
    <w:next w:val="1"/>
    <w:qFormat/>
    <w:uiPriority w:val="0"/>
    <w:pPr>
      <w:ind w:firstLine="420" w:firstLineChars="200"/>
    </w:pPr>
    <w:rPr>
      <w:rFonts w:cs="Calibri"/>
      <w:szCs w:val="21"/>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character" w:customStyle="1" w:styleId="16">
    <w:name w:val="批注框文本 字符"/>
    <w:basedOn w:val="8"/>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5860</Words>
  <Characters>33402</Characters>
  <Lines>278</Lines>
  <Paragraphs>78</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Administrator</cp:lastModifiedBy>
  <dcterms:modified xsi:type="dcterms:W3CDTF">2025-09-17T01:54:49Z</dcterms:modified>
  <dc:title>垫江县人民政府桂溪街道办事处2024年度决算公开说明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y fmtid="{D5CDD505-2E9C-101B-9397-08002B2CF9AE}" pid="3" name="ICV">
    <vt:lpwstr>0DF320FD913E4E1BA94D8E751F1D601F_13</vt:lpwstr>
  </property>
  <property fmtid="{D5CDD505-2E9C-101B-9397-08002B2CF9AE}" pid="4" name="KSOTemplateDocerSaveRecord">
    <vt:lpwstr>eyJoZGlkIjoiNjM0Zjk5YTc4NjQ1NmYyOGViZjRkNWIzZWJhYTE3YWEiLCJ1c2VySWQiOiIzODk0NTM2OTAifQ==</vt:lpwstr>
  </property>
</Properties>
</file>