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Times New Roman" w:hAnsi="Times New Roman" w:eastAsia="方正小标宋_GBK"/>
          <w:sz w:val="44"/>
          <w:szCs w:val="44"/>
        </w:rPr>
      </w:pPr>
      <w:bookmarkStart w:id="0" w:name="_GoBack"/>
      <w:bookmarkEnd w:id="0"/>
      <w:r>
        <w:rPr>
          <w:rFonts w:hint="default" w:ascii="Times New Roman" w:hAnsi="Times New Roman" w:eastAsia="方正小标宋_GBK"/>
          <w:sz w:val="44"/>
          <w:szCs w:val="44"/>
        </w:rPr>
        <w:t>垫江县桂溪街道产业融合发展服务中心</w:t>
      </w:r>
    </w:p>
    <w:p>
      <w:pPr>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202４年度决算公开说明</w:t>
      </w:r>
    </w:p>
    <w:p>
      <w:pPr>
        <w:widowControl w:val="0"/>
        <w:ind w:firstLine="640" w:firstLineChars="200"/>
        <w:jc w:val="both"/>
        <w:rPr>
          <w:rFonts w:hint="default" w:ascii="Times New Roman" w:hAnsi="Times New Roman" w:eastAsia="方正仿宋_GBK"/>
          <w:kern w:val="2"/>
          <w:sz w:val="32"/>
          <w:szCs w:val="32"/>
        </w:rPr>
      </w:pPr>
    </w:p>
    <w:p>
      <w:pPr>
        <w:widowControl w:val="0"/>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一、</w:t>
      </w:r>
      <w:r>
        <w:rPr>
          <w:rFonts w:hint="eastAsia" w:ascii="Times New Roman" w:hAnsi="Times New Roman" w:eastAsia="方正黑体_GBK"/>
          <w:kern w:val="2"/>
          <w:sz w:val="32"/>
          <w:szCs w:val="32"/>
          <w:lang w:eastAsia="zh-CN"/>
        </w:rPr>
        <w:t>单位</w:t>
      </w:r>
      <w:r>
        <w:rPr>
          <w:rFonts w:hint="default" w:ascii="Times New Roman" w:hAnsi="Times New Roman" w:eastAsia="方正黑体_GBK"/>
          <w:kern w:val="2"/>
          <w:sz w:val="32"/>
          <w:szCs w:val="32"/>
        </w:rPr>
        <w:t>基本情况</w:t>
      </w:r>
    </w:p>
    <w:p>
      <w:pPr>
        <w:widowControl w:val="0"/>
        <w:ind w:firstLine="640" w:firstLineChars="200"/>
        <w:jc w:val="both"/>
        <w:rPr>
          <w:rFonts w:ascii="方正楷体_GBK" w:hAnsi="Times New Roman" w:eastAsia="方正楷体_GBK"/>
          <w:kern w:val="2"/>
          <w:sz w:val="32"/>
          <w:szCs w:val="32"/>
        </w:rPr>
      </w:pPr>
      <w:r>
        <w:rPr>
          <w:rFonts w:ascii="方正楷体_GBK" w:hAnsi="Times New Roman" w:eastAsia="方正楷体_GBK"/>
          <w:kern w:val="2"/>
          <w:sz w:val="32"/>
          <w:szCs w:val="32"/>
        </w:rPr>
        <w:t>（一）职能职责</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产业融合发展服务中心。为城市经济社会发展提供服务。负责落实产业融合发展理念，促进生产生活生态空间有机交融，构建发展新格局。培育科技及信息服务、现代商贸物流、文化创意等现代服务业，扶持发展都市生态农业，培育城市现代产业体系，提高产业融合的产业支撑能力。完善产业融合的基础设施支撑体系，配套建设居住、商业、娱乐、休闲等设施，提升公共服务水平，提升宜居宜业水平等工作。</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（二）机构设置</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本单位内设产业融合发展服务中心，当年无变动。</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2024年机构人员3人</w:t>
      </w:r>
      <w:r>
        <w:rPr>
          <w:rFonts w:hint="eastAsia" w:ascii="Times New Roman" w:hAnsi="Times New Roman" w:eastAsia="方正仿宋_GBK"/>
          <w:kern w:val="2"/>
          <w:sz w:val="32"/>
          <w:szCs w:val="32"/>
          <w:lang w:eastAsia="zh-CN"/>
        </w:rPr>
        <w:t>，</w:t>
      </w:r>
      <w:r>
        <w:rPr>
          <w:rFonts w:hint="default" w:ascii="Times New Roman" w:hAnsi="Times New Roman" w:eastAsia="方正仿宋_GBK"/>
          <w:kern w:val="2"/>
          <w:sz w:val="32"/>
          <w:szCs w:val="32"/>
        </w:rPr>
        <w:t>与上年持平，无变动。</w:t>
      </w:r>
    </w:p>
    <w:p>
      <w:pPr>
        <w:widowControl w:val="0"/>
        <w:ind w:firstLine="643" w:firstLineChars="200"/>
        <w:jc w:val="both"/>
        <w:rPr>
          <w:rFonts w:hint="default" w:ascii="Times New Roman" w:hAnsi="Times New Roman" w:eastAsia="方正黑体_GBK"/>
          <w:kern w:val="2"/>
          <w:sz w:val="32"/>
          <w:szCs w:val="32"/>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（一）收入支出决算总体情况说明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1.总体情况。</w:t>
      </w:r>
      <w:r>
        <w:rPr>
          <w:rFonts w:hint="default" w:ascii="Times New Roman" w:hAnsi="Times New Roman" w:eastAsia="方正仿宋_GBK"/>
          <w:kern w:val="2"/>
          <w:sz w:val="32"/>
          <w:szCs w:val="32"/>
        </w:rPr>
        <w:t>2024年度收入总计87.77万元，支出总计87.77万元。收、支与2023年度相比，减少7.55万元，下降7.92%，主要原因是减少１人，减少了人员经费和公用经费支出。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2.收入情况。</w:t>
      </w:r>
      <w:r>
        <w:rPr>
          <w:rFonts w:hint="default" w:ascii="Times New Roman" w:hAnsi="Times New Roman" w:eastAsia="方正仿宋_GBK"/>
          <w:kern w:val="2"/>
          <w:sz w:val="32"/>
          <w:szCs w:val="32"/>
        </w:rPr>
        <w:t>2024年度收入合计87.77万元，与2023年度相比，减少7.55万元，下降7.92%，主要原因是减少</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人，减少了人员经费和公用经费支出。其中：财政拨款收入87.77万元，占100.00%；事业收入0.00万元，占0.00%；经营收入0.00万元，占0.00%；其他收入0.00万元，占0.00%。此外，使用非财政拨款结余和专用结余0.00万元，年初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3.支出情况。</w:t>
      </w:r>
      <w:r>
        <w:rPr>
          <w:rFonts w:hint="default" w:ascii="Times New Roman" w:hAnsi="Times New Roman" w:eastAsia="方正仿宋_GBK"/>
          <w:kern w:val="2"/>
          <w:sz w:val="32"/>
          <w:szCs w:val="32"/>
        </w:rPr>
        <w:t>2024年度支出合计87.77万元，与2023年度相比，减少7.55万元，下降7.92%，主要原因是减少</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人，减少了人员经费和公用经费支出。其中：基本支出87.77万元，占100.00%；项目支出0.00万元，占0.00%；经营支出0.00万元，占0.00%。此外，结余分配0.00万元。</w:t>
      </w:r>
    </w:p>
    <w:p>
      <w:pPr>
        <w:widowControl w:val="0"/>
        <w:ind w:firstLine="643" w:firstLineChars="200"/>
        <w:jc w:val="both"/>
        <w:rPr>
          <w:rFonts w:hint="default" w:ascii="方正楷体_GBK" w:hAnsi="Times New Roman" w:eastAsia="方正楷体_GBK"/>
          <w:kern w:val="2"/>
          <w:sz w:val="32"/>
          <w:szCs w:val="32"/>
        </w:rPr>
      </w:pPr>
      <w:r>
        <w:rPr>
          <w:rFonts w:hint="default" w:ascii="Times New Roman" w:hAnsi="Times New Roman" w:eastAsia="方正仿宋_GBK"/>
          <w:b/>
          <w:kern w:val="2"/>
          <w:sz w:val="32"/>
          <w:szCs w:val="32"/>
        </w:rPr>
        <w:t>4.结转结余情况。</w:t>
      </w:r>
      <w:r>
        <w:rPr>
          <w:rFonts w:hint="default" w:ascii="Times New Roman" w:hAnsi="Times New Roman" w:eastAsia="方正仿宋_GBK"/>
          <w:kern w:val="2"/>
          <w:sz w:val="32"/>
          <w:szCs w:val="32"/>
        </w:rPr>
        <w:t>2024年度年末结转和结余0.00万元，与2023</w:t>
      </w:r>
      <w:r>
        <w:rPr>
          <w:rFonts w:hint="default" w:ascii="方正楷体_GBK" w:hAnsi="Times New Roman" w:eastAsia="方正楷体_GBK"/>
          <w:kern w:val="2"/>
          <w:sz w:val="32"/>
          <w:szCs w:val="32"/>
        </w:rPr>
        <w:t>年度相比，无增减，主要原因是收支平衡</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lang w:val="en-US" w:eastAsia="zh-CN"/>
        </w:rPr>
        <w:t>无结转结余</w:t>
      </w:r>
      <w:r>
        <w:rPr>
          <w:rFonts w:hint="default" w:ascii="方正楷体_GBK" w:hAnsi="Times New Roman" w:eastAsia="方正楷体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2024年度财政拨款收、支总计87.77万元。与202</w:t>
      </w:r>
      <w:r>
        <w:rPr>
          <w:rFonts w:hint="eastAsia" w:ascii="Times New Roman" w:hAnsi="Times New Roman" w:eastAsia="方正仿宋_GBK"/>
          <w:kern w:val="2"/>
          <w:sz w:val="32"/>
          <w:szCs w:val="32"/>
          <w:lang w:val="en-US" w:eastAsia="zh-CN"/>
        </w:rPr>
        <w:t>3</w:t>
      </w:r>
      <w:r>
        <w:rPr>
          <w:rFonts w:hint="default" w:ascii="Times New Roman" w:hAnsi="Times New Roman" w:eastAsia="方正仿宋_GBK"/>
          <w:kern w:val="2"/>
          <w:sz w:val="32"/>
          <w:szCs w:val="32"/>
        </w:rPr>
        <w:t>年相比，财政拨款收、支总计各减少7.55万元，下降7.92%。主要原因是减少</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人，减少了人员经费和公用经费支出。</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（三）一般公共预算财政拨款收入支出决算情况说明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1.收入情况。</w:t>
      </w:r>
      <w:r>
        <w:rPr>
          <w:rFonts w:hint="default" w:ascii="Times New Roman" w:hAnsi="Times New Roman" w:eastAsia="方正仿宋_GBK"/>
          <w:kern w:val="2"/>
          <w:sz w:val="32"/>
          <w:szCs w:val="32"/>
        </w:rPr>
        <w:t>2024年度一般公共预算财政拨款收入87.77万元，与2023年度相比，减少7.55万元，下降7.92%。主要原因是减少</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人，减少了人员经费和公用经费支出。较年初预算数减少3.23万元，下降3.55%。主要原因是减少</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人，减少了人员经费和公用经费支出。此外，年初财政拨款结转和结余0.00万元。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2.支出情况。</w:t>
      </w:r>
      <w:r>
        <w:rPr>
          <w:rFonts w:hint="default" w:ascii="Times New Roman" w:hAnsi="Times New Roman" w:eastAsia="方正仿宋_GBK"/>
          <w:kern w:val="2"/>
          <w:sz w:val="32"/>
          <w:szCs w:val="32"/>
        </w:rPr>
        <w:t>2024年度一般公共预算财政拨款支出87.77万元，与2023年度相比，减少7.55万元，下降7.92%。主要原因是减少</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人，减少了人员经费和公用经费支出。较年初预算数减少3.23万元，下降3.55%。主要原因是减少</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人，减少了人员经费和公用经费支出。</w:t>
      </w:r>
    </w:p>
    <w:p>
      <w:pPr>
        <w:widowControl w:val="0"/>
        <w:ind w:firstLine="643" w:firstLineChars="200"/>
        <w:jc w:val="both"/>
        <w:rPr>
          <w:rFonts w:hint="default" w:ascii="Times New Roman" w:hAnsi="Times New Roman" w:eastAsia="方正仿宋_GBK"/>
          <w:spacing w:val="-6"/>
          <w:kern w:val="2"/>
          <w:sz w:val="32"/>
          <w:szCs w:val="32"/>
        </w:rPr>
      </w:pPr>
      <w:r>
        <w:rPr>
          <w:rFonts w:hint="default" w:ascii="Times New Roman" w:hAnsi="Times New Roman" w:eastAsia="方正仿宋_GBK"/>
          <w:b/>
          <w:kern w:val="2"/>
          <w:sz w:val="32"/>
          <w:szCs w:val="32"/>
        </w:rPr>
        <w:t>3.结</w:t>
      </w:r>
      <w:r>
        <w:rPr>
          <w:rFonts w:hint="default" w:ascii="Times New Roman" w:hAnsi="Times New Roman" w:eastAsia="方正仿宋_GBK"/>
          <w:b/>
          <w:spacing w:val="-6"/>
          <w:kern w:val="2"/>
          <w:sz w:val="32"/>
          <w:szCs w:val="32"/>
        </w:rPr>
        <w:t>转结余情况。</w:t>
      </w:r>
      <w:r>
        <w:rPr>
          <w:rFonts w:hint="default" w:ascii="Times New Roman" w:hAnsi="Times New Roman" w:eastAsia="方正仿宋_GBK"/>
          <w:spacing w:val="-6"/>
          <w:kern w:val="2"/>
          <w:sz w:val="32"/>
          <w:szCs w:val="32"/>
        </w:rPr>
        <w:t>2024年度年末一般公共预算财政拨款结转和结余0.00万元，与2023年度相比，无增减，主要原因是收支平衡</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lang w:val="en-US" w:eastAsia="zh-CN"/>
        </w:rPr>
        <w:t>无结转结余</w:t>
      </w:r>
      <w:r>
        <w:rPr>
          <w:rFonts w:hint="default" w:ascii="Times New Roman" w:hAnsi="Times New Roman" w:eastAsia="方正仿宋_GBK"/>
          <w:spacing w:val="-6"/>
          <w:kern w:val="2"/>
          <w:sz w:val="32"/>
          <w:szCs w:val="32"/>
        </w:rPr>
        <w:t>。</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4.比较情况。</w:t>
      </w:r>
      <w:r>
        <w:rPr>
          <w:rFonts w:hint="default" w:ascii="Times New Roman" w:hAnsi="Times New Roman" w:eastAsia="方正仿宋_GBK"/>
          <w:kern w:val="2"/>
          <w:sz w:val="32"/>
          <w:szCs w:val="32"/>
        </w:rPr>
        <w:t>本单位2024年度一般公共预算财政拨款支出主要用于以下几个方面：</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w:t>
      </w:r>
      <w:r>
        <w:rPr>
          <w:rFonts w:ascii="Times New Roman" w:hAnsi="Times New Roman" w:eastAsia="方正仿宋_GBK"/>
          <w:kern w:val="2"/>
          <w:sz w:val="32"/>
          <w:szCs w:val="32"/>
        </w:rPr>
        <w:t>1</w:t>
      </w:r>
      <w:r>
        <w:rPr>
          <w:rFonts w:hint="default" w:ascii="Times New Roman" w:hAnsi="Times New Roman" w:eastAsia="方正仿宋_GBK"/>
          <w:kern w:val="2"/>
          <w:sz w:val="32"/>
          <w:szCs w:val="32"/>
        </w:rPr>
        <w:t>）社会保障与就业支出22.91万元，占26.10%，较年初预算数增加6.57万元，增长40.21%，主要原因是增加了养老保险和职业年金支出。</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w:t>
      </w:r>
      <w:r>
        <w:rPr>
          <w:rFonts w:ascii="Times New Roman" w:hAnsi="Times New Roman" w:eastAsia="方正仿宋_GBK"/>
          <w:kern w:val="2"/>
          <w:sz w:val="32"/>
          <w:szCs w:val="32"/>
        </w:rPr>
        <w:t>2</w:t>
      </w:r>
      <w:r>
        <w:rPr>
          <w:rFonts w:hint="default" w:ascii="Times New Roman" w:hAnsi="Times New Roman" w:eastAsia="方正仿宋_GBK"/>
          <w:kern w:val="2"/>
          <w:sz w:val="32"/>
          <w:szCs w:val="32"/>
        </w:rPr>
        <w:t>）卫生健康支出4.09万元，占4.67%，较年初预算数增加0.86万元，增长26.63%，主要原因是增加了医疗费支出。</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w:t>
      </w: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）农林水支出56.95万元，占64.89%，较年初预算数减少10.60万元，下降15.69%，主要原因是退休１人，减少了人员经费和公用经费支出。</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w:t>
      </w:r>
      <w:r>
        <w:rPr>
          <w:rFonts w:ascii="Times New Roman" w:hAnsi="Times New Roman" w:eastAsia="方正仿宋_GBK"/>
          <w:kern w:val="2"/>
          <w:sz w:val="32"/>
          <w:szCs w:val="32"/>
        </w:rPr>
        <w:t>4</w:t>
      </w:r>
      <w:r>
        <w:rPr>
          <w:rFonts w:hint="default" w:ascii="Times New Roman" w:hAnsi="Times New Roman" w:eastAsia="方正仿宋_GBK"/>
          <w:kern w:val="2"/>
          <w:sz w:val="32"/>
          <w:szCs w:val="32"/>
        </w:rPr>
        <w:t>）住房保障支出3.82万元，占4.35%，较年初预算数减少0.06万元，下降1.55%，主要原因是退休１人，减少了</w:t>
      </w:r>
      <w:r>
        <w:rPr>
          <w:rFonts w:hint="eastAsia" w:ascii="Times New Roman" w:hAnsi="Times New Roman" w:eastAsia="方正仿宋_GBK"/>
          <w:kern w:val="2"/>
          <w:sz w:val="32"/>
          <w:szCs w:val="32"/>
          <w:lang w:eastAsia="zh-CN"/>
        </w:rPr>
        <w:t>住房公积金</w:t>
      </w:r>
      <w:r>
        <w:rPr>
          <w:rFonts w:hint="default" w:ascii="Times New Roman" w:hAnsi="Times New Roman" w:eastAsia="方正仿宋_GBK"/>
          <w:kern w:val="2"/>
          <w:sz w:val="32"/>
          <w:szCs w:val="32"/>
        </w:rPr>
        <w:t>支出。</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一般公共财政拨款基本支出87.77万元。其中：人员经费84.89万元，与2023年度相比，减少6.82万元，下降7.44%，主要原因是退休１人，减少了人员经费支出。人员经费用途主要包括基本工资、津贴补贴、绩效工资、社会保障缴费等。公用经费2.88万元，与2023年度相比，减少0.73万元，下降20.22%，主要原因是退休１人，减少了公用经费支出。公用经费用途主要包括差旅费等。</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（五）政府性基金预算收支决算情况说明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ind w:firstLine="643" w:firstLineChars="200"/>
        <w:jc w:val="both"/>
        <w:rPr>
          <w:rFonts w:hint="default" w:ascii="Times New Roman" w:hAnsi="Times New Roman" w:eastAsia="方正黑体_GBK"/>
          <w:kern w:val="2"/>
          <w:sz w:val="32"/>
          <w:szCs w:val="32"/>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（一）“三公”经费支出总体情况说明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（二）“三公”经费分项支出情况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费用0.00万元，主要是用于因公出国（境）费用支出。费用支出较年初预算数无增减，主要原因是本单位近年均未安排人员因公出国（境）。较上年支出数无增减，主要原因是本单位近年均未安排人员因公出国（境）。</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公务车购置费0.00万元，主要用于公务车购置。费用支出较年初预算数无增减，主要原因是本单位近年均未购置公务车。较上年支出数无增减，主要原因是本单位近年均未购置公务车。</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公务车运行维护费0.00万元，主要用于工作所需车辆的燃料费、维修费、过桥过路费、保险费、洗车费等。费用支出较年初预算数无增减，主要原因是本单位无公务车辆。较上年支出数无增减，主要原因是本单位无公务车辆。</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（三）“三公”经费实物量情况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４年度本单位因公出国（境）共计0个团组，0人；公务用车购置0辆，公务车保有量为0辆；国内公务接待0批次0人，其中：国内外事接待0批次，0人；国（境）外公务接待0批次，0人。202４年本单位人均接待费0元，车均购置费0万元，车均维护费0万元。</w:t>
      </w:r>
    </w:p>
    <w:p>
      <w:pPr>
        <w:widowControl w:val="0"/>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四、其他需要说明的事项</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（一）财政拨款会议费和培训费情况说明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r>
        <w:rPr>
          <w:rFonts w:ascii="方正仿宋_GBK" w:eastAsia="方正仿宋_GBK"/>
          <w:sz w:val="32"/>
          <w:szCs w:val="32"/>
        </w:rPr>
        <w:t>主要原因</w:t>
      </w:r>
      <w:r>
        <w:rPr>
          <w:rFonts w:hint="eastAsia" w:ascii="方正仿宋_GBK" w:eastAsia="方正仿宋_GBK"/>
          <w:sz w:val="32"/>
          <w:szCs w:val="32"/>
          <w:lang w:val="en-US" w:eastAsia="zh-CN"/>
        </w:rPr>
        <w:t>本年度无培训费支出</w:t>
      </w:r>
      <w:r>
        <w:rPr>
          <w:rFonts w:ascii="方正仿宋_GBK" w:eastAsia="方正仿宋_GBK"/>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（二）机关运行经费情况说明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（三）国有资产占用情况说明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截至202４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（四）政府采购支出情况说明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widowControl w:val="0"/>
        <w:ind w:firstLine="643" w:firstLineChars="200"/>
        <w:jc w:val="both"/>
        <w:rPr>
          <w:rFonts w:hint="default" w:ascii="Times New Roman" w:hAnsi="Times New Roman" w:eastAsia="方正黑体_GBK"/>
          <w:kern w:val="2"/>
          <w:sz w:val="32"/>
          <w:szCs w:val="32"/>
        </w:rPr>
      </w:pPr>
      <w:r>
        <w:rPr>
          <w:rStyle w:val="8"/>
          <w:rFonts w:hint="eastAsia" w:ascii="黑体" w:hAnsi="黑体" w:eastAsia="黑体" w:cs="黑体"/>
          <w:sz w:val="32"/>
          <w:szCs w:val="32"/>
          <w:shd w:val="clear" w:color="auto" w:fill="FFFFFF"/>
          <w:lang w:val="en-US" w:eastAsia="zh-CN" w:bidi="ar-SA"/>
        </w:rPr>
        <w:t>五、2024年度预算绩效管理情况说明</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（一）单位自评情况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本单位未组织开展绩效自评。</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（二）单位绩效评价情况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本单位未组织开展绩效评价。</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（三）财政绩效评价情况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县财政局未委托第三方对本单位开展绩效评价。</w:t>
      </w:r>
    </w:p>
    <w:p>
      <w:pPr>
        <w:widowControl w:val="0"/>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六、专业名词解释</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（一）财政拨款收入：</w:t>
      </w:r>
      <w:r>
        <w:rPr>
          <w:rFonts w:hint="default" w:ascii="Times New Roman" w:hAnsi="Times New Roman" w:eastAsia="方正仿宋_GBK"/>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（二）事业收入：</w:t>
      </w:r>
      <w:r>
        <w:rPr>
          <w:rFonts w:hint="default"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（三）经营收入：</w:t>
      </w:r>
      <w:r>
        <w:rPr>
          <w:rFonts w:hint="default" w:ascii="Times New Roman" w:hAnsi="Times New Roman" w:eastAsia="方正仿宋_GBK"/>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（四）其他收入：</w:t>
      </w:r>
      <w:r>
        <w:rPr>
          <w:rFonts w:hint="default"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（五）使用非财政拨款结余：</w:t>
      </w:r>
      <w:r>
        <w:rPr>
          <w:rFonts w:hint="default"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（六）年初结转和结余：</w:t>
      </w:r>
      <w:r>
        <w:rPr>
          <w:rFonts w:hint="default" w:ascii="Times New Roman" w:hAnsi="Times New Roman" w:eastAsia="方正仿宋_GBK"/>
          <w:kern w:val="2"/>
          <w:sz w:val="32"/>
          <w:szCs w:val="32"/>
        </w:rPr>
        <w:t>指单位上年结转本年使用的基本支出结转、项目支出结转和结余、经营结余。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（七）结余分配：</w:t>
      </w:r>
      <w:r>
        <w:rPr>
          <w:rFonts w:hint="default" w:ascii="Times New Roman" w:hAnsi="Times New Roman" w:eastAsia="方正仿宋_GBK"/>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（八）年末结转和结余：</w:t>
      </w:r>
      <w:r>
        <w:rPr>
          <w:rFonts w:hint="default" w:ascii="Times New Roman" w:hAnsi="Times New Roman" w:eastAsia="方正仿宋_GBK"/>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（九）基本支出：</w:t>
      </w:r>
      <w:r>
        <w:rPr>
          <w:rFonts w:hint="default"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（十）项目支出：</w:t>
      </w:r>
      <w:r>
        <w:rPr>
          <w:rFonts w:hint="default" w:ascii="Times New Roman" w:hAnsi="Times New Roman" w:eastAsia="方正仿宋_GBK"/>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（十一）经营支出：</w:t>
      </w:r>
      <w:r>
        <w:rPr>
          <w:rFonts w:hint="default" w:ascii="Times New Roman" w:hAnsi="Times New Roman" w:eastAsia="方正仿宋_GBK"/>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（十二）“三公”经费：</w:t>
      </w:r>
      <w:r>
        <w:rPr>
          <w:rFonts w:hint="default"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（十三）机关运行经费：</w:t>
      </w:r>
      <w:r>
        <w:rPr>
          <w:rFonts w:hint="default"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（十四）工资福利支出（支出经济分类科目类级）：</w:t>
      </w:r>
      <w:r>
        <w:rPr>
          <w:rFonts w:hint="default" w:ascii="Times New Roman" w:hAnsi="Times New Roman" w:eastAsia="方正仿宋_GBK"/>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（十五）商品和服务支出（支出经济分类科目类级）：</w:t>
      </w:r>
      <w:r>
        <w:rPr>
          <w:rFonts w:hint="default" w:ascii="Times New Roman" w:hAnsi="Times New Roman" w:eastAsia="方正仿宋_GBK"/>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（十六）对个人和家庭的补助（支出经济分类科目类级）：</w:t>
      </w:r>
      <w:r>
        <w:rPr>
          <w:rFonts w:hint="default" w:ascii="Times New Roman" w:hAnsi="Times New Roman" w:eastAsia="方正仿宋_GBK"/>
          <w:kern w:val="2"/>
          <w:sz w:val="32"/>
          <w:szCs w:val="32"/>
        </w:rPr>
        <w:t>反映用于对个人和家庭的补助支出。</w:t>
      </w:r>
    </w:p>
    <w:p>
      <w:pPr>
        <w:widowControl w:val="0"/>
        <w:ind w:firstLine="640" w:firstLineChars="200"/>
        <w:jc w:val="both"/>
        <w:rPr>
          <w:rFonts w:hint="default" w:ascii="Times New Roman" w:hAnsi="Times New Roman" w:eastAsia="方正仿宋_GBK"/>
          <w:kern w:val="2"/>
          <w:sz w:val="32"/>
          <w:szCs w:val="32"/>
        </w:rPr>
      </w:pPr>
      <w:r>
        <w:rPr>
          <w:rFonts w:hint="default" w:ascii="方正楷体_GBK" w:hAnsi="Times New Roman" w:eastAsia="方正楷体_GBK"/>
          <w:kern w:val="2"/>
          <w:sz w:val="32"/>
          <w:szCs w:val="32"/>
        </w:rPr>
        <w:t>（十七）其他资本性支出（支出经济分类科目类级）：</w:t>
      </w:r>
      <w:r>
        <w:rPr>
          <w:rFonts w:hint="default"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七、决算公开联系方式及信息反馈渠道</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本单位决算公开信息反馈和联系方式：023-74691235。</w:t>
      </w:r>
    </w:p>
    <w:p>
      <w:pPr>
        <w:widowControl w:val="0"/>
        <w:ind w:firstLine="640" w:firstLineChars="200"/>
        <w:jc w:val="both"/>
        <w:rPr>
          <w:rFonts w:hint="default" w:ascii="Times New Roman" w:hAnsi="Times New Roman" w:eastAsia="方正仿宋_GBK"/>
          <w:kern w:val="2"/>
          <w:sz w:val="32"/>
          <w:szCs w:val="32"/>
        </w:rPr>
      </w:pPr>
    </w:p>
    <w:p>
      <w:pPr>
        <w:widowControl w:val="0"/>
        <w:ind w:firstLine="640" w:firstLineChars="200"/>
        <w:jc w:val="both"/>
        <w:rPr>
          <w:rFonts w:hint="default" w:ascii="Times New Roman" w:hAnsi="Times New Roman" w:eastAsia="方正仿宋_GBK"/>
          <w:kern w:val="2"/>
          <w:sz w:val="32"/>
          <w:szCs w:val="32"/>
        </w:rPr>
      </w:pPr>
    </w:p>
    <w:p>
      <w:pPr>
        <w:pStyle w:val="11"/>
        <w:autoSpaceDE w:val="0"/>
        <w:ind w:firstLine="0" w:firstLineChars="0"/>
        <w:rPr>
          <w:rStyle w:val="8"/>
          <w:rFonts w:ascii="Times New Roman" w:hAnsi="Times New Roman" w:eastAsia="方正仿宋_GBK"/>
          <w:sz w:val="32"/>
          <w:szCs w:val="32"/>
          <w:shd w:val="clear" w:color="auto" w:fill="FFFF00"/>
        </w:rPr>
        <w:sectPr>
          <w:footerReference r:id="rId4" w:type="default"/>
          <w:pgSz w:w="11915" w:h="16840"/>
          <w:pgMar w:top="1985" w:right="1446" w:bottom="1644" w:left="1446" w:header="851" w:footer="1247"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垫江县桂溪街道产业融合发展服务中心</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87.77</w:t>
            </w: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56.95</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87.77</w:t>
            </w: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87.77</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87.77</w:t>
            </w:r>
            <w:r>
              <w:rPr>
                <w:rFonts w:hint="default"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87.77</w:t>
            </w:r>
            <w:r>
              <w:rPr>
                <w:rFonts w:hint="default" w:ascii="Times New Roman" w:hAnsi="Times New Roman"/>
                <w:color w:val="000000"/>
                <w:sz w:val="20"/>
              </w:rPr>
              <w:t xml:space="preserve"> </w:t>
            </w:r>
          </w:p>
        </w:tc>
      </w:tr>
    </w:tbl>
    <w:p>
      <w:pPr>
        <w:rPr>
          <w:rFonts w:hint="default" w:ascii="Times New Roman" w:hAnsi="Times New Roman"/>
          <w:sz w:val="21"/>
          <w:szCs w:val="21"/>
        </w:rPr>
      </w:pPr>
    </w:p>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r>
      <w:r>
        <w:rPr>
          <w:rFonts w:hint="default" w:ascii="Times New Roman" w:hAnsi="Times New Roman"/>
          <w:sz w:val="20"/>
          <w:szCs w:val="20"/>
        </w:rPr>
        <w:br/>
      </w:r>
    </w:p>
    <w:tbl>
      <w:tblPr>
        <w:tblStyle w:val="9"/>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垫江县桂溪街道产业融合发展服务中心</w:t>
            </w:r>
          </w:p>
        </w:tc>
        <w:tc>
          <w:tcPr>
            <w:tcW w:w="137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87.77</w:t>
            </w:r>
            <w:r>
              <w:rPr>
                <w:rFonts w:hint="default"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87.77</w:t>
            </w:r>
            <w:r>
              <w:rPr>
                <w:rFonts w:hint="default"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w:t>
            </w:r>
            <w:r>
              <w:rPr>
                <w:rFonts w:hint="default"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w:t>
            </w:r>
            <w:r>
              <w:rPr>
                <w:rFonts w:hint="default"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w:t>
            </w:r>
            <w:r>
              <w:rPr>
                <w:rFonts w:hint="default"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hint="default"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56.95</w:t>
            </w:r>
            <w:r>
              <w:rPr>
                <w:rFonts w:hint="default"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56.95</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hint="default"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r>
      <w:r>
        <w:rPr>
          <w:rFonts w:hint="default" w:ascii="Times New Roman" w:hAnsi="Times New Roman"/>
          <w:sz w:val="20"/>
          <w:szCs w:val="20"/>
        </w:rPr>
        <w:t>2.本套报表金额单位转换时可能存在尾数误差。</w:t>
      </w:r>
      <w:r>
        <w:rPr>
          <w:rFonts w:hint="default" w:ascii="Times New Roman" w:hAnsi="Times New Roman"/>
          <w:sz w:val="20"/>
          <w:szCs w:val="20"/>
        </w:rPr>
        <w:br/>
      </w:r>
      <w:r>
        <w:rPr>
          <w:rFonts w:hint="default" w:ascii="Times New Roman" w:hAnsi="Times New Roman"/>
          <w:sz w:val="20"/>
          <w:szCs w:val="20"/>
        </w:rPr>
        <w:br/>
      </w:r>
    </w:p>
    <w:p>
      <w:pPr>
        <w:rPr>
          <w:rFonts w:hint="default" w:ascii="Times New Roman" w:hAnsi="Times New Roman"/>
          <w:sz w:val="20"/>
          <w:szCs w:val="20"/>
        </w:rPr>
      </w:pPr>
      <w:r>
        <w:rPr>
          <w:rFonts w:hint="default" w:ascii="Times New Roman" w:hAnsi="Times New Roman"/>
          <w:sz w:val="20"/>
          <w:szCs w:val="20"/>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 xml:space="preserve">垫江县桂溪街道产业融合发展服务中心 </w:t>
            </w: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87.77</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87.77</w:t>
            </w:r>
            <w:r>
              <w:rPr>
                <w:rFonts w:hint="default"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w:t>
            </w:r>
            <w:r>
              <w:rPr>
                <w:rFonts w:hint="default"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w:t>
            </w:r>
            <w:r>
              <w:rPr>
                <w:rFonts w:hint="default"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w:t>
            </w:r>
            <w:r>
              <w:rPr>
                <w:rFonts w:hint="default"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hint="default"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56.95</w:t>
            </w:r>
            <w:r>
              <w:rPr>
                <w:rFonts w:hint="default"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hint="default"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9"/>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垫江县桂溪街道产业融合发展服务中心</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87.77</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87.77</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87.77</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r>
      <w:r>
        <w:rPr>
          <w:rFonts w:hint="default" w:ascii="Times New Roman" w:hAnsi="Times New Roman"/>
          <w:sz w:val="20"/>
          <w:szCs w:val="20"/>
        </w:rPr>
        <w:br/>
      </w:r>
      <w:r>
        <w:rPr>
          <w:rFonts w:hint="default" w:ascii="Times New Roman" w:hAnsi="Times New Roman"/>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垫江县桂溪街道产业融合发展服务中心</w:t>
            </w:r>
          </w:p>
        </w:tc>
        <w:tc>
          <w:tcPr>
            <w:tcW w:w="331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87.77</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87.77</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22.91</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10.07</w:t>
            </w:r>
            <w:r>
              <w:rPr>
                <w:rFonts w:hint="default"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10.07</w:t>
            </w:r>
            <w:r>
              <w:rPr>
                <w:rFonts w:hint="default"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w:t>
            </w:r>
            <w:r>
              <w:rPr>
                <w:rFonts w:hint="default"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w:t>
            </w:r>
            <w:r>
              <w:rPr>
                <w:rFonts w:hint="default"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w:t>
            </w:r>
            <w:r>
              <w:rPr>
                <w:rFonts w:hint="default"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w:t>
            </w:r>
            <w:r>
              <w:rPr>
                <w:rFonts w:hint="default"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hint="default"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w:t>
            </w:r>
            <w:r>
              <w:rPr>
                <w:rFonts w:hint="default"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56.95</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56.95</w:t>
            </w:r>
            <w:r>
              <w:rPr>
                <w:rFonts w:hint="default"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56.95</w:t>
            </w:r>
            <w:r>
              <w:rPr>
                <w:rFonts w:hint="default"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r>
              <w:rPr>
                <w:rFonts w:hint="default"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r>
              <w:rPr>
                <w:rFonts w:hint="default"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r>
              <w:rPr>
                <w:rFonts w:hint="default"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r>
      <w:r>
        <w:rPr>
          <w:rFonts w:hint="default" w:ascii="Times New Roman" w:hAnsi="Times New Roman"/>
          <w:sz w:val="20"/>
          <w:szCs w:val="20"/>
        </w:rPr>
        <w:br/>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9"/>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垫江县桂溪街道产业融合发展服务中心</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34.87</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84.89</w:t>
            </w:r>
            <w:r>
              <w:rPr>
                <w:rFonts w:hint="default"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r>
      <w:r>
        <w:rPr>
          <w:rFonts w:hint="default" w:ascii="Times New Roman" w:hAnsi="Times New Roman"/>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垫江县桂溪街道产业融合发展服务中心</w:t>
            </w:r>
          </w:p>
        </w:tc>
        <w:tc>
          <w:tcPr>
            <w:tcW w:w="170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r>
      <w:r>
        <w:rPr>
          <w:rFonts w:hint="default" w:ascii="Times New Roman" w:hAnsi="Times New Roman"/>
          <w:sz w:val="20"/>
          <w:szCs w:val="20"/>
        </w:rPr>
        <w:br/>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垫江县桂溪街道产业融合发展服务中心</w:t>
            </w:r>
          </w:p>
        </w:tc>
        <w:tc>
          <w:tcPr>
            <w:tcW w:w="3752"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r>
      <w:r>
        <w:rPr>
          <w:rFonts w:hint="default" w:ascii="Times New Roman" w:hAnsi="Times New Roman"/>
          <w:sz w:val="20"/>
          <w:szCs w:val="20"/>
        </w:rPr>
        <w:br/>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4774"/>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43" w:hRule="atLeast"/>
        </w:trPr>
        <w:tc>
          <w:tcPr>
            <w:tcW w:w="15324" w:type="dxa"/>
            <w:gridSpan w:val="5"/>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4774"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551" w:type="dxa"/>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垫江县桂溪街道产业融合发展服务中心</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47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551"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2.88</w:t>
            </w:r>
            <w:r>
              <w:rPr>
                <w:rFonts w:hint="default" w:ascii="Times New Roman" w:hAnsi="Times New Roman"/>
                <w:color w:val="000000"/>
                <w:sz w:val="18"/>
              </w:rPr>
              <w:t xml:space="preserve"> </w:t>
            </w:r>
          </w:p>
        </w:tc>
        <w:tc>
          <w:tcPr>
            <w:tcW w:w="4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2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Arial Unicode MS"/>
    <w:panose1 w:val="02000000000000000000"/>
    <w:charset w:val="86"/>
    <w:family w:val="auto"/>
    <w:pitch w:val="default"/>
    <w:sig w:usb0="A00002BF" w:usb1="38CF7CFA" w:usb2="00082016" w:usb3="00000000" w:csb0="00040001" w:csb1="00000000"/>
  </w:font>
  <w:font w:name="方正仿宋_GBK">
    <w:altName w:val="Arial Unicode MS"/>
    <w:panose1 w:val="02000000000000000000"/>
    <w:charset w:val="86"/>
    <w:family w:val="auto"/>
    <w:pitch w:val="default"/>
    <w:sig w:usb0="A00002BF" w:usb1="38CF7CFA" w:usb2="00082016" w:usb3="00000000" w:csb0="00040001" w:csb1="00000000"/>
  </w:font>
  <w:font w:name="方正黑体_GBK">
    <w:altName w:val="Arial Unicode MS"/>
    <w:panose1 w:val="0201060001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800002BF" w:usb1="38C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- 3 -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18 -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04E28"/>
    <w:rsid w:val="000239C6"/>
    <w:rsid w:val="00137F50"/>
    <w:rsid w:val="001A401F"/>
    <w:rsid w:val="001D27B4"/>
    <w:rsid w:val="001D3BB7"/>
    <w:rsid w:val="002B254B"/>
    <w:rsid w:val="00466C9B"/>
    <w:rsid w:val="00543539"/>
    <w:rsid w:val="0054470F"/>
    <w:rsid w:val="00550ABE"/>
    <w:rsid w:val="006A075D"/>
    <w:rsid w:val="00770383"/>
    <w:rsid w:val="007819D4"/>
    <w:rsid w:val="007B419D"/>
    <w:rsid w:val="007B7C4B"/>
    <w:rsid w:val="007D3D39"/>
    <w:rsid w:val="00962697"/>
    <w:rsid w:val="00994AF7"/>
    <w:rsid w:val="009B67B8"/>
    <w:rsid w:val="009D2B67"/>
    <w:rsid w:val="009F7C10"/>
    <w:rsid w:val="00A566F9"/>
    <w:rsid w:val="00AF2751"/>
    <w:rsid w:val="00B03CCD"/>
    <w:rsid w:val="00BE2B89"/>
    <w:rsid w:val="00C10E9E"/>
    <w:rsid w:val="00C20C3E"/>
    <w:rsid w:val="00CE74CB"/>
    <w:rsid w:val="00CF2ACF"/>
    <w:rsid w:val="00F14B80"/>
    <w:rsid w:val="00F73F90"/>
    <w:rsid w:val="00FB4B3B"/>
    <w:rsid w:val="01474EBF"/>
    <w:rsid w:val="01F3521E"/>
    <w:rsid w:val="03B87EA0"/>
    <w:rsid w:val="03E3214F"/>
    <w:rsid w:val="0414569E"/>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246741"/>
    <w:rsid w:val="12C921C4"/>
    <w:rsid w:val="13871C70"/>
    <w:rsid w:val="13A71CB4"/>
    <w:rsid w:val="13AF1D43"/>
    <w:rsid w:val="13CE1647"/>
    <w:rsid w:val="13FD55AB"/>
    <w:rsid w:val="14200702"/>
    <w:rsid w:val="148814AE"/>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5E2B8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221AC"/>
    <w:rsid w:val="25791755"/>
    <w:rsid w:val="25BE2AC4"/>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847142"/>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450AAE"/>
    <w:rsid w:val="4A6F6675"/>
    <w:rsid w:val="4A960F1A"/>
    <w:rsid w:val="4B135857"/>
    <w:rsid w:val="4B7951CB"/>
    <w:rsid w:val="4B7C315C"/>
    <w:rsid w:val="4DAC4ACA"/>
    <w:rsid w:val="4DBE01D2"/>
    <w:rsid w:val="4F0C6BA3"/>
    <w:rsid w:val="4F186D58"/>
    <w:rsid w:val="50F06B6E"/>
    <w:rsid w:val="51473419"/>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569D4"/>
    <w:rsid w:val="56FF7E9E"/>
    <w:rsid w:val="578867FC"/>
    <w:rsid w:val="5842572D"/>
    <w:rsid w:val="5A3B59D6"/>
    <w:rsid w:val="5AD134D8"/>
    <w:rsid w:val="5B2452AD"/>
    <w:rsid w:val="5B9A01F8"/>
    <w:rsid w:val="5C263CE4"/>
    <w:rsid w:val="5C4303E5"/>
    <w:rsid w:val="5C5D2777"/>
    <w:rsid w:val="5CF66BF3"/>
    <w:rsid w:val="5D290C69"/>
    <w:rsid w:val="5F2D4A41"/>
    <w:rsid w:val="5FDC131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11008E"/>
    <w:rsid w:val="66267C04"/>
    <w:rsid w:val="663F505A"/>
    <w:rsid w:val="66EE5541"/>
    <w:rsid w:val="67924660"/>
    <w:rsid w:val="68407834"/>
    <w:rsid w:val="6883293E"/>
    <w:rsid w:val="688412AD"/>
    <w:rsid w:val="68EB1B71"/>
    <w:rsid w:val="6A6C7940"/>
    <w:rsid w:val="6AAD2300"/>
    <w:rsid w:val="6B474EF5"/>
    <w:rsid w:val="6B535011"/>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282C11"/>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3521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8305</Words>
  <Characters>10253</Characters>
  <Lines>89</Lines>
  <Paragraphs>25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2025-09-17T01:56:52Z</dcterms:modified>
  <dc:title>垫江县桂溪街道产业融合发展服务中心2024年度决算公开说明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