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jc w:val="center"/>
        <w:rPr>
          <w:rFonts w:hint="default" w:ascii="方正小标宋_GBK" w:hAnsi="等线" w:eastAsia="方正小标宋_GBK"/>
          <w:kern w:val="2"/>
          <w:sz w:val="44"/>
          <w:szCs w:val="44"/>
        </w:rPr>
      </w:pPr>
      <w:r>
        <w:rPr>
          <w:rFonts w:ascii="方正小标宋_GBK" w:hAnsi="等线" w:eastAsia="方正小标宋_GBK"/>
          <w:kern w:val="2"/>
          <w:sz w:val="44"/>
          <w:szCs w:val="44"/>
        </w:rPr>
        <w:t>垫江县桂溪街道退役军人服务站</w:t>
      </w:r>
    </w:p>
    <w:p>
      <w:pPr>
        <w:widowControl w:val="0"/>
        <w:jc w:val="center"/>
        <w:rPr>
          <w:rFonts w:ascii="方正小标宋_GBK" w:hAnsi="等线" w:eastAsia="方正小标宋_GBK"/>
          <w:kern w:val="2"/>
          <w:sz w:val="44"/>
          <w:szCs w:val="44"/>
        </w:rPr>
      </w:pPr>
      <w:r>
        <w:rPr>
          <w:rFonts w:ascii="方正小标宋_GBK" w:hAnsi="等线" w:eastAsia="方正小标宋_GBK"/>
          <w:kern w:val="2"/>
          <w:sz w:val="44"/>
          <w:szCs w:val="44"/>
        </w:rPr>
        <w:t>202</w:t>
      </w:r>
      <w:r>
        <w:rPr>
          <w:rFonts w:hint="eastAsia" w:ascii="方正小标宋_GBK" w:hAnsi="等线" w:eastAsia="方正小标宋_GBK"/>
          <w:kern w:val="2"/>
          <w:sz w:val="44"/>
          <w:szCs w:val="44"/>
          <w:lang w:val="en-US" w:eastAsia="zh-CN"/>
        </w:rPr>
        <w:t>4</w:t>
      </w:r>
      <w:r>
        <w:rPr>
          <w:rFonts w:ascii="方正小标宋_GBK" w:hAnsi="等线" w:eastAsia="方正小标宋_GBK"/>
          <w:kern w:val="2"/>
          <w:sz w:val="44"/>
          <w:szCs w:val="44"/>
        </w:rPr>
        <w:t>年度决算公开说明</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一、</w:t>
      </w:r>
      <w:r>
        <w:rPr>
          <w:rFonts w:hint="default" w:ascii="Times New Roman" w:hAnsi="Times New Roman" w:eastAsia="方正黑体_GBK" w:cs="Times New Roman"/>
          <w:kern w:val="2"/>
          <w:sz w:val="32"/>
          <w:szCs w:val="32"/>
          <w:lang w:eastAsia="zh-CN"/>
        </w:rPr>
        <w:t>单位</w:t>
      </w:r>
      <w:r>
        <w:rPr>
          <w:rFonts w:hint="default" w:ascii="Times New Roman" w:hAnsi="Times New Roman" w:eastAsia="方正黑体_GBK" w:cs="Times New Roman"/>
          <w:kern w:val="2"/>
          <w:sz w:val="32"/>
          <w:szCs w:val="32"/>
        </w:rPr>
        <w:t>基本情况</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（一）职能职责</w:t>
      </w:r>
    </w:p>
    <w:p>
      <w:pPr>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退役军人服务站。为退役军人提供服务。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（二）机构设置</w:t>
      </w:r>
    </w:p>
    <w:p>
      <w:pPr>
        <w:wordWrap/>
        <w:adjustRightIn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本单位内设桂溪街道退役军人服务站</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当年无变动。2024年机构人员为3人，比上年增加1人。</w:t>
      </w:r>
    </w:p>
    <w:p>
      <w:pPr>
        <w:pStyle w:val="6"/>
        <w:widowControl/>
        <w:shd w:val="clear" w:color="auto" w:fill="FFFFFF"/>
        <w:wordWrap/>
        <w:adjustRightInd/>
        <w:snapToGrid/>
        <w:spacing w:before="0" w:beforeAutospacing="0" w:after="0" w:afterAutospacing="0" w:line="600" w:lineRule="exact"/>
        <w:ind w:firstLine="643" w:firstLineChars="200"/>
        <w:jc w:val="both"/>
        <w:textAlignment w:val="auto"/>
        <w:rPr>
          <w:rStyle w:val="8"/>
          <w:rFonts w:hint="default" w:ascii="Times New Roman" w:hAnsi="Times New Roman" w:eastAsia="黑体" w:cs="Times New Roman"/>
          <w:b w:val="0"/>
          <w:bCs/>
          <w:sz w:val="32"/>
          <w:szCs w:val="32"/>
          <w:shd w:val="clear" w:color="auto" w:fill="FFFFFF"/>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pPr>
        <w:pStyle w:val="11"/>
        <w:wordWrap/>
        <w:autoSpaceDE w:val="0"/>
        <w:adjustRightInd/>
        <w:spacing w:beforeAutospacing="0" w:afterAutospacing="0" w:line="600" w:lineRule="exact"/>
        <w:ind w:firstLine="643"/>
        <w:jc w:val="both"/>
        <w:textAlignment w:val="auto"/>
        <w:rPr>
          <w:rFonts w:hint="default" w:ascii="Times New Roman" w:hAnsi="Times New Roman" w:eastAsia="楷体" w:cs="Times New Roman"/>
          <w:b/>
          <w:bCs/>
          <w:sz w:val="32"/>
          <w:szCs w:val="32"/>
          <w:shd w:val="clear" w:color="auto" w:fill="FFFFFF"/>
        </w:rPr>
      </w:pPr>
      <w:bookmarkStart w:id="0" w:name="_GoBack"/>
      <w:r>
        <w:rPr>
          <w:rFonts w:hint="default" w:ascii="Times New Roman" w:hAnsi="Times New Roman" w:eastAsia="楷体" w:cs="Times New Roman"/>
          <w:b w:val="0"/>
          <w:bCs/>
          <w:sz w:val="32"/>
          <w:szCs w:val="32"/>
          <w:shd w:val="clear" w:color="auto" w:fill="FFFFFF"/>
        </w:rPr>
        <w:t>（一）收入支出决算总体情况说明</w:t>
      </w:r>
    </w:p>
    <w:bookmarkEnd w:id="0"/>
    <w:p>
      <w:pPr>
        <w:pStyle w:val="6"/>
        <w:shd w:val="clear" w:color="auto" w:fill="FFFFFF"/>
        <w:wordWrap/>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度收入总计63.70万元，支出总计</w:t>
      </w:r>
      <w:r>
        <w:rPr>
          <w:rFonts w:hint="default" w:ascii="Times New Roman" w:hAnsi="Times New Roman" w:eastAsia="方正仿宋_GBK" w:cs="Times New Roman"/>
          <w:sz w:val="32"/>
          <w:szCs w:val="32"/>
        </w:rPr>
        <w:t>63.70</w:t>
      </w:r>
      <w:r>
        <w:rPr>
          <w:rFonts w:hint="default" w:ascii="Times New Roman" w:hAnsi="Times New Roman" w:eastAsia="方正仿宋_GBK" w:cs="Times New Roman"/>
          <w:sz w:val="32"/>
          <w:szCs w:val="32"/>
          <w:shd w:val="clear" w:color="auto" w:fill="FFFFFF"/>
        </w:rPr>
        <w:t>万元。收、支与2023年度相比，增加0.78万元，增长1.24%，主要原因</w:t>
      </w:r>
      <w:r>
        <w:rPr>
          <w:rFonts w:hint="default" w:ascii="Times New Roman" w:hAnsi="Times New Roman" w:eastAsia="方正仿宋_GBK" w:cs="Times New Roman"/>
          <w:sz w:val="32"/>
          <w:szCs w:val="32"/>
          <w:shd w:val="clear" w:color="auto" w:fill="FFFFFF"/>
          <w:lang w:eastAsia="zh-CN"/>
        </w:rPr>
        <w:t>是增加了养老保险和职业年金。</w:t>
      </w:r>
    </w:p>
    <w:p>
      <w:pPr>
        <w:pStyle w:val="6"/>
        <w:shd w:val="clear" w:color="auto" w:fill="FFFFFF"/>
        <w:wordWrap/>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度收入合计63.70万元，与2023年度相比，增加0.78万元，增长1.24%，主要原因</w:t>
      </w:r>
      <w:r>
        <w:rPr>
          <w:rFonts w:hint="default" w:ascii="Times New Roman" w:hAnsi="Times New Roman" w:eastAsia="方正仿宋_GBK" w:cs="Times New Roman"/>
          <w:sz w:val="32"/>
          <w:szCs w:val="32"/>
          <w:shd w:val="clear" w:color="auto" w:fill="FFFFFF"/>
          <w:lang w:eastAsia="zh-CN"/>
        </w:rPr>
        <w:t>是增加了养老保险和职业年金。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63.70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hd w:val="clear" w:color="auto" w:fill="FFFFFF"/>
        <w:wordWrap/>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63.70</w:t>
      </w:r>
      <w:r>
        <w:rPr>
          <w:rFonts w:hint="default" w:ascii="Times New Roman" w:hAnsi="Times New Roman" w:eastAsia="方正仿宋_GBK" w:cs="Times New Roman"/>
          <w:sz w:val="32"/>
          <w:szCs w:val="32"/>
          <w:shd w:val="clear" w:color="auto" w:fill="FFFFFF"/>
        </w:rPr>
        <w:t>万元，与2023年度相比，增加0.78万元，增长1.24%，主要原因</w:t>
      </w:r>
      <w:r>
        <w:rPr>
          <w:rFonts w:hint="default" w:ascii="Times New Roman" w:hAnsi="Times New Roman" w:eastAsia="方正仿宋_GBK" w:cs="Times New Roman"/>
          <w:sz w:val="32"/>
          <w:szCs w:val="32"/>
          <w:shd w:val="clear" w:color="auto" w:fill="FFFFFF"/>
          <w:lang w:eastAsia="zh-CN"/>
        </w:rPr>
        <w:t>是增加了养老保险和职业年金。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63.70</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wordWrap/>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w:t>
      </w:r>
      <w:r>
        <w:rPr>
          <w:rFonts w:hint="default" w:ascii="Times New Roman" w:hAnsi="Times New Roman" w:eastAsia="方正仿宋_GBK" w:cs="Times New Roman"/>
          <w:sz w:val="32"/>
          <w:szCs w:val="32"/>
          <w:shd w:val="clear" w:color="auto" w:fill="FFFFFF"/>
          <w:lang w:eastAsia="zh-CN"/>
        </w:rPr>
        <w:t>是收支平衡</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无结转结余</w:t>
      </w:r>
      <w:r>
        <w:rPr>
          <w:rFonts w:hint="default" w:ascii="Times New Roman" w:hAnsi="Times New Roman" w:eastAsia="方正仿宋_GBK" w:cs="Times New Roman"/>
          <w:sz w:val="32"/>
          <w:szCs w:val="32"/>
          <w:shd w:val="clear" w:color="auto" w:fill="FFFFFF"/>
          <w:lang w:eastAsia="zh-CN"/>
        </w:rPr>
        <w:t>。</w:t>
      </w:r>
    </w:p>
    <w:p>
      <w:pPr>
        <w:pStyle w:val="11"/>
        <w:wordWrap/>
        <w:autoSpaceDE w:val="0"/>
        <w:adjustRightInd/>
        <w:spacing w:beforeAutospacing="0" w:afterAutospacing="0" w:line="600" w:lineRule="exact"/>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val="0"/>
          <w:bCs w:val="0"/>
          <w:sz w:val="32"/>
          <w:szCs w:val="32"/>
          <w:shd w:val="clear" w:color="auto" w:fill="FFFFFF"/>
        </w:rPr>
        <w:t>（二）财政拨款收入支出决算总体情况说明</w:t>
      </w:r>
    </w:p>
    <w:p>
      <w:pPr>
        <w:pStyle w:val="6"/>
        <w:shd w:val="clear" w:color="auto" w:fill="FFFFFF"/>
        <w:wordWrap/>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度财政拨款收、支总计63.70万元。与202</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年相比，财政拨款收、支总计各增加0.78万元，增长1.24%。主要原因</w:t>
      </w:r>
      <w:r>
        <w:rPr>
          <w:rFonts w:hint="default" w:ascii="Times New Roman" w:hAnsi="Times New Roman" w:eastAsia="方正仿宋_GBK" w:cs="Times New Roman"/>
          <w:sz w:val="32"/>
          <w:szCs w:val="32"/>
          <w:shd w:val="clear" w:color="auto" w:fill="FFFFFF"/>
          <w:lang w:eastAsia="zh-CN"/>
        </w:rPr>
        <w:t>是增加了养老保险和职业年金。</w:t>
      </w:r>
    </w:p>
    <w:p>
      <w:pPr>
        <w:pStyle w:val="11"/>
        <w:wordWrap/>
        <w:autoSpaceDE w:val="0"/>
        <w:adjustRightInd/>
        <w:spacing w:beforeAutospacing="0" w:afterAutospacing="0" w:line="600" w:lineRule="exact"/>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val="0"/>
          <w:bCs w:val="0"/>
          <w:sz w:val="32"/>
          <w:szCs w:val="32"/>
          <w:shd w:val="clear" w:color="auto" w:fill="FFFFFF"/>
        </w:rPr>
        <w:t>（三）一般公共预算财政拨款收入支出决算情况说明</w:t>
      </w:r>
    </w:p>
    <w:p>
      <w:pPr>
        <w:pStyle w:val="6"/>
        <w:shd w:val="clear" w:color="auto" w:fill="FFFFFF"/>
        <w:wordWrap/>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63.70</w:t>
      </w:r>
      <w:r>
        <w:rPr>
          <w:rFonts w:hint="default" w:ascii="Times New Roman" w:hAnsi="Times New Roman" w:eastAsia="方正仿宋_GBK" w:cs="Times New Roman"/>
          <w:sz w:val="32"/>
          <w:szCs w:val="32"/>
          <w:shd w:val="clear" w:color="auto" w:fill="FFFFFF"/>
        </w:rPr>
        <w:t>万元，与2023年度相比，增加0.78万元，增长1.24%。主要原因是主要原因</w:t>
      </w:r>
      <w:r>
        <w:rPr>
          <w:rFonts w:hint="default" w:ascii="Times New Roman" w:hAnsi="Times New Roman" w:eastAsia="方正仿宋_GBK" w:cs="Times New Roman"/>
          <w:sz w:val="32"/>
          <w:szCs w:val="32"/>
          <w:shd w:val="clear" w:color="auto" w:fill="FFFFFF"/>
          <w:lang w:eastAsia="zh-CN"/>
        </w:rPr>
        <w:t>是增加了养老保险和职业年金。</w:t>
      </w:r>
      <w:r>
        <w:rPr>
          <w:rFonts w:hint="default" w:ascii="Times New Roman" w:hAnsi="Times New Roman" w:eastAsia="方正仿宋_GBK" w:cs="Times New Roman"/>
          <w:sz w:val="32"/>
          <w:szCs w:val="32"/>
          <w:shd w:val="clear" w:color="auto" w:fill="FFFFFF"/>
        </w:rPr>
        <w:t>较年初预算数增加3.59万元，增长5.97%。主要原因</w:t>
      </w:r>
      <w:r>
        <w:rPr>
          <w:rFonts w:hint="default" w:ascii="Times New Roman" w:hAnsi="Times New Roman" w:eastAsia="方正仿宋_GBK" w:cs="Times New Roman"/>
          <w:sz w:val="32"/>
          <w:szCs w:val="32"/>
          <w:shd w:val="clear" w:color="auto" w:fill="FFFFFF"/>
          <w:lang w:eastAsia="zh-CN"/>
        </w:rPr>
        <w:t>是增加了工资福利支出。</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hd w:val="clear" w:color="auto" w:fill="FFFFFF"/>
        <w:wordWrap/>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63.70</w:t>
      </w:r>
      <w:r>
        <w:rPr>
          <w:rFonts w:hint="default" w:ascii="Times New Roman" w:hAnsi="Times New Roman" w:eastAsia="方正仿宋_GBK" w:cs="Times New Roman"/>
          <w:sz w:val="32"/>
          <w:szCs w:val="32"/>
          <w:shd w:val="clear" w:color="auto" w:fill="FFFFFF"/>
        </w:rPr>
        <w:t>万元，与2023年度相比，增加0.78万元，增长1.24%。主要原因</w:t>
      </w:r>
      <w:r>
        <w:rPr>
          <w:rFonts w:hint="default" w:ascii="Times New Roman" w:hAnsi="Times New Roman" w:eastAsia="方正仿宋_GBK" w:cs="Times New Roman"/>
          <w:sz w:val="32"/>
          <w:szCs w:val="32"/>
          <w:shd w:val="clear" w:color="auto" w:fill="FFFFFF"/>
          <w:lang w:eastAsia="zh-CN"/>
        </w:rPr>
        <w:t>是增加了养老保险和职业年金。</w:t>
      </w:r>
      <w:r>
        <w:rPr>
          <w:rFonts w:hint="default" w:ascii="Times New Roman" w:hAnsi="Times New Roman" w:eastAsia="方正仿宋_GBK" w:cs="Times New Roman"/>
          <w:sz w:val="32"/>
          <w:szCs w:val="32"/>
          <w:shd w:val="clear" w:color="auto" w:fill="FFFFFF"/>
        </w:rPr>
        <w:t>较年初预算数增加3.59万元，增长5.97%。主要原因</w:t>
      </w:r>
      <w:r>
        <w:rPr>
          <w:rFonts w:hint="default" w:ascii="Times New Roman" w:hAnsi="Times New Roman" w:eastAsia="方正仿宋_GBK" w:cs="Times New Roman"/>
          <w:sz w:val="32"/>
          <w:szCs w:val="32"/>
          <w:shd w:val="clear" w:color="auto" w:fill="FFFFFF"/>
          <w:lang w:eastAsia="zh-CN"/>
        </w:rPr>
        <w:t>是增加了工资福利支出。</w:t>
      </w:r>
    </w:p>
    <w:p>
      <w:pPr>
        <w:pStyle w:val="6"/>
        <w:wordWrap/>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w:t>
      </w:r>
      <w:r>
        <w:rPr>
          <w:rFonts w:hint="default" w:ascii="Times New Roman" w:hAnsi="Times New Roman" w:eastAsia="方正仿宋_GBK" w:cs="Times New Roman"/>
          <w:sz w:val="32"/>
          <w:szCs w:val="32"/>
          <w:shd w:val="clear" w:color="auto" w:fill="FFFFFF"/>
          <w:lang w:eastAsia="zh-CN"/>
        </w:rPr>
        <w:t>是收支平衡</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无结转结余</w:t>
      </w:r>
      <w:r>
        <w:rPr>
          <w:rFonts w:hint="default" w:ascii="Times New Roman" w:hAnsi="Times New Roman" w:eastAsia="方正仿宋_GBK" w:cs="Times New Roman"/>
          <w:sz w:val="32"/>
          <w:szCs w:val="32"/>
          <w:shd w:val="clear" w:color="auto" w:fill="FFFFFF"/>
          <w:lang w:eastAsia="zh-CN"/>
        </w:rPr>
        <w:t>。</w:t>
      </w:r>
    </w:p>
    <w:p>
      <w:pPr>
        <w:pStyle w:val="6"/>
        <w:wordWrap/>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pPr>
        <w:pStyle w:val="6"/>
        <w:shd w:val="clear" w:color="auto" w:fill="FFFFFF"/>
        <w:wordWrap/>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56.99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89.46</w:t>
      </w:r>
      <w:r>
        <w:rPr>
          <w:rFonts w:hint="default" w:ascii="Times New Roman" w:hAnsi="Times New Roman" w:eastAsia="方正仿宋_GBK" w:cs="Times New Roman"/>
          <w:sz w:val="32"/>
          <w:szCs w:val="32"/>
          <w:shd w:val="clear" w:color="auto" w:fill="FFFFFF"/>
        </w:rPr>
        <w:t>%，较年初预算数增加2.01万元，增长3.66%，主要原因</w:t>
      </w:r>
      <w:r>
        <w:rPr>
          <w:rFonts w:hint="default" w:ascii="Times New Roman" w:hAnsi="Times New Roman" w:eastAsia="方正仿宋_GBK" w:cs="Times New Roman"/>
          <w:sz w:val="32"/>
          <w:szCs w:val="32"/>
          <w:shd w:val="clear" w:color="auto" w:fill="FFFFFF"/>
          <w:lang w:eastAsia="zh-CN"/>
        </w:rPr>
        <w:t>是增加了养老保险和职业年金支出。</w:t>
      </w:r>
    </w:p>
    <w:p>
      <w:pPr>
        <w:pStyle w:val="6"/>
        <w:wordWrap/>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3.43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5.39</w:t>
      </w:r>
      <w:r>
        <w:rPr>
          <w:rFonts w:hint="default" w:ascii="Times New Roman" w:hAnsi="Times New Roman" w:eastAsia="方正仿宋_GBK" w:cs="Times New Roman"/>
          <w:sz w:val="32"/>
          <w:szCs w:val="32"/>
          <w:shd w:val="clear" w:color="auto" w:fill="FFFFFF"/>
        </w:rPr>
        <w:t>%，较年初预算数增加1.10万元，增长47.21%，主要原因</w:t>
      </w:r>
      <w:r>
        <w:rPr>
          <w:rFonts w:hint="default" w:ascii="Times New Roman" w:hAnsi="Times New Roman" w:eastAsia="方正仿宋_GBK" w:cs="Times New Roman"/>
          <w:sz w:val="32"/>
          <w:szCs w:val="32"/>
          <w:shd w:val="clear" w:color="auto" w:fill="FFFFFF"/>
          <w:lang w:eastAsia="zh-CN"/>
        </w:rPr>
        <w:t>是增加了医疗费支出。</w:t>
      </w:r>
    </w:p>
    <w:p>
      <w:pPr>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住房保障支出3.28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5.15</w:t>
      </w:r>
      <w:r>
        <w:rPr>
          <w:rFonts w:hint="default" w:ascii="Times New Roman" w:hAnsi="Times New Roman" w:eastAsia="方正仿宋_GBK" w:cs="Times New Roman"/>
          <w:sz w:val="32"/>
          <w:szCs w:val="32"/>
          <w:shd w:val="clear" w:color="auto" w:fill="FFFFFF"/>
        </w:rPr>
        <w:t>%，较年初预算数增加0.48万元，增长17.14%，主要原因</w:t>
      </w:r>
      <w:r>
        <w:rPr>
          <w:rFonts w:hint="default" w:ascii="Times New Roman" w:hAnsi="Times New Roman" w:eastAsia="方正仿宋_GBK" w:cs="Times New Roman"/>
          <w:sz w:val="32"/>
          <w:szCs w:val="32"/>
          <w:shd w:val="clear" w:color="auto" w:fill="FFFFFF"/>
          <w:lang w:eastAsia="zh-CN"/>
        </w:rPr>
        <w:t>是调整了缴存基数。</w:t>
      </w:r>
    </w:p>
    <w:p>
      <w:pPr>
        <w:pStyle w:val="11"/>
        <w:wordWrap/>
        <w:autoSpaceDE w:val="0"/>
        <w:adjustRightInd/>
        <w:spacing w:beforeAutospacing="0" w:afterAutospacing="0" w:line="600" w:lineRule="exact"/>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val="0"/>
          <w:bCs w:val="0"/>
          <w:sz w:val="32"/>
          <w:szCs w:val="32"/>
          <w:shd w:val="clear" w:color="auto" w:fill="FFFFFF"/>
        </w:rPr>
        <w:t>（四）一般公共预算财政拨款基本支出决算情况说明</w:t>
      </w:r>
    </w:p>
    <w:p>
      <w:pPr>
        <w:pStyle w:val="6"/>
        <w:shd w:val="clear" w:color="auto" w:fill="FFFFFF"/>
        <w:wordWrap/>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63.70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62.83</w:t>
      </w:r>
      <w:r>
        <w:rPr>
          <w:rFonts w:hint="default" w:ascii="Times New Roman" w:hAnsi="Times New Roman" w:eastAsia="方正仿宋_GBK" w:cs="Times New Roman"/>
          <w:sz w:val="32"/>
          <w:szCs w:val="32"/>
          <w:shd w:val="clear" w:color="auto" w:fill="FFFFFF"/>
        </w:rPr>
        <w:t>万元，与2023年度相比，增加1.39万元，增长2.26%，主要原因</w:t>
      </w:r>
      <w:r>
        <w:rPr>
          <w:rFonts w:hint="default" w:ascii="Times New Roman" w:hAnsi="Times New Roman" w:eastAsia="方正仿宋_GBK" w:cs="Times New Roman"/>
          <w:sz w:val="32"/>
          <w:szCs w:val="32"/>
          <w:shd w:val="clear" w:color="auto" w:fill="FFFFFF"/>
          <w:lang w:eastAsia="zh-CN"/>
        </w:rPr>
        <w:t>是增加了养老保险和职业年金。</w:t>
      </w:r>
      <w:r>
        <w:rPr>
          <w:rFonts w:hint="default" w:ascii="Times New Roman" w:hAnsi="Times New Roman" w:eastAsia="方正仿宋_GBK" w:cs="Times New Roman"/>
          <w:kern w:val="2"/>
          <w:sz w:val="32"/>
          <w:szCs w:val="32"/>
        </w:rPr>
        <w:t>人员经费用途主要包括基本工资、津贴补贴、绩效工资、社会保障缴费等。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0.88</w:t>
      </w:r>
      <w:r>
        <w:rPr>
          <w:rFonts w:hint="default" w:ascii="Times New Roman" w:hAnsi="Times New Roman" w:eastAsia="方正仿宋_GBK" w:cs="Times New Roman"/>
          <w:sz w:val="32"/>
          <w:szCs w:val="32"/>
          <w:shd w:val="clear" w:color="auto" w:fill="FFFFFF"/>
        </w:rPr>
        <w:t>万元，与2023年度相比，减少0.61万元，下降40.94%，主要原因</w:t>
      </w:r>
      <w:r>
        <w:rPr>
          <w:rFonts w:hint="default" w:ascii="Times New Roman" w:hAnsi="Times New Roman" w:eastAsia="方正仿宋_GBK" w:cs="Times New Roman"/>
          <w:sz w:val="32"/>
          <w:szCs w:val="32"/>
          <w:shd w:val="clear" w:color="auto" w:fill="FFFFFF"/>
          <w:lang w:eastAsia="zh-CN"/>
        </w:rPr>
        <w:t>是减少了差旅费支出。</w:t>
      </w:r>
      <w:r>
        <w:rPr>
          <w:rFonts w:hint="default" w:ascii="Times New Roman" w:hAnsi="Times New Roman" w:eastAsia="方正仿宋_GBK" w:cs="Times New Roman"/>
          <w:sz w:val="32"/>
          <w:szCs w:val="32"/>
          <w:shd w:val="clear" w:color="auto" w:fill="FFFFFF"/>
        </w:rPr>
        <w:t>公用经费用途主要包</w:t>
      </w:r>
      <w:r>
        <w:rPr>
          <w:rFonts w:hint="default" w:ascii="Times New Roman" w:hAnsi="Times New Roman" w:eastAsia="方正仿宋_GBK" w:cs="Times New Roman"/>
          <w:sz w:val="32"/>
          <w:szCs w:val="32"/>
          <w:shd w:val="clear" w:color="auto" w:fill="FFFFFF"/>
          <w:lang w:eastAsia="zh-CN"/>
        </w:rPr>
        <w:t>括差旅费等。</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（五）政府性基金预算收支决算情况说明</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rPr>
        <w:t xml:space="preserve"> </w:t>
      </w: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sz w:val="32"/>
          <w:szCs w:val="32"/>
          <w:shd w:val="clear" w:color="auto" w:fill="FFFFFF"/>
        </w:rPr>
        <w:t>本年度无政府性基金预算财政拨款支出。本单位2024年度无政府性基金预算财政拨款收支。</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（六）国有资本经营预算财政拨款支出决算情况说明</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widowControl w:val="0"/>
        <w:wordWrap/>
        <w:adjustRightInd/>
        <w:spacing w:beforeAutospacing="0" w:afterAutospacing="0" w:line="600" w:lineRule="exact"/>
        <w:ind w:firstLine="643" w:firstLineChars="200"/>
        <w:jc w:val="both"/>
        <w:textAlignment w:val="auto"/>
        <w:rPr>
          <w:rFonts w:hint="default" w:ascii="Times New Roman" w:hAnsi="Times New Roman" w:eastAsia="方正黑体_GBK" w:cs="Times New Roman"/>
          <w:kern w:val="2"/>
          <w:sz w:val="32"/>
          <w:szCs w:val="32"/>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（一）“三公”经费支出总体情况说明</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（二）“三公”经费分项支出情况</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2024年度本单位因公出国（境）费用0.00万元，主要是用于因公出国（境）费用支出。费用支出较年初预算数无增减，主要原因是本单位近年均未安排人员因公出国（境）。较上年支出数无增减，主要原因是本单位近年均未安排人员因公出国（境）。</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公务车购置费0.00万元，主要用于公务车购置。费用支出较年初预算数无增减，主要原因是本单位近年均未购置公务车。较上年支出数无增减，主要原因是本单位近年均未购置公务车。</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公务车运行维护费0.00万元，主要用于工作所需车辆的燃料费、维修费、过桥过路费、保险费、洗车费等。费用支出较年初预算数无增减，主要原因是本单位无公务车辆。较上年支出数无增减，主要原因是本单位无公务车辆。</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（三）“三公”经费实物量情况</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202</w:t>
      </w:r>
      <w:r>
        <w:rPr>
          <w:rFonts w:hint="default" w:ascii="Times New Roman" w:hAnsi="Times New Roman" w:eastAsia="方正仿宋_GBK" w:cs="Times New Roman"/>
          <w:kern w:val="2"/>
          <w:sz w:val="32"/>
          <w:szCs w:val="32"/>
          <w:lang w:val="en-US" w:eastAsia="zh-CN"/>
        </w:rPr>
        <w:t>4</w:t>
      </w:r>
      <w:r>
        <w:rPr>
          <w:rFonts w:hint="default" w:ascii="Times New Roman" w:hAnsi="Times New Roman" w:eastAsia="方正仿宋_GBK" w:cs="Times New Roman"/>
          <w:kern w:val="2"/>
          <w:sz w:val="32"/>
          <w:szCs w:val="32"/>
        </w:rPr>
        <w:t>年度</w:t>
      </w:r>
      <w:r>
        <w:rPr>
          <w:rFonts w:hint="default" w:ascii="Times New Roman" w:hAnsi="Times New Roman" w:eastAsia="方正仿宋_GBK" w:cs="Times New Roman"/>
          <w:kern w:val="2"/>
          <w:sz w:val="32"/>
          <w:szCs w:val="32"/>
          <w:lang w:eastAsia="zh-CN"/>
        </w:rPr>
        <w:t>本单位</w:t>
      </w:r>
      <w:r>
        <w:rPr>
          <w:rFonts w:hint="default" w:ascii="Times New Roman" w:hAnsi="Times New Roman" w:eastAsia="方正仿宋_GBK" w:cs="Times New Roman"/>
          <w:kern w:val="2"/>
          <w:sz w:val="32"/>
          <w:szCs w:val="32"/>
        </w:rPr>
        <w:t>因公出国（境）共计0个团组，0人；公务用车购置0辆，公务车保有量为0辆；国内公务接待0批次0人，其中：国内外事接待0批次，0人；国（境）外公务接待0批次，0人。202</w:t>
      </w:r>
      <w:r>
        <w:rPr>
          <w:rFonts w:hint="default" w:ascii="Times New Roman" w:hAnsi="Times New Roman" w:eastAsia="方正仿宋_GBK" w:cs="Times New Roman"/>
          <w:kern w:val="2"/>
          <w:sz w:val="32"/>
          <w:szCs w:val="32"/>
          <w:lang w:val="en-US" w:eastAsia="zh-CN"/>
        </w:rPr>
        <w:t>4</w:t>
      </w:r>
      <w:r>
        <w:rPr>
          <w:rFonts w:hint="default" w:ascii="Times New Roman" w:hAnsi="Times New Roman" w:eastAsia="方正仿宋_GBK" w:cs="Times New Roman"/>
          <w:kern w:val="2"/>
          <w:sz w:val="32"/>
          <w:szCs w:val="32"/>
        </w:rPr>
        <w:t>年</w:t>
      </w:r>
      <w:r>
        <w:rPr>
          <w:rFonts w:hint="default" w:ascii="Times New Roman" w:hAnsi="Times New Roman" w:eastAsia="方正仿宋_GBK" w:cs="Times New Roman"/>
          <w:kern w:val="2"/>
          <w:sz w:val="32"/>
          <w:szCs w:val="32"/>
          <w:lang w:eastAsia="zh-CN"/>
        </w:rPr>
        <w:t>本单位</w:t>
      </w:r>
      <w:r>
        <w:rPr>
          <w:rFonts w:hint="default" w:ascii="Times New Roman" w:hAnsi="Times New Roman" w:eastAsia="方正仿宋_GBK" w:cs="Times New Roman"/>
          <w:kern w:val="2"/>
          <w:sz w:val="32"/>
          <w:szCs w:val="32"/>
        </w:rPr>
        <w:t>人均接待费0元，车均购置费0万元，车均维护费0万元。</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四、其他需要说明的事项</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（一）财政拨款会议费和培训费情况说明</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w:t>
      </w:r>
      <w:r>
        <w:rPr>
          <w:rFonts w:ascii="方正仿宋_GBK" w:eastAsia="方正仿宋_GBK"/>
          <w:sz w:val="32"/>
          <w:szCs w:val="32"/>
        </w:rPr>
        <w:t>主要原因</w:t>
      </w:r>
      <w:r>
        <w:rPr>
          <w:rFonts w:hint="eastAsia" w:ascii="方正仿宋_GBK" w:eastAsia="方正仿宋_GBK"/>
          <w:sz w:val="32"/>
          <w:szCs w:val="32"/>
          <w:lang w:val="en-US" w:eastAsia="zh-CN"/>
        </w:rPr>
        <w:t>本年度无培训费支出</w:t>
      </w:r>
      <w:r>
        <w:rPr>
          <w:rFonts w:ascii="方正仿宋_GBK" w:eastAsia="方正仿宋_GBK"/>
          <w:sz w:val="32"/>
          <w:szCs w:val="32"/>
        </w:rPr>
        <w:t>。</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（二）机关运行经费情况说明</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（三）国有资产占用情况说明</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截至202</w:t>
      </w:r>
      <w:r>
        <w:rPr>
          <w:rFonts w:hint="default" w:ascii="Times New Roman" w:hAnsi="Times New Roman" w:eastAsia="方正仿宋_GBK" w:cs="Times New Roman"/>
          <w:kern w:val="2"/>
          <w:sz w:val="32"/>
          <w:szCs w:val="32"/>
          <w:lang w:val="en-US" w:eastAsia="zh-CN"/>
        </w:rPr>
        <w:t>4</w:t>
      </w:r>
      <w:r>
        <w:rPr>
          <w:rFonts w:hint="default" w:ascii="Times New Roman" w:hAnsi="Times New Roman" w:eastAsia="方正仿宋_GBK" w:cs="Times New Roman"/>
          <w:kern w:val="2"/>
          <w:sz w:val="32"/>
          <w:szCs w:val="32"/>
        </w:rPr>
        <w:t>年12月31日，</w:t>
      </w:r>
      <w:r>
        <w:rPr>
          <w:rFonts w:hint="default" w:ascii="Times New Roman" w:hAnsi="Times New Roman" w:eastAsia="方正仿宋_GBK" w:cs="Times New Roman"/>
          <w:kern w:val="2"/>
          <w:sz w:val="32"/>
          <w:szCs w:val="32"/>
          <w:lang w:eastAsia="zh-CN"/>
        </w:rPr>
        <w:t>本单位</w:t>
      </w:r>
      <w:r>
        <w:rPr>
          <w:rFonts w:hint="default" w:ascii="Times New Roman" w:hAnsi="Times New Roman" w:eastAsia="方正仿宋_GBK" w:cs="Times New Roman"/>
          <w:kern w:val="2"/>
          <w:sz w:val="32"/>
          <w:szCs w:val="32"/>
        </w:rPr>
        <w:t>共有车辆0辆，其中，副部（省）级及以上领导用车0辆、主要负责人用车0辆、机要通信用车0辆、应急保障用车0辆、执法执勤用车0辆，特种专业技术用车0辆，离退休干部用车0辆。单价100万元（含）以上专用设备0台（套）。</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（四）政府采购支出情况说明</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widowControl w:val="0"/>
        <w:wordWrap/>
        <w:adjustRightInd/>
        <w:spacing w:beforeAutospacing="0" w:afterAutospacing="0" w:line="600" w:lineRule="exact"/>
        <w:ind w:firstLine="643" w:firstLineChars="200"/>
        <w:jc w:val="both"/>
        <w:textAlignment w:val="auto"/>
        <w:rPr>
          <w:rFonts w:hint="default" w:ascii="Times New Roman" w:hAnsi="Times New Roman" w:eastAsia="方正黑体_GBK" w:cs="Times New Roman"/>
          <w:kern w:val="2"/>
          <w:sz w:val="32"/>
          <w:szCs w:val="32"/>
        </w:rPr>
      </w:pPr>
      <w:r>
        <w:rPr>
          <w:rStyle w:val="8"/>
          <w:rFonts w:hint="eastAsia" w:ascii="黑体" w:hAnsi="黑体" w:eastAsia="黑体" w:cs="黑体"/>
          <w:sz w:val="32"/>
          <w:szCs w:val="32"/>
          <w:shd w:val="clear" w:color="auto" w:fill="FFFFFF"/>
          <w:lang w:val="en-US" w:eastAsia="zh-CN" w:bidi="ar-SA"/>
        </w:rPr>
        <w:t>五、2024年度预算绩效管理情况说明</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（一）单位自评情况</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eastAsia="zh-CN"/>
        </w:rPr>
        <w:t>本单位</w:t>
      </w:r>
      <w:r>
        <w:rPr>
          <w:rFonts w:hint="default" w:ascii="Times New Roman" w:hAnsi="Times New Roman" w:eastAsia="方正仿宋_GBK" w:cs="Times New Roman"/>
          <w:kern w:val="2"/>
          <w:sz w:val="32"/>
          <w:szCs w:val="32"/>
        </w:rPr>
        <w:t>未组织开展绩效自评。</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（二）单位绩效评价情况</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eastAsia="zh-CN"/>
        </w:rPr>
        <w:t>本单位</w:t>
      </w:r>
      <w:r>
        <w:rPr>
          <w:rFonts w:hint="default" w:ascii="Times New Roman" w:hAnsi="Times New Roman" w:eastAsia="方正仿宋_GBK" w:cs="Times New Roman"/>
          <w:kern w:val="2"/>
          <w:sz w:val="32"/>
          <w:szCs w:val="32"/>
        </w:rPr>
        <w:t>未组织开展绩效评价。</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（三）财政绩效评价情况</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eastAsia="zh-CN"/>
        </w:rPr>
        <w:t>县</w:t>
      </w:r>
      <w:r>
        <w:rPr>
          <w:rFonts w:hint="default" w:ascii="Times New Roman" w:hAnsi="Times New Roman" w:eastAsia="方正仿宋_GBK" w:cs="Times New Roman"/>
          <w:kern w:val="2"/>
          <w:sz w:val="32"/>
          <w:szCs w:val="32"/>
        </w:rPr>
        <w:t>财政局未委托第三方对</w:t>
      </w:r>
      <w:r>
        <w:rPr>
          <w:rFonts w:hint="default" w:ascii="Times New Roman" w:hAnsi="Times New Roman" w:eastAsia="方正仿宋_GBK" w:cs="Times New Roman"/>
          <w:kern w:val="2"/>
          <w:sz w:val="32"/>
          <w:szCs w:val="32"/>
          <w:lang w:eastAsia="zh-CN"/>
        </w:rPr>
        <w:t>本单位</w:t>
      </w:r>
      <w:r>
        <w:rPr>
          <w:rFonts w:hint="default" w:ascii="Times New Roman" w:hAnsi="Times New Roman" w:eastAsia="方正仿宋_GBK" w:cs="Times New Roman"/>
          <w:kern w:val="2"/>
          <w:sz w:val="32"/>
          <w:szCs w:val="32"/>
        </w:rPr>
        <w:t>开展绩效评价。</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六、专业名词解释</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（一）财政拨款收入：</w:t>
      </w:r>
      <w:r>
        <w:rPr>
          <w:rFonts w:hint="default" w:ascii="Times New Roman" w:hAnsi="Times New Roman" w:eastAsia="方正仿宋_GBK" w:cs="Times New Roman"/>
          <w:kern w:val="2"/>
          <w:sz w:val="32"/>
          <w:szCs w:val="32"/>
        </w:rPr>
        <w:t>指本年度从本级财政部门取得的财政拨款，包括一般公共预算财政拨款和政府性基金预算财政拨款。</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（二）事业收入：</w:t>
      </w:r>
      <w:r>
        <w:rPr>
          <w:rFonts w:hint="default" w:ascii="Times New Roman" w:hAnsi="Times New Roman" w:eastAsia="方正仿宋_GBK" w:cs="Times New Roman"/>
          <w:kern w:val="2"/>
          <w:sz w:val="32"/>
          <w:szCs w:val="32"/>
        </w:rPr>
        <w:t>指事业单位开展专业业务活动及其辅助活动取得的现金流入；事业单位收到的财政专户实际核拨的教育收费等资金在此反映。</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（三）经营收入</w:t>
      </w:r>
      <w:r>
        <w:rPr>
          <w:rFonts w:hint="default" w:ascii="Times New Roman" w:hAnsi="Times New Roman" w:eastAsia="方正仿宋_GBK" w:cs="Times New Roman"/>
          <w:kern w:val="2"/>
          <w:sz w:val="32"/>
          <w:szCs w:val="32"/>
        </w:rPr>
        <w:t>：指事业单位在专业业务活动及其辅助活动之外开展非独立核算经营活动取得的现金流入。</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（四）其他收入：</w:t>
      </w:r>
      <w:r>
        <w:rPr>
          <w:rFonts w:hint="default" w:ascii="Times New Roman" w:hAnsi="Times New Roman" w:eastAsia="方正仿宋_GBK" w:cs="Times New Roman"/>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（五）使用非财政拨款结余：</w:t>
      </w:r>
      <w:r>
        <w:rPr>
          <w:rFonts w:hint="default" w:ascii="Times New Roman" w:hAnsi="Times New Roman" w:eastAsia="方正仿宋_GBK" w:cs="Times New Roman"/>
          <w:kern w:val="2"/>
          <w:sz w:val="32"/>
          <w:szCs w:val="32"/>
        </w:rPr>
        <w:t>指单位在当年的“财政拨款收入”、“事业收入”、“经营收入”、“其他收入”等不足以安排当年支出的情况下，使用以前年度积累的非财政拨款结余弥补本年度收支缺口的资金。</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（六）年初结转和结余：</w:t>
      </w:r>
      <w:r>
        <w:rPr>
          <w:rFonts w:hint="default" w:ascii="Times New Roman" w:hAnsi="Times New Roman" w:eastAsia="方正仿宋_GBK" w:cs="Times New Roman"/>
          <w:kern w:val="2"/>
          <w:sz w:val="32"/>
          <w:szCs w:val="32"/>
        </w:rPr>
        <w:t>指单位上年结转本年使用的基本支出结转、项目支出结转和结余、经营结余。</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（七）结余分配：</w:t>
      </w:r>
      <w:r>
        <w:rPr>
          <w:rFonts w:hint="default" w:ascii="Times New Roman" w:hAnsi="Times New Roman" w:eastAsia="方正仿宋_GBK" w:cs="Times New Roman"/>
          <w:kern w:val="2"/>
          <w:sz w:val="32"/>
          <w:szCs w:val="32"/>
        </w:rPr>
        <w:t>指单位按照国家有关规定，缴纳所得税、提取专用基金、转入非财政拨款结余等当年结余的分配情况。</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（八）年末结转和结余：</w:t>
      </w:r>
      <w:r>
        <w:rPr>
          <w:rFonts w:hint="default" w:ascii="Times New Roman" w:hAnsi="Times New Roman" w:eastAsia="方正仿宋_GBK" w:cs="Times New Roman"/>
          <w:kern w:val="2"/>
          <w:sz w:val="32"/>
          <w:szCs w:val="32"/>
        </w:rPr>
        <w:t>指单位结转下年的基本支出结转、项目支出结转和结余、经营结余。</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（九）基本支出：</w:t>
      </w:r>
      <w:r>
        <w:rPr>
          <w:rFonts w:hint="default" w:ascii="Times New Roman" w:hAnsi="Times New Roman" w:eastAsia="方正仿宋_GBK" w:cs="Times New Roman"/>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（十）项目支出：</w:t>
      </w:r>
      <w:r>
        <w:rPr>
          <w:rFonts w:hint="default" w:ascii="Times New Roman" w:hAnsi="Times New Roman" w:eastAsia="方正仿宋_GBK" w:cs="Times New Roman"/>
          <w:kern w:val="2"/>
          <w:sz w:val="32"/>
          <w:szCs w:val="32"/>
        </w:rPr>
        <w:t>指在基本支出之外为完成特定行政任务和事业发展目标所发生的支出。</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（十一）经营支出：</w:t>
      </w:r>
      <w:r>
        <w:rPr>
          <w:rFonts w:hint="default" w:ascii="Times New Roman" w:hAnsi="Times New Roman" w:eastAsia="方正仿宋_GBK" w:cs="Times New Roman"/>
          <w:kern w:val="2"/>
          <w:sz w:val="32"/>
          <w:szCs w:val="32"/>
        </w:rPr>
        <w:t>指事业单位在专业业务活动及其辅助活动之外开展非独立核算经营活动发生的支出。</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（十二）“三公”经费：</w:t>
      </w:r>
      <w:r>
        <w:rPr>
          <w:rFonts w:hint="default" w:ascii="Times New Roman" w:hAnsi="Times New Roman" w:eastAsia="方正仿宋_GBK" w:cs="Times New Roman"/>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（十三）机关运行经费：</w:t>
      </w:r>
      <w:r>
        <w:rPr>
          <w:rFonts w:hint="default" w:ascii="Times New Roman" w:hAnsi="Times New Roman" w:eastAsia="方正仿宋_GBK" w:cs="Times New Roman"/>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（十四）工资福利支出（支出经济分类科目类级）：</w:t>
      </w:r>
      <w:r>
        <w:rPr>
          <w:rFonts w:hint="default" w:ascii="Times New Roman" w:hAnsi="Times New Roman" w:eastAsia="方正仿宋_GBK" w:cs="Times New Roman"/>
          <w:kern w:val="2"/>
          <w:sz w:val="32"/>
          <w:szCs w:val="32"/>
        </w:rPr>
        <w:t>反映单位开支的在职职工和编制外长期聘用人员的各类劳动报酬，以及为上述人员缴纳的各项社会保险费等。</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（十五）商品和服务支出（支出经济分类科目类级）：</w:t>
      </w:r>
      <w:r>
        <w:rPr>
          <w:rFonts w:hint="default" w:ascii="Times New Roman" w:hAnsi="Times New Roman" w:eastAsia="方正仿宋_GBK" w:cs="Times New Roman"/>
          <w:kern w:val="2"/>
          <w:sz w:val="32"/>
          <w:szCs w:val="32"/>
        </w:rPr>
        <w:t>反映单位购买商品和服务的支出（不包括用于购置固定资产的支出、战略性和应急储备支出）。</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（十六）对个人和家庭的补助（支出经济分类科目类级）：</w:t>
      </w:r>
      <w:r>
        <w:rPr>
          <w:rFonts w:hint="default" w:ascii="Times New Roman" w:hAnsi="Times New Roman" w:eastAsia="方正仿宋_GBK" w:cs="Times New Roman"/>
          <w:kern w:val="2"/>
          <w:sz w:val="32"/>
          <w:szCs w:val="32"/>
        </w:rPr>
        <w:t>反映用于对个人和家庭的补助支出。</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（十七）其他资本性支出（支出经济分类科目类级）：</w:t>
      </w:r>
      <w:r>
        <w:rPr>
          <w:rFonts w:hint="default" w:ascii="Times New Roman" w:hAnsi="Times New Roman" w:eastAsia="方正仿宋_GBK" w:cs="Times New Roman"/>
          <w:kern w:val="2"/>
          <w:sz w:val="32"/>
          <w:szCs w:val="32"/>
        </w:rPr>
        <w:t>反映非各级发展与改革部门集中安排的用于购置固定资产、战略性和应急性储备、土地和无形资产，以及构建基础设施、大型修缮和财政支持企业更新改造所发生的支出。</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七、决算公开联系方式及信息反馈渠道</w:t>
      </w:r>
    </w:p>
    <w:p>
      <w:pPr>
        <w:widowControl w:val="0"/>
        <w:wordWrap/>
        <w:adjustRightInd/>
        <w:spacing w:beforeAutospacing="0" w:afterAutospacing="0" w:line="600" w:lineRule="exact"/>
        <w:ind w:firstLine="640" w:firstLineChars="200"/>
        <w:jc w:val="both"/>
        <w:textAlignment w:val="auto"/>
        <w:rPr>
          <w:rFonts w:hint="eastAsia"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rPr>
        <w:t>本单位决算公开信息反馈和联系方式：023-74691235</w:t>
      </w:r>
      <w:r>
        <w:rPr>
          <w:rFonts w:hint="eastAsia" w:ascii="Times New Roman" w:hAnsi="Times New Roman" w:eastAsia="方正仿宋_GBK" w:cs="Times New Roman"/>
          <w:kern w:val="2"/>
          <w:sz w:val="32"/>
          <w:szCs w:val="32"/>
          <w:lang w:eastAsia="zh-CN"/>
        </w:rPr>
        <w:t>。</w:t>
      </w:r>
    </w:p>
    <w:p>
      <w:pPr>
        <w:widowControl w:val="0"/>
        <w:wordWrap/>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p>
    <w:p>
      <w:pPr>
        <w:widowControl w:val="0"/>
        <w:jc w:val="both"/>
        <w:rPr>
          <w:rFonts w:hint="default" w:ascii="Times New Roman" w:hAnsi="Times New Roman" w:eastAsia="方正仿宋_GBK"/>
          <w:kern w:val="2"/>
          <w:sz w:val="32"/>
          <w:szCs w:val="32"/>
        </w:rPr>
      </w:pPr>
    </w:p>
    <w:p>
      <w:pPr>
        <w:widowControl w:val="0"/>
        <w:jc w:val="both"/>
        <w:rPr>
          <w:rFonts w:hint="default" w:ascii="Times New Roman" w:hAnsi="Times New Roman" w:eastAsia="方正仿宋_GBK"/>
          <w:kern w:val="2"/>
          <w:sz w:val="32"/>
          <w:szCs w:val="32"/>
        </w:rPr>
      </w:pPr>
    </w:p>
    <w:p>
      <w:pPr>
        <w:widowControl w:val="0"/>
        <w:jc w:val="both"/>
        <w:rPr>
          <w:rFonts w:hint="default" w:ascii="Times New Roman" w:hAnsi="Times New Roman" w:eastAsia="方正仿宋_GBK"/>
          <w:kern w:val="2"/>
          <w:sz w:val="32"/>
          <w:szCs w:val="32"/>
        </w:rPr>
      </w:pPr>
    </w:p>
    <w:p>
      <w:pPr>
        <w:widowControl w:val="0"/>
        <w:jc w:val="both"/>
        <w:rPr>
          <w:rFonts w:hint="default" w:ascii="Times New Roman" w:hAnsi="Times New Roman" w:eastAsia="方正仿宋_GBK"/>
          <w:kern w:val="2"/>
          <w:sz w:val="32"/>
          <w:szCs w:val="32"/>
        </w:rPr>
      </w:pPr>
    </w:p>
    <w:p>
      <w:pPr>
        <w:widowControl w:val="0"/>
        <w:wordWrap/>
        <w:adjustRightInd/>
        <w:spacing w:beforeAutospacing="0" w:afterAutospacing="0" w:line="600" w:lineRule="exact"/>
        <w:ind w:firstLine="643" w:firstLineChars="200"/>
        <w:jc w:val="both"/>
        <w:textAlignment w:val="auto"/>
        <w:rPr>
          <w:rStyle w:val="8"/>
          <w:rFonts w:hint="default" w:ascii="Times New Roman" w:hAnsi="Times New Roman" w:eastAsia="方正仿宋_GBK" w:cs="Times New Roman"/>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147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09"/>
        <w:gridCol w:w="3571"/>
        <w:gridCol w:w="4059"/>
        <w:gridCol w:w="2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val="none" w:color="auto"/>
              </w:rPr>
              <w:t>垫江县桂溪街道退役军人服务站</w:t>
            </w:r>
          </w:p>
        </w:tc>
        <w:tc>
          <w:tcPr>
            <w:tcW w:w="405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63.70</w:t>
            </w: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56.99</w:t>
            </w: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63.70</w:t>
            </w: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63.70</w:t>
            </w: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63.70</w:t>
            </w: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auto"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63.70</w:t>
            </w:r>
            <w:r>
              <w:rPr>
                <w:rFonts w:ascii="Times New Roman" w:hAnsi="Times New Roman"/>
                <w:color w:val="000000"/>
                <w:sz w:val="20"/>
                <w:u w:val="none"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p>
    <w:tbl>
      <w:tblPr>
        <w:tblStyle w:val="9"/>
        <w:tblW w:w="15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val="none" w:color="auto"/>
              </w:rPr>
              <w:t>垫江县桂溪街道退役军人服务站</w:t>
            </w:r>
          </w:p>
        </w:tc>
        <w:tc>
          <w:tcPr>
            <w:tcW w:w="137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37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63.70</w:t>
            </w:r>
            <w:r>
              <w:rPr>
                <w:rFonts w:ascii="Times New Roman" w:hAnsi="Times New Roman"/>
                <w:b/>
                <w:color w:val="000000"/>
                <w:sz w:val="20"/>
                <w:u w:val="none" w:color="auto"/>
              </w:rPr>
              <w:t xml:space="preserve"> </w:t>
            </w:r>
          </w:p>
        </w:tc>
        <w:tc>
          <w:tcPr>
            <w:tcW w:w="137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63.70</w:t>
            </w:r>
            <w:r>
              <w:rPr>
                <w:rFonts w:ascii="Times New Roman" w:hAnsi="Times New Roman"/>
                <w:b/>
                <w:color w:val="000000"/>
                <w:sz w:val="20"/>
                <w:u w:val="none" w:color="auto"/>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3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26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4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63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56.99</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56.99</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44.99</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44.99</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44.99</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44.99</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r>
      <w:r>
        <w:rPr>
          <w:rFonts w:cs="宋体"/>
          <w:sz w:val="20"/>
          <w:szCs w:val="20"/>
        </w:rPr>
        <w:t>2.本套报表金额单位转换时可能存在尾数误差。</w:t>
      </w:r>
      <w:r>
        <w:rPr>
          <w:rFonts w:cs="宋体"/>
          <w:sz w:val="20"/>
          <w:szCs w:val="20"/>
        </w:rPr>
        <w:br/>
      </w:r>
      <w:r>
        <w:rPr>
          <w:rFonts w:cs="宋体"/>
          <w:sz w:val="20"/>
          <w:szCs w:val="20"/>
        </w:rPr>
        <w:br/>
      </w:r>
    </w:p>
    <w:p>
      <w:pPr>
        <w:rPr>
          <w:rFonts w:hint="default" w:cs="宋体"/>
          <w:sz w:val="20"/>
          <w:szCs w:val="20"/>
        </w:rPr>
      </w:pPr>
      <w:r>
        <w:rPr>
          <w:rFonts w:cs="宋体"/>
          <w:sz w:val="20"/>
          <w:szCs w:val="20"/>
        </w:rPr>
        <w:br w:type="page"/>
      </w:r>
    </w:p>
    <w:tbl>
      <w:tblPr>
        <w:tblStyle w:val="9"/>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 xml:space="preserve">垫江县桂溪街道退役军人服务站 </w:t>
            </w: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63.70</w:t>
            </w:r>
            <w:r>
              <w:rPr>
                <w:rFonts w:ascii="Times New Roman" w:hAnsi="Times New Roman"/>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63.70</w:t>
            </w:r>
            <w:r>
              <w:rPr>
                <w:rFonts w:ascii="Times New Roman" w:hAnsi="Times New Roman"/>
                <w:b/>
                <w:color w:val="000000"/>
                <w:sz w:val="20"/>
                <w:u w:val="none" w:color="auto"/>
              </w:rPr>
              <w:t xml:space="preserve"> </w:t>
            </w:r>
          </w:p>
        </w:tc>
        <w:tc>
          <w:tcPr>
            <w:tcW w:w="16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56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94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56.99</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56.99</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44.99</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44.99</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44.99</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44.99</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9"/>
        <w:gridCol w:w="1526"/>
        <w:gridCol w:w="3191"/>
        <w:gridCol w:w="1700"/>
        <w:gridCol w:w="1700"/>
        <w:gridCol w:w="1700"/>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val="none" w:color="auto"/>
              </w:rPr>
              <w:t>垫江县桂溪街道退役军人服务站</w:t>
            </w: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63.70</w:t>
            </w: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56.99</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56.99</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63.70</w:t>
            </w: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63.70</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63.70</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63.70</w:t>
            </w: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63.70</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63.70</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Style w:val="9"/>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92"/>
        <w:gridCol w:w="3909"/>
        <w:gridCol w:w="3319"/>
        <w:gridCol w:w="3312"/>
        <w:gridCol w:w="3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垫江县桂溪街道退役军人服务站</w:t>
            </w:r>
          </w:p>
        </w:tc>
        <w:tc>
          <w:tcPr>
            <w:tcW w:w="331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63.70</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63.70</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56.99</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56.99</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4.01</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4.01</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44.99</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44.99</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44.99</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44.99</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p>
    <w:p>
      <w:pPr>
        <w:ind w:firstLine="630" w:firstLineChars="300"/>
        <w:rPr>
          <w:rFonts w:hint="default" w:cs="宋体"/>
          <w:sz w:val="21"/>
          <w:szCs w:val="21"/>
        </w:rPr>
      </w:pPr>
      <w:r>
        <w:rPr>
          <w:rFonts w:cs="宋体"/>
          <w:sz w:val="21"/>
          <w:szCs w:val="21"/>
        </w:rPr>
        <w:br w:type="page"/>
      </w:r>
    </w:p>
    <w:tbl>
      <w:tblPr>
        <w:tblStyle w:val="9"/>
        <w:tblW w:w="15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val="none" w:color="auto"/>
              </w:rPr>
              <w:t>垫江县桂溪街道退役军人服务站</w:t>
            </w: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62.83</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0.88</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13.20</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29.14</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7.99</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0.52</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62.83</w:t>
            </w:r>
            <w:r>
              <w:rPr>
                <w:rFonts w:ascii="Times New Roman" w:hAnsi="Times New Roman"/>
                <w:color w:val="000000"/>
                <w:sz w:val="18"/>
                <w:u w:val="none" w:color="auto"/>
              </w:rPr>
              <w:t xml:space="preserve"> </w:t>
            </w:r>
          </w:p>
        </w:tc>
        <w:tc>
          <w:tcPr>
            <w:tcW w:w="8750" w:type="dxa"/>
            <w:gridSpan w:val="5"/>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0.88</w:t>
            </w:r>
            <w:r>
              <w:rPr>
                <w:rFonts w:ascii="Times New Roman" w:hAnsi="Times New Roman"/>
                <w:color w:val="000000"/>
                <w:sz w:val="18"/>
                <w:u w:val="none"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Style w:val="9"/>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垫江县桂溪街道退役军人服务站</w:t>
            </w: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pPr>
        <w:rPr>
          <w:rFonts w:hint="default" w:cs="宋体"/>
          <w:sz w:val="21"/>
          <w:szCs w:val="21"/>
        </w:rPr>
      </w:pPr>
      <w:r>
        <w:rPr>
          <w:rFonts w:cs="宋体"/>
          <w:sz w:val="21"/>
          <w:szCs w:val="21"/>
        </w:rPr>
        <w:br w:type="page"/>
      </w:r>
    </w:p>
    <w:tbl>
      <w:tblPr>
        <w:tblStyle w:val="9"/>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8"/>
        <w:gridCol w:w="2928"/>
        <w:gridCol w:w="3276"/>
        <w:gridCol w:w="200"/>
        <w:gridCol w:w="3475"/>
        <w:gridCol w:w="77"/>
        <w:gridCol w:w="3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垫江县桂溪街道退役军人服务站</w:t>
            </w:r>
          </w:p>
        </w:tc>
        <w:tc>
          <w:tcPr>
            <w:tcW w:w="3752"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pPr>
        <w:rPr>
          <w:rFonts w:hint="default" w:cs="宋体"/>
          <w:sz w:val="21"/>
          <w:szCs w:val="21"/>
        </w:rPr>
      </w:pPr>
      <w:r>
        <w:rPr>
          <w:rFonts w:hint="default" w:cs="宋体"/>
          <w:sz w:val="21"/>
          <w:szCs w:val="21"/>
        </w:rPr>
        <w:br w:type="page"/>
      </w:r>
    </w:p>
    <w:tbl>
      <w:tblPr>
        <w:tblStyle w:val="9"/>
        <w:tblW w:w="14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
      <w:tblGrid>
        <w:gridCol w:w="3190"/>
        <w:gridCol w:w="2425"/>
        <w:gridCol w:w="2384"/>
        <w:gridCol w:w="3687"/>
        <w:gridCol w:w="2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343" w:hRule="atLeast"/>
        </w:trPr>
        <w:tc>
          <w:tcPr>
            <w:tcW w:w="14182" w:type="dxa"/>
            <w:gridSpan w:val="5"/>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44" w:hRule="atLeast"/>
        </w:trPr>
        <w:tc>
          <w:tcPr>
            <w:tcW w:w="3190" w:type="dxa"/>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val="none" w:color="auto"/>
              </w:rPr>
              <w:t>垫江县桂溪街道退役军人服务站</w:t>
            </w:r>
          </w:p>
        </w:tc>
        <w:tc>
          <w:tcPr>
            <w:tcW w:w="2384"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jc w:val="right"/>
              <w:rPr>
                <w:rFonts w:hint="default"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0.01</w:t>
            </w: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jc w:val="right"/>
              <w:rPr>
                <w:rFonts w:hint="default"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wordWrap/>
              <w:adjustRightInd/>
              <w:snapToGrid/>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r>
      <w:r>
        <w:rPr>
          <w:rFonts w:cs="宋体"/>
          <w:sz w:val="18"/>
          <w:szCs w:val="18"/>
        </w:rPr>
        <w:t xml:space="preserve">      2.本套报表金额单位转换时可能存在尾数误差。</w:t>
      </w:r>
      <w:r>
        <w:rPr>
          <w:rFonts w:cs="宋体"/>
          <w:sz w:val="18"/>
          <w:szCs w:val="18"/>
        </w:rPr>
        <w:br/>
      </w:r>
      <w:r>
        <w:rPr>
          <w:rFonts w:cs="宋体"/>
          <w:sz w:val="18"/>
          <w:szCs w:val="18"/>
        </w:rPr>
        <w:br/>
      </w:r>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altName w:val="Arial Unicode MS"/>
    <w:panose1 w:val="02000000000000000000"/>
    <w:charset w:val="86"/>
    <w:family w:val="auto"/>
    <w:pitch w:val="default"/>
    <w:sig w:usb0="A00002BF" w:usb1="38CF7CFA" w:usb2="00082016" w:usb3="00000000" w:csb0="00040001" w:csb1="00000000"/>
  </w:font>
  <w:font w:name="等线">
    <w:altName w:val="宋体"/>
    <w:panose1 w:val="02010600030101010101"/>
    <w:charset w:val="86"/>
    <w:family w:val="auto"/>
    <w:pitch w:val="default"/>
    <w:sig w:usb0="A00002BF" w:usb1="38CF7CFA" w:usb2="00000016" w:usb3="00000000" w:csb0="0004000F" w:csb1="00000000"/>
  </w:font>
  <w:font w:name="方正黑体_GBK">
    <w:altName w:val="Arial Unicode MS"/>
    <w:panose1 w:val="02010600010101010101"/>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800002BF" w:usb1="38CF7CFA" w:usb2="00000016" w:usb3="00000000" w:csb0="00040000" w:csb1="00000000"/>
  </w:font>
  <w:font w:name="方正仿宋_GBK">
    <w:altName w:val="Arial Unicode MS"/>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default"/>
      </w:rPr>
    </w:pPr>
    <w:r>
      <w:rPr>
        <w:rFonts w:hint="default"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both"/>
      <w:rPr>
        <w:rFonts w:hint="default"/>
      </w:rPr>
    </w:pPr>
    <w:r>
      <w:rPr>
        <w:rFonts w:hint="default"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0FC2B75"/>
    <w:rsid w:val="01474EBF"/>
    <w:rsid w:val="01F3521E"/>
    <w:rsid w:val="03B87EA0"/>
    <w:rsid w:val="03E3214F"/>
    <w:rsid w:val="044C50BA"/>
    <w:rsid w:val="05BC6D49"/>
    <w:rsid w:val="06194FF1"/>
    <w:rsid w:val="06A2550B"/>
    <w:rsid w:val="06F80EE2"/>
    <w:rsid w:val="07001CCA"/>
    <w:rsid w:val="075678DB"/>
    <w:rsid w:val="079D7CC7"/>
    <w:rsid w:val="08051BCA"/>
    <w:rsid w:val="085C4A50"/>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A62398"/>
    <w:rsid w:val="18B43F7C"/>
    <w:rsid w:val="194A1770"/>
    <w:rsid w:val="19B906A4"/>
    <w:rsid w:val="1B6F15B6"/>
    <w:rsid w:val="1BAA2EDC"/>
    <w:rsid w:val="1C774E1E"/>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596C08"/>
    <w:rsid w:val="22403BD3"/>
    <w:rsid w:val="24B92327"/>
    <w:rsid w:val="24C14514"/>
    <w:rsid w:val="2533755C"/>
    <w:rsid w:val="25791755"/>
    <w:rsid w:val="26396DF4"/>
    <w:rsid w:val="27167136"/>
    <w:rsid w:val="271B442C"/>
    <w:rsid w:val="27B23302"/>
    <w:rsid w:val="281C0F0A"/>
    <w:rsid w:val="29310A5F"/>
    <w:rsid w:val="29C37A35"/>
    <w:rsid w:val="2A076083"/>
    <w:rsid w:val="2A73162E"/>
    <w:rsid w:val="2B167953"/>
    <w:rsid w:val="2B200583"/>
    <w:rsid w:val="2B8209DE"/>
    <w:rsid w:val="2C636760"/>
    <w:rsid w:val="2C6762A3"/>
    <w:rsid w:val="2CD2695A"/>
    <w:rsid w:val="2FCA4B37"/>
    <w:rsid w:val="2FE029D7"/>
    <w:rsid w:val="2FF06E00"/>
    <w:rsid w:val="30586FEC"/>
    <w:rsid w:val="311A4635"/>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B3415A"/>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235F37"/>
    <w:rsid w:val="41314E40"/>
    <w:rsid w:val="41E0734B"/>
    <w:rsid w:val="422D6E2D"/>
    <w:rsid w:val="426C1EA8"/>
    <w:rsid w:val="42736402"/>
    <w:rsid w:val="42C33E64"/>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635A46"/>
    <w:rsid w:val="50F06B6E"/>
    <w:rsid w:val="51D21804"/>
    <w:rsid w:val="52234D33"/>
    <w:rsid w:val="522F6E0C"/>
    <w:rsid w:val="52463BA1"/>
    <w:rsid w:val="52F163D4"/>
    <w:rsid w:val="531A2DB4"/>
    <w:rsid w:val="53C0244D"/>
    <w:rsid w:val="53DD4D4E"/>
    <w:rsid w:val="53E578CE"/>
    <w:rsid w:val="541330F0"/>
    <w:rsid w:val="54272666"/>
    <w:rsid w:val="543B029D"/>
    <w:rsid w:val="54657048"/>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BB4095C"/>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B246EA"/>
    <w:rsid w:val="68EB1B71"/>
    <w:rsid w:val="6A6C7940"/>
    <w:rsid w:val="6AAD2300"/>
    <w:rsid w:val="6B474EF5"/>
    <w:rsid w:val="6C0A5AC5"/>
    <w:rsid w:val="6C560CAE"/>
    <w:rsid w:val="6C576495"/>
    <w:rsid w:val="6D903FF5"/>
    <w:rsid w:val="6DA955B8"/>
    <w:rsid w:val="6DE346AB"/>
    <w:rsid w:val="6DE5391A"/>
    <w:rsid w:val="6EB34C50"/>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8033</Words>
  <Characters>9815</Characters>
  <Lines>190</Lines>
  <Paragraphs>53</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2025-09-17T01:57:33Z</dcterms:modified>
  <dc:title>垫江县桂溪街道退役军人服务站2024年度决算公开说明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