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jc w:val="center"/>
        <w:rPr>
          <w:rFonts w:hint="default" w:ascii="方正小标宋_GBK" w:hAnsi="等线" w:eastAsia="方正小标宋_GBK"/>
          <w:kern w:val="2"/>
          <w:sz w:val="44"/>
          <w:szCs w:val="44"/>
        </w:rPr>
      </w:pPr>
      <w:bookmarkStart w:id="0" w:name="_GoBack"/>
      <w:bookmarkEnd w:id="0"/>
      <w:r>
        <w:rPr>
          <w:rFonts w:ascii="方正小标宋_GBK" w:hAnsi="等线" w:eastAsia="方正小标宋_GBK"/>
          <w:kern w:val="2"/>
          <w:sz w:val="44"/>
          <w:szCs w:val="44"/>
        </w:rPr>
        <w:t>垫江县桂溪街道综合行政执法大队</w:t>
      </w:r>
    </w:p>
    <w:p>
      <w:pPr>
        <w:widowControl w:val="0"/>
        <w:jc w:val="center"/>
        <w:rPr>
          <w:rFonts w:hint="default" w:ascii="方正小标宋_GBK" w:hAnsi="等线" w:eastAsia="方正小标宋_GBK"/>
          <w:kern w:val="2"/>
          <w:sz w:val="44"/>
          <w:szCs w:val="44"/>
        </w:rPr>
      </w:pPr>
      <w:r>
        <w:rPr>
          <w:rFonts w:ascii="方正小标宋_GBK" w:hAnsi="等线" w:eastAsia="方正小标宋_GBK"/>
          <w:kern w:val="2"/>
          <w:sz w:val="44"/>
          <w:szCs w:val="44"/>
        </w:rPr>
        <w:t>2024年度决算公开说明</w:t>
      </w:r>
    </w:p>
    <w:p>
      <w:pPr>
        <w:ind w:firstLine="640" w:firstLineChars="200"/>
        <w:rPr>
          <w:rFonts w:ascii="Times New Roman" w:hAnsi="Times New Roman" w:eastAsia="方正仿宋_GBK"/>
          <w:sz w:val="32"/>
          <w:szCs w:val="32"/>
        </w:rPr>
      </w:pPr>
    </w:p>
    <w:p>
      <w:pPr>
        <w:widowControl w:val="0"/>
        <w:ind w:firstLine="640" w:firstLineChars="200"/>
        <w:jc w:val="both"/>
        <w:rPr>
          <w:rFonts w:ascii="方正黑体_GBK" w:hAnsi="Times New Roman" w:eastAsia="方正黑体_GBK"/>
          <w:kern w:val="2"/>
          <w:sz w:val="32"/>
          <w:szCs w:val="32"/>
        </w:rPr>
      </w:pPr>
      <w:r>
        <w:rPr>
          <w:rFonts w:ascii="方正黑体_GBK" w:hAnsi="Times New Roman" w:eastAsia="方正黑体_GBK"/>
          <w:kern w:val="2"/>
          <w:sz w:val="32"/>
          <w:szCs w:val="32"/>
        </w:rPr>
        <w:t>一、</w:t>
      </w:r>
      <w:r>
        <w:rPr>
          <w:rFonts w:hint="eastAsia" w:ascii="方正黑体_GBK" w:hAnsi="Times New Roman" w:eastAsia="方正黑体_GBK"/>
          <w:kern w:val="2"/>
          <w:sz w:val="32"/>
          <w:szCs w:val="32"/>
          <w:lang w:eastAsia="zh-CN"/>
        </w:rPr>
        <w:t>单位</w:t>
      </w:r>
      <w:r>
        <w:rPr>
          <w:rFonts w:ascii="方正黑体_GBK" w:hAnsi="Times New Roman" w:eastAsia="方正黑体_GBK"/>
          <w:kern w:val="2"/>
          <w:sz w:val="32"/>
          <w:szCs w:val="32"/>
        </w:rPr>
        <w:t>基本情况</w:t>
      </w:r>
    </w:p>
    <w:p>
      <w:pPr>
        <w:widowControl w:val="0"/>
        <w:ind w:firstLine="640" w:firstLineChars="200"/>
        <w:jc w:val="both"/>
        <w:rPr>
          <w:rFonts w:ascii="方正楷体_GBK" w:hAnsi="Times New Roman" w:eastAsia="方正楷体_GBK"/>
          <w:kern w:val="2"/>
          <w:sz w:val="32"/>
          <w:szCs w:val="32"/>
        </w:rPr>
      </w:pPr>
      <w:r>
        <w:rPr>
          <w:rFonts w:ascii="方正楷体_GBK" w:hAnsi="Times New Roman" w:eastAsia="方正楷体_GBK"/>
          <w:kern w:val="2"/>
          <w:sz w:val="32"/>
          <w:szCs w:val="32"/>
        </w:rPr>
        <w:t>（一）职能职责</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综合行政执法大队。弘扬法治精神，建设法治政府、法治社会。负责配合综合行政执法办公室做好有关农林水利、规划建设、卫生健康、市容环卫、环境保护、文化旅游、民政管理、消防等方面的执法工作。</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（二）机构设置</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本单位内设综合行政执法大队，当年无变动。</w:t>
      </w:r>
      <w:r>
        <w:rPr>
          <w:rFonts w:hint="default" w:ascii="Times New Roman" w:hAnsi="Times New Roman" w:eastAsia="方正仿宋_GBK"/>
          <w:kern w:val="2"/>
          <w:sz w:val="32"/>
          <w:szCs w:val="32"/>
        </w:rPr>
        <w:t>2024年机构人员为9人，比上年无变动。</w:t>
      </w:r>
    </w:p>
    <w:p>
      <w:pPr>
        <w:widowControl w:val="0"/>
        <w:ind w:firstLine="643" w:firstLineChars="200"/>
        <w:jc w:val="both"/>
        <w:rPr>
          <w:rFonts w:hint="default" w:ascii="方正黑体_GBK" w:hAnsi="Times New Roman" w:eastAsia="方正黑体_GBK"/>
          <w:kern w:val="2"/>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（一）收入支出决算总体情况说明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1.总体情况。</w:t>
      </w:r>
      <w:r>
        <w:rPr>
          <w:rFonts w:hint="default" w:ascii="Times New Roman" w:hAnsi="Times New Roman" w:eastAsia="方正仿宋_GBK"/>
          <w:kern w:val="2"/>
          <w:sz w:val="32"/>
          <w:szCs w:val="32"/>
        </w:rPr>
        <w:t>2024年度收入总计223.00万元，支出总计223.00万元。收、支与2023年度相比，增加40.32万元，增长22.07%，主要原因是7月机构调整增加2人，12月机构调整减少2人。</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2.收入情况。</w:t>
      </w:r>
      <w:r>
        <w:rPr>
          <w:rFonts w:hint="default" w:ascii="Times New Roman" w:hAnsi="Times New Roman" w:eastAsia="方正仿宋_GBK"/>
          <w:kern w:val="2"/>
          <w:sz w:val="32"/>
          <w:szCs w:val="32"/>
        </w:rPr>
        <w:t>2024年度收入合计223.00万元，与2023年度相比，增加40.32万元，增长22.07%，主要原因是7月机构调整增加2人，12月机构调整减少2人。其中：财政拨款收入223.00万元，占100.00%；事业收入0.00万元，占0.00%；经营收入0.00万元，占0.00%；其他收入0.00万元，占0.00%。此外，使用非财政拨款结余和专用结余0.00万元，年初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3.支出情况。</w:t>
      </w:r>
      <w:r>
        <w:rPr>
          <w:rFonts w:hint="default" w:ascii="Times New Roman" w:hAnsi="Times New Roman" w:eastAsia="方正仿宋_GBK"/>
          <w:kern w:val="2"/>
          <w:sz w:val="32"/>
          <w:szCs w:val="32"/>
        </w:rPr>
        <w:t>2024年度支出合计223.00万元，与2023年度相比，增加40.32万元，增长22.07%，主要原因是7月机构调整增加2人，12月机构调整减少2人。其中：基本支出223.00万元，占100.00%；项目支出0.00万元，占0.00%；经营支出0.00万元，占0.00%。此外，结余分配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4.结转结余情况。</w:t>
      </w:r>
      <w:r>
        <w:rPr>
          <w:rFonts w:hint="default" w:ascii="Times New Roman" w:hAnsi="Times New Roman" w:eastAsia="方正仿宋_GBK"/>
          <w:kern w:val="2"/>
          <w:sz w:val="32"/>
          <w:szCs w:val="32"/>
        </w:rPr>
        <w:t>2024年度年末结转和结余0.00万元，与2023年度相比，无增减，主要原因是收支平衡</w:t>
      </w: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无结转结余</w:t>
      </w:r>
      <w:r>
        <w:rPr>
          <w:rFonts w:hint="default" w:ascii="Times New Roman" w:hAnsi="Times New Roman" w:eastAsia="方正仿宋_GBK"/>
          <w:kern w:val="2"/>
          <w:sz w:val="32"/>
          <w:szCs w:val="32"/>
        </w:rPr>
        <w:t>。</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（二）财政拨款收入支出决算总体情况说明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2024年度财政拨款收、支总计223.00万元。与202</w:t>
      </w:r>
      <w:r>
        <w:rPr>
          <w:rFonts w:hint="eastAsia" w:ascii="Times New Roman" w:hAnsi="Times New Roman" w:eastAsia="方正仿宋_GBK"/>
          <w:kern w:val="2"/>
          <w:sz w:val="32"/>
          <w:szCs w:val="32"/>
          <w:lang w:val="en-US" w:eastAsia="zh-CN"/>
        </w:rPr>
        <w:t>3</w:t>
      </w:r>
      <w:r>
        <w:rPr>
          <w:rFonts w:hint="default" w:ascii="Times New Roman" w:hAnsi="Times New Roman" w:eastAsia="方正仿宋_GBK"/>
          <w:kern w:val="2"/>
          <w:sz w:val="32"/>
          <w:szCs w:val="32"/>
        </w:rPr>
        <w:t>年相比，财政拨款收、支总计各增加40.32万元，增长22.07%。主要原因是7月机构调整增加2人，12月机构调整减少2人。</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（三）一般公共预算财政拨款收入支出决算情况说明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1.收入情况。</w:t>
      </w:r>
      <w:r>
        <w:rPr>
          <w:rFonts w:hint="default" w:ascii="Times New Roman" w:hAnsi="Times New Roman" w:eastAsia="方正仿宋_GBK"/>
          <w:kern w:val="2"/>
          <w:sz w:val="32"/>
          <w:szCs w:val="32"/>
        </w:rPr>
        <w:t>2024年度一般公共预算财政拨款收入223.00万元，与2023年度相比，增加40.32万元，增长22.07%。主要原因是7月机构调整增加2人，12月机构调整减少2人。较年初预算数增加37.35万元，增长20.12%。主要原因是7月机构调整增加2人，12月机构调整减少2人。此外，年初财政拨款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2.支出情况。</w:t>
      </w:r>
      <w:r>
        <w:rPr>
          <w:rFonts w:hint="default" w:ascii="Times New Roman" w:hAnsi="Times New Roman" w:eastAsia="方正仿宋_GBK"/>
          <w:kern w:val="2"/>
          <w:sz w:val="32"/>
          <w:szCs w:val="32"/>
        </w:rPr>
        <w:t>2024年度一般公共预算财政拨款支出223.00万元，与2023年度相比，增加40.32万元，增长22.07%。主要原因是7月机构调整增加2人，12月机构调整减少2人。较年初预算数增加37.35万元，增长20.12%。主要原因是7月机构调整增加2人，12月机构调整减少2人。</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3.结转结余情况。</w:t>
      </w:r>
      <w:r>
        <w:rPr>
          <w:rFonts w:hint="default" w:ascii="Times New Roman" w:hAnsi="Times New Roman" w:eastAsia="方正仿宋_GBK"/>
          <w:kern w:val="2"/>
          <w:sz w:val="32"/>
          <w:szCs w:val="32"/>
        </w:rPr>
        <w:t>2024年度年末一般公共预算财政拨款结转和结余0.00万元，与2023年度相比，无增减，主要原因是收支平衡</w:t>
      </w: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无结转结余</w:t>
      </w:r>
      <w:r>
        <w:rPr>
          <w:rFonts w:hint="default" w:ascii="Times New Roman" w:hAnsi="Times New Roman" w:eastAsia="方正仿宋_GBK"/>
          <w:kern w:val="2"/>
          <w:sz w:val="32"/>
          <w:szCs w:val="32"/>
        </w:rPr>
        <w:t>。</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4.比较情况。</w:t>
      </w:r>
      <w:r>
        <w:rPr>
          <w:rFonts w:hint="default" w:ascii="Times New Roman" w:hAnsi="Times New Roman" w:eastAsia="方正仿宋_GBK"/>
          <w:kern w:val="2"/>
          <w:sz w:val="32"/>
          <w:szCs w:val="32"/>
        </w:rPr>
        <w:t>本单位2024年度一般公共预算财政拨款支出主要用于以下几个方面：</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1）社会保障与就业支出45.05万元，占20.20%，较年初预算数增加27.40万元，增长155.24%，主要原因是增加了养老保险和职业年金支出。</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2）卫生健康支出12.18万元，占5.46%，较年初预算数增加4.83万元，增长65.71%，主要原因是增加了医疗费支出。</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3）城乡社区支出154.53万元，占69.29%，较年初预算数增加2.70万元，增长1.78%，主要原因是增加了工资福利支出。</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4）住房保障支出11.24万元，占5.04%，较年初预算数增加2.42万元，增长27.44%，主要原因是调整了缴存基数。</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（四）一般公共预算财政拨款基本支出决算情况说明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一般公共财政拨款基本支出223.00万元。其中：人员经费215.97万元，与2023年度相比，增加37.07万元，增长20.72%，主要原因是7月机构调整增加2人，12月机构调整减少2人。人员经费用途主要包括基本工资、津贴补贴、绩效工资、社会保障缴费等。公用经费7.03万元，与2023年度相比，增加3.25万元，增长85.98%，主要原因是7月机构调整增加2人，12月机构调整减少2人。公用经费用途主要包括差旅费等。</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（五）政府性基金预算收支决算情况说明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本年度无政府性基金预算财政拨款支出。本单位2024年度无政府性基金预算财政拨款收支。</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（六）国有资本经营预算财政拨款支出决算情况说明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widowControl w:val="0"/>
        <w:ind w:firstLine="643" w:firstLineChars="200"/>
        <w:jc w:val="both"/>
        <w:rPr>
          <w:rFonts w:hint="default" w:ascii="方正黑体_GBK" w:hAnsi="Times New Roman" w:eastAsia="方正黑体_GBK"/>
          <w:kern w:val="2"/>
          <w:sz w:val="32"/>
          <w:szCs w:val="32"/>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（一）“三公”经费支出总体情况说明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（二）“三公”经费分项支出情况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本单位因公出国（境）费用0.00万元，主要是用于因公出国（境）费用支出。费用支出较年初预算数无增减，主要原因是本单位近年均未安排人员因公出国（境）。较上年支出数无增减，主要原因是本单位近年均未安排人员因公出国（境）。</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公务车购置费0.00万元，主要用于公务车购置。费用支出较年初预算数无增减，主要原因是本单位近年均未购置公务车。较上年支出数无增减，主要原因是本单位近年均未购置公务车。</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公务车运行维护费0.00万元，主要用于工作所需车辆的燃料费、维修费、过桥过路费、保险费、洗车费等。费用支出较年初预算数无增减，主要原因是本单位无公务车辆。较上年支出数无增减，主要原因是本单位无公务车辆。</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（三）“三公”经费实物量情况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widowControl w:val="0"/>
        <w:ind w:firstLine="640" w:firstLineChars="200"/>
        <w:jc w:val="both"/>
        <w:rPr>
          <w:rFonts w:ascii="方正黑体_GBK" w:hAnsi="Times New Roman" w:eastAsia="方正黑体_GBK"/>
          <w:kern w:val="2"/>
          <w:sz w:val="32"/>
          <w:szCs w:val="32"/>
        </w:rPr>
      </w:pPr>
      <w:r>
        <w:rPr>
          <w:rFonts w:ascii="方正黑体_GBK" w:hAnsi="Times New Roman" w:eastAsia="方正黑体_GBK"/>
          <w:kern w:val="2"/>
          <w:sz w:val="32"/>
          <w:szCs w:val="32"/>
        </w:rPr>
        <w:t>四、其他需要说明的事项</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（一）财政拨款会议费和培训费情况说明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w:t>
      </w:r>
      <w:r>
        <w:rPr>
          <w:rFonts w:ascii="Times New Roman" w:hAnsi="Times New Roman" w:eastAsia="方正仿宋_GBK"/>
          <w:kern w:val="2"/>
          <w:sz w:val="32"/>
          <w:szCs w:val="32"/>
        </w:rPr>
        <w:t>本年度培训费支出</w:t>
      </w:r>
      <w:r>
        <w:rPr>
          <w:rFonts w:hint="default" w:ascii="Times New Roman" w:hAnsi="Times New Roman" w:eastAsia="方正仿宋_GBK"/>
          <w:kern w:val="2"/>
          <w:sz w:val="32"/>
          <w:szCs w:val="32"/>
        </w:rPr>
        <w:t>0.50万元，与2023年度相比，增加0.50万元，增长100.00%，主要原因是增加了事业人员继续教育培训费。</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（二）机关运行经费情况说明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（三）国有资产占用情况说明</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截至</w:t>
      </w:r>
      <w:r>
        <w:rPr>
          <w:rFonts w:hint="default" w:ascii="Times New Roman" w:hAnsi="Times New Roman" w:eastAsia="方正仿宋_GBK"/>
          <w:kern w:val="2"/>
          <w:sz w:val="32"/>
          <w:szCs w:val="32"/>
        </w:rPr>
        <w:t>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（四）政府采购支出情况说明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widowControl w:val="0"/>
        <w:ind w:firstLine="643" w:firstLineChars="200"/>
        <w:jc w:val="both"/>
        <w:rPr>
          <w:rFonts w:hint="default" w:ascii="方正黑体_GBK" w:hAnsi="Times New Roman" w:eastAsia="方正黑体_GBK"/>
          <w:kern w:val="2"/>
          <w:sz w:val="32"/>
          <w:szCs w:val="32"/>
        </w:rPr>
      </w:pPr>
      <w:r>
        <w:rPr>
          <w:rStyle w:val="10"/>
          <w:rFonts w:hint="eastAsia" w:ascii="黑体" w:hAnsi="黑体" w:eastAsia="黑体" w:cs="黑体"/>
          <w:sz w:val="32"/>
          <w:szCs w:val="32"/>
          <w:shd w:val="clear" w:color="auto" w:fill="FFFFFF"/>
          <w:lang w:val="en-US" w:eastAsia="zh-CN" w:bidi="ar-SA"/>
        </w:rPr>
        <w:t>五、2024年度预算绩效管理情况说明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（一）单位自评情况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本单位未组织开展绩效自评。</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（二）单位绩效评价情况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本单位未组织开展绩效评价。</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（三）财政绩效评价情况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县财政局未委托第三方对本单位开展绩效评价。</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六、专业名词解释</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（一）财政拨款收入：</w:t>
      </w:r>
      <w:r>
        <w:rPr>
          <w:rFonts w:ascii="Times New Roman" w:hAnsi="Times New Roman" w:eastAsia="方正仿宋_GBK"/>
          <w:kern w:val="2"/>
          <w:sz w:val="32"/>
          <w:szCs w:val="32"/>
        </w:rPr>
        <w:t>指本年度从本级财政部门取得的财政拨款，包括一般公共预算财政拨款和政府性基金预算财政拨款。</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（二）事业收入：</w:t>
      </w:r>
      <w:r>
        <w:rPr>
          <w:rFonts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（三）经营收入：</w:t>
      </w:r>
      <w:r>
        <w:rPr>
          <w:rFonts w:ascii="Times New Roman" w:hAnsi="Times New Roman" w:eastAsia="方正仿宋_GBK"/>
          <w:kern w:val="2"/>
          <w:sz w:val="32"/>
          <w:szCs w:val="32"/>
        </w:rPr>
        <w:t>指事业单位在专业业务活动及其辅助活动之外开展非独立核算经营活动取得的现金流入。</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（四）其他收入：</w:t>
      </w:r>
      <w:r>
        <w:rPr>
          <w:rFonts w:ascii="Times New Roman" w:hAnsi="Times New Roman" w:eastAsia="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（五）使用非财政拨款结余：</w:t>
      </w:r>
      <w:r>
        <w:rPr>
          <w:rFonts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（六）年初结转和结余：</w:t>
      </w:r>
      <w:r>
        <w:rPr>
          <w:rFonts w:ascii="Times New Roman" w:hAnsi="Times New Roman" w:eastAsia="方正仿宋_GBK"/>
          <w:kern w:val="2"/>
          <w:sz w:val="32"/>
          <w:szCs w:val="32"/>
        </w:rPr>
        <w:t>指单位上年结转本年使用的基本支出结转、项目支出结转和结余、经营结余。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（七）结余分配：</w:t>
      </w:r>
      <w:r>
        <w:rPr>
          <w:rFonts w:ascii="Times New Roman" w:hAnsi="Times New Roman" w:eastAsia="方正仿宋_GBK"/>
          <w:kern w:val="2"/>
          <w:sz w:val="32"/>
          <w:szCs w:val="32"/>
        </w:rPr>
        <w:t>指单位按照国家有关规定，缴纳所得税、提取专用基金、转入非财政拨款结余等当年结余的分配情况。</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（八）年末结转和结余：</w:t>
      </w:r>
      <w:r>
        <w:rPr>
          <w:rFonts w:ascii="Times New Roman" w:hAnsi="Times New Roman" w:eastAsia="方正仿宋_GBK"/>
          <w:kern w:val="2"/>
          <w:sz w:val="32"/>
          <w:szCs w:val="32"/>
        </w:rPr>
        <w:t>指单位结转下年的基本支出结转、项目支出结转和结余、经营结余。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（九）基本支出：</w:t>
      </w:r>
      <w:r>
        <w:rPr>
          <w:rFonts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（十）项目支出：</w:t>
      </w:r>
      <w:r>
        <w:rPr>
          <w:rFonts w:ascii="Times New Roman" w:hAnsi="Times New Roman" w:eastAsia="方正仿宋_GBK"/>
          <w:kern w:val="2"/>
          <w:sz w:val="32"/>
          <w:szCs w:val="32"/>
        </w:rPr>
        <w:t>指在基本支出之外为完成特定行政任务和事业发展目标所发生的支出。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（十一）经营支出：</w:t>
      </w:r>
      <w:r>
        <w:rPr>
          <w:rFonts w:ascii="Times New Roman" w:hAnsi="Times New Roman" w:eastAsia="方正仿宋_GBK"/>
          <w:kern w:val="2"/>
          <w:sz w:val="32"/>
          <w:szCs w:val="32"/>
        </w:rPr>
        <w:t>指事业单位在专业业务活动及其辅助活动之外开展非独立核算经营活动发生的支出。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（十二）“三公”经费：</w:t>
      </w:r>
      <w:r>
        <w:rPr>
          <w:rFonts w:ascii="Times New Roman" w:hAnsi="Times New Roman" w:eastAsia="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（十三）机关运行经费：</w:t>
      </w:r>
      <w:r>
        <w:rPr>
          <w:rFonts w:ascii="Times New Roman" w:hAnsi="Times New Roman" w:eastAsia="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（十四）工资福利支出（支出经济分类科目类级）：</w:t>
      </w:r>
      <w:r>
        <w:rPr>
          <w:rFonts w:ascii="Times New Roman" w:hAnsi="Times New Roman" w:eastAsia="方正仿宋_GBK"/>
          <w:kern w:val="2"/>
          <w:sz w:val="32"/>
          <w:szCs w:val="32"/>
        </w:rPr>
        <w:t>反映单位开支的在职职工和编制外长期聘用人员的各类劳动报酬，以及为上述人员缴纳的各项社会保险费等。</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（十五）商品和服务支出（支出经济分类科目类级）：</w:t>
      </w:r>
      <w:r>
        <w:rPr>
          <w:rFonts w:ascii="Times New Roman" w:hAnsi="Times New Roman" w:eastAsia="方正仿宋_GBK"/>
          <w:kern w:val="2"/>
          <w:sz w:val="32"/>
          <w:szCs w:val="32"/>
        </w:rPr>
        <w:t>反映单位购买商品和服务的支出（不包括用于购置固定资产的支出、战略性和应急储备支出）。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（十六）对个人和家庭的补助（支出经济分类科目类级）：</w:t>
      </w:r>
      <w:r>
        <w:rPr>
          <w:rFonts w:ascii="Times New Roman" w:hAnsi="Times New Roman" w:eastAsia="方正仿宋_GBK"/>
          <w:kern w:val="2"/>
          <w:sz w:val="32"/>
          <w:szCs w:val="32"/>
        </w:rPr>
        <w:t>反映用于对个人和家庭的补助支出。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（十七）其他资本性支出（支出经济分类科目类级）：</w:t>
      </w:r>
      <w:r>
        <w:rPr>
          <w:rFonts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七、决算公开联系方式及信息反馈渠道</w:t>
      </w:r>
    </w:p>
    <w:p>
      <w:pPr>
        <w:widowControl w:val="0"/>
        <w:ind w:firstLine="640" w:firstLineChars="200"/>
        <w:jc w:val="both"/>
        <w:rPr>
          <w:rFonts w:ascii="Times New Roman" w:hAnsi="Times New Roman" w:eastAsia="方正仿宋_GBK"/>
          <w:kern w:val="2"/>
          <w:sz w:val="32"/>
          <w:szCs w:val="32"/>
        </w:rPr>
      </w:pPr>
      <w:r>
        <w:rPr>
          <w:rFonts w:ascii="Times New Roman" w:hAnsi="Times New Roman" w:eastAsia="方正仿宋_GBK"/>
          <w:kern w:val="2"/>
          <w:sz w:val="32"/>
          <w:szCs w:val="32"/>
        </w:rPr>
        <w:t>本单位决算公开信息反馈和联系方式：</w:t>
      </w:r>
      <w:r>
        <w:rPr>
          <w:rFonts w:hint="default" w:ascii="Times New Roman" w:hAnsi="Times New Roman" w:eastAsia="方正仿宋_GBK"/>
          <w:kern w:val="2"/>
          <w:sz w:val="32"/>
          <w:szCs w:val="32"/>
        </w:rPr>
        <w:t>023-74691235。</w:t>
      </w:r>
    </w:p>
    <w:p>
      <w:pPr>
        <w:widowControl w:val="0"/>
        <w:ind w:firstLine="640" w:firstLineChars="200"/>
        <w:jc w:val="both"/>
        <w:rPr>
          <w:rFonts w:ascii="Times New Roman" w:hAnsi="Times New Roman" w:eastAsia="方正仿宋_GBK"/>
          <w:kern w:val="2"/>
          <w:sz w:val="32"/>
          <w:szCs w:val="32"/>
        </w:rPr>
      </w:pPr>
    </w:p>
    <w:p>
      <w:pPr>
        <w:widowControl w:val="0"/>
        <w:ind w:firstLine="640" w:firstLineChars="200"/>
        <w:jc w:val="both"/>
        <w:rPr>
          <w:rFonts w:hint="default" w:ascii="方正仿宋_GBK" w:hAnsi="等线" w:eastAsia="方正仿宋_GBK"/>
          <w:kern w:val="2"/>
          <w:sz w:val="32"/>
          <w:szCs w:val="32"/>
        </w:rPr>
      </w:pPr>
    </w:p>
    <w:p>
      <w:pPr>
        <w:pStyle w:val="13"/>
        <w:autoSpaceDE w:val="0"/>
        <w:ind w:firstLine="0" w:firstLineChars="0"/>
        <w:rPr>
          <w:rStyle w:val="10"/>
          <w:rFonts w:ascii="方正仿宋_GBK" w:hAnsi="方正仿宋_GBK" w:eastAsia="方正仿宋_GBK" w:cs="方正仿宋_GBK"/>
          <w:sz w:val="32"/>
          <w:szCs w:val="32"/>
          <w:shd w:val="clear" w:color="auto" w:fill="FFFF00"/>
        </w:rPr>
        <w:sectPr>
          <w:footerReference r:id="rId4" w:type="default"/>
          <w:pgSz w:w="11915" w:h="16840"/>
          <w:pgMar w:top="1985" w:right="1446" w:bottom="1644" w:left="1446" w:header="851" w:footer="992" w:gutter="0"/>
          <w:pgNumType w:fmt="numberInDash"/>
          <w:cols w:space="720" w:num="1"/>
          <w:docGrid w:type="lines" w:linePitch="312" w:charSpace="0"/>
        </w:sectPr>
      </w:pPr>
    </w:p>
    <w:tbl>
      <w:tblPr>
        <w:tblStyle w:val="11"/>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垫江县桂溪街道综合行政执法大队</w:t>
            </w: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11.24</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223.00</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223.00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p>
    <w:tbl>
      <w:tblPr>
        <w:tblStyle w:val="11"/>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垫江县桂溪街道综合行政执法大队</w:t>
            </w: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223.00</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r>
      <w:r>
        <w:rPr>
          <w:rFonts w:cs="宋体"/>
          <w:sz w:val="20"/>
          <w:szCs w:val="20"/>
        </w:rPr>
        <w:t>2.本套报表金额单位转换时可能存在尾数误差。</w:t>
      </w:r>
      <w:r>
        <w:rPr>
          <w:rFonts w:cs="宋体"/>
          <w:sz w:val="20"/>
          <w:szCs w:val="20"/>
        </w:rPr>
        <w:br/>
      </w:r>
    </w:p>
    <w:p>
      <w:pPr>
        <w:rPr>
          <w:rFonts w:hint="default" w:cs="宋体"/>
          <w:sz w:val="20"/>
          <w:szCs w:val="20"/>
        </w:rPr>
      </w:pPr>
      <w:r>
        <w:rPr>
          <w:rFonts w:cs="宋体"/>
          <w:sz w:val="20"/>
          <w:szCs w:val="20"/>
        </w:rPr>
        <w:br w:type="page"/>
      </w:r>
    </w:p>
    <w:tbl>
      <w:tblPr>
        <w:tblStyle w:val="11"/>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垫江县桂溪街道综合行政执法大队 </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223.00</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垫江县桂溪街道综合行政执法大队</w:t>
            </w: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154.53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154.53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Style w:val="11"/>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垫江县桂溪街道综合行政执法大队</w:t>
            </w: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154.53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154.53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154.53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p>
      <w:pPr>
        <w:ind w:firstLine="630" w:firstLineChars="300"/>
        <w:rPr>
          <w:rFonts w:hint="default" w:cs="宋体"/>
          <w:sz w:val="21"/>
          <w:szCs w:val="21"/>
        </w:rPr>
      </w:pPr>
      <w:r>
        <w:rPr>
          <w:rFonts w:cs="宋体"/>
          <w:sz w:val="21"/>
          <w:szCs w:val="21"/>
        </w:rPr>
        <w:br w:type="page"/>
      </w:r>
    </w:p>
    <w:tbl>
      <w:tblPr>
        <w:tblStyle w:val="11"/>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垫江县桂溪街道综合行政执法大队</w:t>
            </w: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214.87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95.70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215.97</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1"/>
          <w:szCs w:val="21"/>
        </w:rPr>
        <w:br w:type="page"/>
      </w:r>
    </w:p>
    <w:tbl>
      <w:tblPr>
        <w:tblStyle w:val="11"/>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垫江县桂溪街道综合行政执法大队</w:t>
            </w: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pPr>
        <w:rPr>
          <w:rFonts w:hint="default" w:cs="宋体"/>
          <w:sz w:val="21"/>
          <w:szCs w:val="21"/>
        </w:rPr>
      </w:pPr>
      <w:r>
        <w:rPr>
          <w:rFonts w:cs="宋体"/>
          <w:sz w:val="21"/>
          <w:szCs w:val="21"/>
        </w:rPr>
        <w:br w:type="page"/>
      </w:r>
    </w:p>
    <w:tbl>
      <w:tblPr>
        <w:tblStyle w:val="11"/>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垫江县桂溪街道综合行政执法大队</w:t>
            </w: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pPr>
        <w:rPr>
          <w:rFonts w:hint="default" w:cs="宋体"/>
          <w:sz w:val="21"/>
          <w:szCs w:val="21"/>
        </w:rPr>
      </w:pPr>
      <w:r>
        <w:rPr>
          <w:rFonts w:hint="default" w:cs="宋体"/>
          <w:sz w:val="21"/>
          <w:szCs w:val="21"/>
        </w:rPr>
        <w:br w:type="page"/>
      </w:r>
    </w:p>
    <w:tbl>
      <w:tblPr>
        <w:tblStyle w:val="11"/>
        <w:tblW w:w="153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2384"/>
        <w:gridCol w:w="4774"/>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43" w:hRule="atLeast"/>
        </w:trPr>
        <w:tc>
          <w:tcPr>
            <w:tcW w:w="15324"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774" w:type="dxa"/>
            <w:tcMar>
              <w:top w:w="15" w:type="dxa"/>
              <w:left w:w="15" w:type="dxa"/>
              <w:right w:w="15" w:type="dxa"/>
            </w:tcMar>
            <w:vAlign w:val="bottom"/>
          </w:tcPr>
          <w:p>
            <w:pPr>
              <w:spacing w:line="280" w:lineRule="exact"/>
              <w:rPr>
                <w:rFonts w:hint="default" w:cs="宋体"/>
                <w:color w:val="000000"/>
                <w:kern w:val="2"/>
                <w:sz w:val="20"/>
                <w:szCs w:val="20"/>
              </w:rPr>
            </w:pPr>
          </w:p>
        </w:tc>
        <w:tc>
          <w:tcPr>
            <w:tcW w:w="2551"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垫江县桂溪街道综合行政执法大队</w:t>
            </w:r>
          </w:p>
        </w:tc>
        <w:tc>
          <w:tcPr>
            <w:tcW w:w="2384"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774"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551"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0.50</w:t>
            </w: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6.53</w:t>
            </w:r>
            <w:r>
              <w:rPr>
                <w:rFonts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r>
      <w:r>
        <w:rPr>
          <w:rFonts w:cs="宋体"/>
          <w:sz w:val="18"/>
          <w:szCs w:val="18"/>
        </w:rPr>
        <w:t xml:space="preserve">      2.本套报表金额单位转换时可能存在尾数误差。</w:t>
      </w:r>
      <w:r>
        <w:rPr>
          <w:rFonts w:cs="宋体"/>
          <w:sz w:val="18"/>
          <w:szCs w:val="18"/>
        </w:rPr>
        <w:br/>
      </w:r>
      <w:r>
        <w:rPr>
          <w:rFonts w:cs="宋体"/>
          <w:sz w:val="18"/>
          <w:szCs w:val="18"/>
        </w:rPr>
        <w:br/>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altName w:val="Arial Unicode MS"/>
    <w:panose1 w:val="02000000000000000000"/>
    <w:charset w:val="86"/>
    <w:family w:val="auto"/>
    <w:pitch w:val="default"/>
    <w:sig w:usb0="A00002BF" w:usb1="38CF7CFA" w:usb2="00082016" w:usb3="00000000" w:csb0="00040001" w:csb1="00000000"/>
  </w:font>
  <w:font w:name="方正小标宋_GBK">
    <w:altName w:val="Arial Unicode MS"/>
    <w:panose1 w:val="02000000000000000000"/>
    <w:charset w:val="86"/>
    <w:family w:val="auto"/>
    <w:pitch w:val="default"/>
    <w:sig w:usb0="A00002BF" w:usb1="38CF7CFA" w:usb2="00082016" w:usb3="00000000" w:csb0="00040001" w:csb1="00000000"/>
  </w:font>
  <w:font w:name="等线">
    <w:altName w:val="宋体"/>
    <w:panose1 w:val="02010600030101010101"/>
    <w:charset w:val="86"/>
    <w:family w:val="auto"/>
    <w:pitch w:val="default"/>
    <w:sig w:usb0="A00002BF" w:usb1="38CF7CFA" w:usb2="00000016" w:usb3="00000000" w:csb0="0004000F" w:csb1="00000000"/>
  </w:font>
  <w:font w:name="方正黑体_GBK">
    <w:altName w:val="Arial Unicode MS"/>
    <w:panose1 w:val="0201060001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800002BF" w:usb1="38C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Fonts w:hint="default"/>
      </w:rPr>
    </w:pPr>
    <w:r>
      <w:rPr>
        <w:rFonts w:hint="default"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default"/>
                    <w:sz w:val="24"/>
                    <w:szCs w:val="24"/>
                  </w:rPr>
                </w:pPr>
                <w:r>
                  <w:rPr>
                    <w:sz w:val="24"/>
                    <w:szCs w:val="24"/>
                  </w:rPr>
                  <w:fldChar w:fldCharType="begin"/>
                </w:r>
                <w:r>
                  <w:rPr>
                    <w:sz w:val="24"/>
                    <w:szCs w:val="24"/>
                  </w:rPr>
                  <w:instrText xml:space="preserve"> PAGE  \* MERGEFORMAT </w:instrText>
                </w:r>
                <w:r>
                  <w:rPr>
                    <w:sz w:val="24"/>
                    <w:szCs w:val="24"/>
                  </w:rPr>
                  <w:fldChar w:fldCharType="separate"/>
                </w:r>
                <w:r>
                  <w:rPr>
                    <w:rFonts w:hint="default"/>
                    <w:sz w:val="24"/>
                    <w:szCs w:val="24"/>
                  </w:rPr>
                  <w:t>- 3 -</w:t>
                </w:r>
                <w:r>
                  <w:rPr>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both"/>
      <w:rPr>
        <w:rFonts w:hint="default"/>
      </w:rPr>
    </w:pPr>
    <w:r>
      <w:rPr>
        <w:rFonts w:hint="default"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5"/>
                  <w:rPr>
                    <w:rFonts w:hint="default"/>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rFonts w:hint="default"/>
                    <w:sz w:val="24"/>
                    <w:szCs w:val="24"/>
                    <w:lang w:val="zh-CN"/>
                  </w:rPr>
                  <w:t>-</w:t>
                </w:r>
                <w:r>
                  <w:rPr>
                    <w:rFonts w:hint="default"/>
                    <w:sz w:val="24"/>
                    <w:szCs w:val="24"/>
                  </w:rPr>
                  <w:t xml:space="preserve"> 18 -</w:t>
                </w:r>
                <w:r>
                  <w:rPr>
                    <w:sz w:val="24"/>
                    <w:szCs w:val="24"/>
                  </w:rPr>
                  <w:fldChar w:fldCharType="end"/>
                </w:r>
                <w:r>
                  <w:rPr>
                    <w:sz w:val="24"/>
                    <w:szCs w:val="24"/>
                  </w:rPr>
                  <w:t xml:space="preserve"> </w:t>
                </w:r>
              </w:p>
            </w:txbxContent>
          </v:textbox>
        </v:rect>
      </w:pict>
    </w:r>
    <w:r>
      <w:rPr>
        <w:rFonts w:hint="default"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5"/>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239C6"/>
    <w:rsid w:val="001D3BB7"/>
    <w:rsid w:val="002B254B"/>
    <w:rsid w:val="003270FF"/>
    <w:rsid w:val="00466C9B"/>
    <w:rsid w:val="00550ABE"/>
    <w:rsid w:val="00770383"/>
    <w:rsid w:val="007819D4"/>
    <w:rsid w:val="007B419D"/>
    <w:rsid w:val="007B7C4B"/>
    <w:rsid w:val="007D3D39"/>
    <w:rsid w:val="009572B4"/>
    <w:rsid w:val="00994AF7"/>
    <w:rsid w:val="009B67B8"/>
    <w:rsid w:val="009D2B67"/>
    <w:rsid w:val="00A566F9"/>
    <w:rsid w:val="00AA6425"/>
    <w:rsid w:val="00AF2751"/>
    <w:rsid w:val="00B03CCD"/>
    <w:rsid w:val="00BE2B89"/>
    <w:rsid w:val="00C10E9E"/>
    <w:rsid w:val="00C20C3E"/>
    <w:rsid w:val="00CF2ACF"/>
    <w:rsid w:val="00F15A5B"/>
    <w:rsid w:val="00F73F90"/>
    <w:rsid w:val="00F94953"/>
    <w:rsid w:val="00FA548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12C27"/>
    <w:rsid w:val="1B6F15B6"/>
    <w:rsid w:val="1BAA2EDC"/>
    <w:rsid w:val="1BF30311"/>
    <w:rsid w:val="1CA55E64"/>
    <w:rsid w:val="1D014A01"/>
    <w:rsid w:val="1D022362"/>
    <w:rsid w:val="1D1B04B0"/>
    <w:rsid w:val="1DA52501"/>
    <w:rsid w:val="1DBD6767"/>
    <w:rsid w:val="1DC52125"/>
    <w:rsid w:val="1DD26311"/>
    <w:rsid w:val="1E374ACB"/>
    <w:rsid w:val="1ECF0A66"/>
    <w:rsid w:val="1EF67CA4"/>
    <w:rsid w:val="1F020D3A"/>
    <w:rsid w:val="1F2C5189"/>
    <w:rsid w:val="1F4B0B02"/>
    <w:rsid w:val="1F9E6123"/>
    <w:rsid w:val="1FBB35CD"/>
    <w:rsid w:val="1FCD26AF"/>
    <w:rsid w:val="20642787"/>
    <w:rsid w:val="21556F04"/>
    <w:rsid w:val="22403BD3"/>
    <w:rsid w:val="233A0B32"/>
    <w:rsid w:val="24B92327"/>
    <w:rsid w:val="24C14514"/>
    <w:rsid w:val="2533755C"/>
    <w:rsid w:val="25791755"/>
    <w:rsid w:val="26396DF4"/>
    <w:rsid w:val="27167136"/>
    <w:rsid w:val="271B442C"/>
    <w:rsid w:val="27B23302"/>
    <w:rsid w:val="29310A5F"/>
    <w:rsid w:val="29C37A35"/>
    <w:rsid w:val="29DA2FC4"/>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0A7A97"/>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26789"/>
    <w:rsid w:val="48E36915"/>
    <w:rsid w:val="48EB6572"/>
    <w:rsid w:val="495C4A24"/>
    <w:rsid w:val="497135DF"/>
    <w:rsid w:val="4A263DF2"/>
    <w:rsid w:val="4A5D5FA7"/>
    <w:rsid w:val="4A6F6675"/>
    <w:rsid w:val="4B135857"/>
    <w:rsid w:val="4B7951CB"/>
    <w:rsid w:val="4B7C315C"/>
    <w:rsid w:val="4DAC4ACA"/>
    <w:rsid w:val="4DBE01D2"/>
    <w:rsid w:val="4E610DBC"/>
    <w:rsid w:val="4F0C6BA3"/>
    <w:rsid w:val="4F186D58"/>
    <w:rsid w:val="50F06B6E"/>
    <w:rsid w:val="51D21804"/>
    <w:rsid w:val="52234D33"/>
    <w:rsid w:val="522F6E0C"/>
    <w:rsid w:val="52463BA1"/>
    <w:rsid w:val="52CD27A9"/>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502C1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3F16"/>
    <w:rsid w:val="66EE5541"/>
    <w:rsid w:val="67924660"/>
    <w:rsid w:val="68407834"/>
    <w:rsid w:val="6883293E"/>
    <w:rsid w:val="688412AD"/>
    <w:rsid w:val="68EB1B71"/>
    <w:rsid w:val="6A6C7940"/>
    <w:rsid w:val="6AAD2300"/>
    <w:rsid w:val="6AC64155"/>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Body Text"/>
    <w:basedOn w:val="1"/>
    <w:next w:val="3"/>
    <w:uiPriority w:val="0"/>
    <w:pPr>
      <w:spacing w:after="140" w:line="276" w:lineRule="auto"/>
    </w:pPr>
  </w:style>
  <w:style w:type="paragraph" w:styleId="3">
    <w:name w:val="toc 5"/>
    <w:basedOn w:val="1"/>
    <w:next w:val="1"/>
    <w:qFormat/>
    <w:uiPriority w:val="0"/>
    <w:pPr>
      <w:ind w:left="1680" w:leftChars="800"/>
    </w:pPr>
    <w:rPr>
      <w:rFonts w:ascii="Times New Roman" w:hAnsi="Times New Roman" w:eastAsia="方正仿宋_GBK"/>
      <w:sz w:val="32"/>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8191</Words>
  <Characters>10292</Characters>
  <Lines>89</Lines>
  <Paragraphs>25</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2025-09-17T01:57:47Z</dcterms:modified>
  <dc:title>垫江县桂溪街道综合行政执法大队2024年度决算公开说明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