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jc w:val="center"/>
        <w:rPr>
          <w:rFonts w:hint="default" w:ascii="方正小标宋_GBK" w:hAnsi="方正小标宋_GBK" w:eastAsia="方正小标宋_GBK" w:cs="方正小标宋_GBK"/>
          <w:color w:val="000000"/>
          <w:sz w:val="44"/>
          <w:szCs w:val="44"/>
        </w:rPr>
      </w:pPr>
      <w:r>
        <w:rPr>
          <w:rFonts w:ascii="方正小标宋_GBK" w:hAnsi="方正小标宋_GBK" w:eastAsia="方正小标宋_GBK" w:cs="方正小标宋_GBK"/>
          <w:color w:val="000000"/>
          <w:sz w:val="44"/>
          <w:szCs w:val="44"/>
        </w:rPr>
        <w:t>垫江县人民政府桂溪街道办事处（本级）</w:t>
      </w:r>
    </w:p>
    <w:p>
      <w:pPr>
        <w:pStyle w:val="7"/>
        <w:spacing w:before="0" w:beforeAutospacing="0" w:after="0" w:afterAutospacing="0"/>
        <w:jc w:val="center"/>
        <w:rPr>
          <w:rFonts w:hint="default" w:ascii="方正小标宋_GBK" w:hAnsi="方正小标宋_GBK" w:eastAsia="方正小标宋_GBK" w:cs="方正小标宋_GBK"/>
          <w:color w:val="000000"/>
          <w:sz w:val="44"/>
          <w:szCs w:val="44"/>
          <w:shd w:val="clear" w:color="auto" w:fill="FFFFFF"/>
        </w:rPr>
      </w:pPr>
      <w:r>
        <w:rPr>
          <w:rFonts w:ascii="方正小标宋_GBK" w:hAnsi="方正小标宋_GBK" w:eastAsia="方正小标宋_GBK" w:cs="方正小标宋_GBK"/>
          <w:color w:val="000000"/>
          <w:sz w:val="44"/>
          <w:szCs w:val="44"/>
          <w:shd w:val="clear" w:color="auto" w:fill="FFFFFF"/>
        </w:rPr>
        <w:t>2024年度决算公开说明</w:t>
      </w:r>
    </w:p>
    <w:p>
      <w:pPr>
        <w:widowControl w:val="0"/>
        <w:ind w:firstLine="640" w:firstLineChars="200"/>
        <w:jc w:val="both"/>
        <w:rPr>
          <w:rFonts w:hint="default" w:ascii="Times New Roman" w:hAnsi="Times New Roman" w:eastAsia="方正仿宋_GBK"/>
          <w:color w:val="000000"/>
          <w:kern w:val="2"/>
          <w:sz w:val="32"/>
          <w:szCs w:val="32"/>
        </w:rPr>
      </w:pPr>
    </w:p>
    <w:p>
      <w:pPr>
        <w:widowControl w:val="0"/>
        <w:ind w:firstLine="640" w:firstLineChars="200"/>
        <w:jc w:val="both"/>
        <w:rPr>
          <w:rFonts w:hint="default" w:ascii="方正黑体_GBK" w:hAnsi="Times New Roman" w:eastAsia="方正黑体_GBK"/>
          <w:color w:val="000000"/>
          <w:kern w:val="2"/>
          <w:sz w:val="32"/>
          <w:szCs w:val="32"/>
        </w:rPr>
      </w:pPr>
      <w:r>
        <w:rPr>
          <w:rFonts w:ascii="方正黑体_GBK" w:hAnsi="Times New Roman" w:eastAsia="方正黑体_GBK"/>
          <w:color w:val="000000"/>
          <w:kern w:val="2"/>
          <w:sz w:val="32"/>
          <w:szCs w:val="32"/>
        </w:rPr>
        <w:t>一、单位基本情况</w:t>
      </w:r>
      <w:bookmarkStart w:id="0" w:name="_GoBack"/>
      <w:bookmarkEnd w:id="0"/>
    </w:p>
    <w:p>
      <w:pPr>
        <w:widowControl w:val="0"/>
        <w:ind w:firstLine="640" w:firstLineChars="200"/>
        <w:jc w:val="both"/>
        <w:rPr>
          <w:rFonts w:hint="default" w:ascii="方正楷体_GBK" w:hAnsi="Times New Roman" w:eastAsia="方正楷体_GBK"/>
          <w:color w:val="000000"/>
          <w:kern w:val="2"/>
          <w:sz w:val="32"/>
          <w:szCs w:val="32"/>
        </w:rPr>
      </w:pPr>
      <w:r>
        <w:rPr>
          <w:rFonts w:ascii="方正楷体_GBK" w:hAnsi="Times New Roman" w:eastAsia="方正楷体_GBK"/>
          <w:color w:val="000000"/>
          <w:kern w:val="2"/>
          <w:sz w:val="32"/>
          <w:szCs w:val="32"/>
        </w:rPr>
        <w:t>（一）职能职责</w:t>
      </w:r>
    </w:p>
    <w:p>
      <w:pPr>
        <w:widowControl w:val="0"/>
        <w:ind w:firstLine="640" w:firstLineChars="200"/>
        <w:jc w:val="both"/>
        <w:rPr>
          <w:rFonts w:hint="default"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按照优化协同高效的原则，调整设置相关内设机构。调整后，共计设置内设行政机构</w:t>
      </w:r>
      <w:r>
        <w:rPr>
          <w:rFonts w:hint="default" w:ascii="Times New Roman" w:hAnsi="Times New Roman" w:eastAsia="方正仿宋_GBK"/>
          <w:color w:val="000000"/>
          <w:kern w:val="2"/>
          <w:sz w:val="32"/>
          <w:szCs w:val="32"/>
        </w:rPr>
        <w:t>10个。具体设置及主要职责分别是：</w:t>
      </w:r>
    </w:p>
    <w:p>
      <w:pPr>
        <w:widowControl w:val="0"/>
        <w:ind w:firstLine="640" w:firstLineChars="200"/>
        <w:jc w:val="both"/>
        <w:rPr>
          <w:rFonts w:hint="default" w:ascii="Times New Roman" w:hAnsi="Times New Roman" w:eastAsia="方正仿宋_GBK"/>
          <w:b/>
          <w:color w:val="000000"/>
          <w:kern w:val="2"/>
          <w:sz w:val="32"/>
          <w:szCs w:val="32"/>
        </w:rPr>
      </w:pPr>
      <w:r>
        <w:rPr>
          <w:rFonts w:ascii="Times New Roman" w:hAnsi="Times New Roman" w:eastAsia="方正仿宋_GBK"/>
          <w:b/>
          <w:color w:val="000000"/>
          <w:kern w:val="2"/>
          <w:sz w:val="32"/>
          <w:szCs w:val="32"/>
        </w:rPr>
        <w:t>行政内设机构设置</w:t>
      </w:r>
    </w:p>
    <w:p>
      <w:pPr>
        <w:widowControl w:val="0"/>
        <w:ind w:firstLine="640" w:firstLineChars="200"/>
        <w:jc w:val="both"/>
        <w:rPr>
          <w:rFonts w:hint="default"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w:t>
      </w:r>
      <w:r>
        <w:rPr>
          <w:rFonts w:hint="default" w:ascii="Times New Roman" w:hAnsi="Times New Roman" w:eastAsia="方正仿宋_GBK"/>
          <w:color w:val="000000"/>
          <w:kern w:val="2"/>
          <w:sz w:val="32"/>
          <w:szCs w:val="32"/>
        </w:rPr>
        <w:t>1）党政办公室。负责纪检、武装、政务公开等工作。负责机关文秘、会务、档案、保密、后勤服务等工作。负责牵头协调办理人大代表和政协委员的议案、提案、建议、意见。完成党工委、办事处交办的其他工作。</w:t>
      </w:r>
    </w:p>
    <w:p>
      <w:pPr>
        <w:widowControl w:val="0"/>
        <w:ind w:firstLine="640" w:firstLineChars="200"/>
        <w:jc w:val="both"/>
        <w:rPr>
          <w:rFonts w:hint="default"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w:t>
      </w:r>
      <w:r>
        <w:rPr>
          <w:rFonts w:hint="default" w:ascii="Times New Roman" w:hAnsi="Times New Roman" w:eastAsia="方正仿宋_GBK"/>
          <w:color w:val="000000"/>
          <w:kern w:val="2"/>
          <w:sz w:val="32"/>
          <w:szCs w:val="32"/>
        </w:rPr>
        <w:t>2）党群工作办公室。负责党的建设、组织、宣传、统战、民宗侨台、机构编制、人事、绩效管理、群团、党务公开等相关工作。负责街道公共服务中心和村（社区）便民服务中心的监督和管理等工作。完成党工委、办事处交办的其他工作。</w:t>
      </w:r>
    </w:p>
    <w:p>
      <w:pPr>
        <w:widowControl w:val="0"/>
        <w:ind w:firstLine="640" w:firstLineChars="200"/>
        <w:jc w:val="both"/>
        <w:rPr>
          <w:rFonts w:hint="default"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w:t>
      </w:r>
      <w:r>
        <w:rPr>
          <w:rFonts w:hint="default" w:ascii="Times New Roman" w:hAnsi="Times New Roman" w:eastAsia="方正仿宋_GBK"/>
          <w:color w:val="000000"/>
          <w:kern w:val="2"/>
          <w:sz w:val="32"/>
          <w:szCs w:val="32"/>
        </w:rPr>
        <w:t>3）人大工委办公室。联系本辖区人大代表，组织和指导本辖区的人大代表学习培训，开展联系选民、向所在选区选民报告履职情况等活动，建立代表履职档案并组织好代表履职评价工作，建设代表履职平台，为代表履职提供服务等工作。组织人大代表视察、调研、评议等工作。完成党工委、人大工委交办的其他工作。</w:t>
      </w:r>
    </w:p>
    <w:p>
      <w:pPr>
        <w:widowControl w:val="0"/>
        <w:ind w:firstLine="640" w:firstLineChars="200"/>
        <w:jc w:val="both"/>
        <w:rPr>
          <w:rFonts w:hint="default"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w:t>
      </w:r>
      <w:r>
        <w:rPr>
          <w:rFonts w:hint="default" w:ascii="Times New Roman" w:hAnsi="Times New Roman" w:eastAsia="方正仿宋_GBK"/>
          <w:color w:val="000000"/>
          <w:kern w:val="2"/>
          <w:sz w:val="32"/>
          <w:szCs w:val="32"/>
        </w:rPr>
        <w:t>4）经济发展办公室（挂统计办公室牌子）。承担促进街道、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村（社区）集体资产、资源、资金等经营管理工作。贯彻落实促进非公经济发展的相关政策，为非公经济组织提供服务。负责劳务输出、移民安置等工作。负责扶贫开发、脱贫攻坚、精准扶贫、精准脱贫等相关工作。负责生产经营企业等方面的</w:t>
      </w:r>
      <w:r>
        <w:rPr>
          <w:rFonts w:ascii="Times New Roman" w:hAnsi="Times New Roman" w:eastAsia="方正仿宋_GBK"/>
          <w:color w:val="000000"/>
          <w:kern w:val="2"/>
          <w:sz w:val="32"/>
          <w:szCs w:val="32"/>
        </w:rPr>
        <w:t>安全监管工作。负责农民负担等工作。完成党工委、办事处交办的其他工作。</w:t>
      </w:r>
    </w:p>
    <w:p>
      <w:pPr>
        <w:widowControl w:val="0"/>
        <w:ind w:firstLine="640" w:firstLineChars="200"/>
        <w:jc w:val="both"/>
        <w:rPr>
          <w:rFonts w:hint="default"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w:t>
      </w:r>
      <w:r>
        <w:rPr>
          <w:rFonts w:hint="default" w:ascii="Times New Roman" w:hAnsi="Times New Roman" w:eastAsia="方正仿宋_GBK"/>
          <w:color w:val="000000"/>
          <w:kern w:val="2"/>
          <w:sz w:val="32"/>
          <w:szCs w:val="32"/>
        </w:rPr>
        <w:t>5）财政办公室。贯彻财经方针政策，执行财政法规、财经制度。负责财政收支、预决算、总会计、惠农资金兑付、财政资金监督检查、绩效评价、村（社区）财务管理等工作。负责机关财务管理、国有资产管理。负责机关、所属事业单位及村（社区）财务内部审计及其他专项审计等工作。完成党工委、办事处交办的其他工作。</w:t>
      </w:r>
    </w:p>
    <w:p>
      <w:pPr>
        <w:widowControl w:val="0"/>
        <w:ind w:firstLine="640" w:firstLineChars="200"/>
        <w:jc w:val="both"/>
        <w:rPr>
          <w:rFonts w:hint="default"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w:t>
      </w:r>
      <w:r>
        <w:rPr>
          <w:rFonts w:hint="default" w:ascii="Times New Roman" w:hAnsi="Times New Roman" w:eastAsia="方正仿宋_GBK"/>
          <w:color w:val="000000"/>
          <w:kern w:val="2"/>
          <w:sz w:val="32"/>
          <w:szCs w:val="32"/>
        </w:rPr>
        <w:t>6）民政和社区事务办公室（挂卫生健康办公室、物业管理办公室牌子）。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w:t>
      </w:r>
      <w:r>
        <w:rPr>
          <w:rFonts w:ascii="Times New Roman" w:hAnsi="Times New Roman" w:eastAsia="方正仿宋_GBK"/>
          <w:color w:val="000000"/>
          <w:kern w:val="2"/>
          <w:sz w:val="32"/>
          <w:szCs w:val="32"/>
        </w:rPr>
        <w:t>和社会保障员的业务指导等工作。负责留守儿童和妇女、老人关爱服务等工作。指导业主大会及业主委员会依法履行职责。负责组织召开物业管理工作联席会议，调解物业管理纠纷。指导和监督社区、市场做好物业管理工作。完成党工委、办事处交办的其他工作。</w:t>
      </w:r>
    </w:p>
    <w:p>
      <w:pPr>
        <w:widowControl w:val="0"/>
        <w:ind w:firstLine="640" w:firstLineChars="200"/>
        <w:jc w:val="both"/>
        <w:rPr>
          <w:rFonts w:hint="default"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w:t>
      </w:r>
      <w:r>
        <w:rPr>
          <w:rFonts w:hint="default" w:ascii="Times New Roman" w:hAnsi="Times New Roman" w:eastAsia="方正仿宋_GBK"/>
          <w:color w:val="000000"/>
          <w:kern w:val="2"/>
          <w:sz w:val="32"/>
          <w:szCs w:val="32"/>
        </w:rPr>
        <w:t>7）平安建设办公室。负责普法教育、防邪、禁毒、综治、信访、维稳等工作。负责基层民间矛盾纠纷调解工作。负责高铁沿线护路管理工作。组织、指导、协调、检查、督促辖区内各基层组织和企事业单位的社会治安综合治理等工作。完成党工委、办事处交办的其他工作。</w:t>
      </w:r>
    </w:p>
    <w:p>
      <w:pPr>
        <w:widowControl w:val="0"/>
        <w:ind w:firstLine="640" w:firstLineChars="200"/>
        <w:jc w:val="both"/>
        <w:rPr>
          <w:rFonts w:hint="default"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w:t>
      </w:r>
      <w:r>
        <w:rPr>
          <w:rFonts w:hint="default" w:ascii="Times New Roman" w:hAnsi="Times New Roman" w:eastAsia="方正仿宋_GBK"/>
          <w:color w:val="000000"/>
          <w:kern w:val="2"/>
          <w:sz w:val="32"/>
          <w:szCs w:val="32"/>
        </w:rPr>
        <w:t>8）规划建设管理环保办公室。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w:t>
      </w:r>
      <w:r>
        <w:rPr>
          <w:rFonts w:ascii="Times New Roman" w:hAnsi="Times New Roman" w:eastAsia="方正仿宋_GBK"/>
          <w:color w:val="000000"/>
          <w:kern w:val="2"/>
          <w:sz w:val="32"/>
          <w:szCs w:val="32"/>
        </w:rPr>
        <w:t>。负责辖区内河道日常管护工作。负责辖区内农村公路的建设、养护工作，组织开展辖区内农村公路管理养护情况的巡查和考评。负责卫生改厕等工作。完成党工委、办事处交办的其他工作。</w:t>
      </w:r>
    </w:p>
    <w:p>
      <w:pPr>
        <w:widowControl w:val="0"/>
        <w:ind w:firstLine="640" w:firstLineChars="200"/>
        <w:jc w:val="both"/>
        <w:rPr>
          <w:rFonts w:hint="default"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w:t>
      </w:r>
      <w:r>
        <w:rPr>
          <w:rFonts w:hint="default" w:ascii="Times New Roman" w:hAnsi="Times New Roman" w:eastAsia="方正仿宋_GBK"/>
          <w:color w:val="000000"/>
          <w:kern w:val="2"/>
          <w:sz w:val="32"/>
          <w:szCs w:val="32"/>
        </w:rPr>
        <w:t>9）应急管理办公室。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工委、办事处交办的其他工作。</w:t>
      </w:r>
    </w:p>
    <w:p>
      <w:pPr>
        <w:widowControl w:val="0"/>
        <w:ind w:firstLine="640" w:firstLineChars="200"/>
        <w:jc w:val="both"/>
        <w:rPr>
          <w:rFonts w:hint="default"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w:t>
      </w:r>
      <w:r>
        <w:rPr>
          <w:rFonts w:hint="default" w:ascii="Times New Roman" w:hAnsi="Times New Roman" w:eastAsia="方正仿宋_GBK"/>
          <w:color w:val="000000"/>
          <w:kern w:val="2"/>
          <w:sz w:val="32"/>
          <w:szCs w:val="32"/>
        </w:rPr>
        <w:t>10）综合行政执法办公室。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工委、办事处交办的其他工作。</w:t>
      </w:r>
    </w:p>
    <w:p>
      <w:pPr>
        <w:widowControl w:val="0"/>
        <w:ind w:firstLine="640" w:firstLineChars="200"/>
        <w:jc w:val="both"/>
        <w:rPr>
          <w:rFonts w:hint="default" w:ascii="方正楷体_GBK" w:hAnsi="Times New Roman" w:eastAsia="方正楷体_GBK"/>
          <w:color w:val="000000"/>
          <w:kern w:val="2"/>
          <w:sz w:val="32"/>
          <w:szCs w:val="32"/>
        </w:rPr>
      </w:pPr>
      <w:r>
        <w:rPr>
          <w:rFonts w:ascii="方正楷体_GBK" w:hAnsi="Times New Roman" w:eastAsia="方正楷体_GBK"/>
          <w:color w:val="000000"/>
          <w:kern w:val="2"/>
          <w:sz w:val="32"/>
          <w:szCs w:val="32"/>
        </w:rPr>
        <w:t>（二）机构设置</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1.垫江县桂溪街道共设置10个内设机构，核定内设机构领导职数11名（含内设机构党政办公室副职职数1名）。</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2.内设机构的挂牌机构不单独核定领导职数，其领导职务在主体机构核定职数内由相关人员兼任。</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3.纪工委、武装部按照有关规定设置。工会、妇联、团委等群团按照有关章程设置。</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4.本单位纳入本套决算编制范围</w:t>
      </w:r>
      <w:r>
        <w:rPr>
          <w:rFonts w:ascii="Times New Roman" w:hAnsi="Times New Roman" w:eastAsia="方正仿宋_GBK"/>
          <w:color w:val="000000"/>
          <w:kern w:val="2"/>
          <w:sz w:val="32"/>
          <w:szCs w:val="32"/>
        </w:rPr>
        <w:t>，</w:t>
      </w:r>
      <w:r>
        <w:rPr>
          <w:rFonts w:hint="default" w:ascii="Times New Roman" w:hAnsi="Times New Roman" w:eastAsia="方正仿宋_GBK"/>
          <w:color w:val="000000"/>
          <w:kern w:val="2"/>
          <w:sz w:val="32"/>
          <w:szCs w:val="32"/>
        </w:rPr>
        <w:t>1个机构</w:t>
      </w:r>
      <w:r>
        <w:rPr>
          <w:rFonts w:ascii="Times New Roman" w:hAnsi="Times New Roman" w:eastAsia="方正仿宋_GBK"/>
          <w:color w:val="000000"/>
          <w:kern w:val="2"/>
          <w:sz w:val="32"/>
          <w:szCs w:val="32"/>
        </w:rPr>
        <w:t>，3</w:t>
      </w:r>
      <w:r>
        <w:rPr>
          <w:rFonts w:hint="default" w:ascii="Times New Roman" w:hAnsi="Times New Roman" w:eastAsia="方正仿宋_GBK"/>
          <w:color w:val="000000"/>
          <w:kern w:val="2"/>
          <w:sz w:val="32"/>
          <w:szCs w:val="32"/>
        </w:rPr>
        <w:t>9人。</w:t>
      </w:r>
    </w:p>
    <w:p>
      <w:pPr>
        <w:widowControl w:val="0"/>
        <w:ind w:firstLine="640" w:firstLineChars="200"/>
        <w:jc w:val="both"/>
        <w:rPr>
          <w:rFonts w:hint="default" w:ascii="方正黑体_GBK" w:hAnsi="Times New Roman" w:eastAsia="方正黑体_GBK"/>
          <w:color w:val="000000"/>
          <w:kern w:val="2"/>
          <w:sz w:val="32"/>
          <w:szCs w:val="32"/>
        </w:rPr>
      </w:pPr>
      <w:r>
        <w:rPr>
          <w:rStyle w:val="11"/>
          <w:rFonts w:ascii="黑体" w:hAnsi="黑体" w:eastAsia="黑体" w:cs="黑体"/>
          <w:sz w:val="32"/>
          <w:szCs w:val="32"/>
          <w:shd w:val="clear" w:color="auto" w:fill="FFFFFF"/>
        </w:rPr>
        <w:t>二、单位决算收支情况说明</w:t>
      </w:r>
    </w:p>
    <w:p>
      <w:pPr>
        <w:widowControl w:val="0"/>
        <w:ind w:firstLine="640" w:firstLineChars="200"/>
        <w:jc w:val="both"/>
        <w:rPr>
          <w:rFonts w:hint="default" w:ascii="方正楷体_GBK" w:hAnsi="Times New Roman" w:eastAsia="方正楷体_GBK"/>
          <w:color w:val="000000"/>
          <w:kern w:val="2"/>
          <w:sz w:val="32"/>
          <w:szCs w:val="32"/>
        </w:rPr>
      </w:pPr>
      <w:r>
        <w:rPr>
          <w:rFonts w:ascii="方正楷体_GBK" w:hAnsi="Times New Roman" w:eastAsia="方正楷体_GBK"/>
          <w:color w:val="000000"/>
          <w:kern w:val="2"/>
          <w:sz w:val="32"/>
          <w:szCs w:val="32"/>
        </w:rPr>
        <w:t>（一）收入支出决算总体情况说明</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b/>
          <w:color w:val="000000"/>
          <w:kern w:val="2"/>
          <w:sz w:val="32"/>
          <w:szCs w:val="32"/>
        </w:rPr>
        <w:t>1.总体情况。</w:t>
      </w:r>
      <w:r>
        <w:rPr>
          <w:rFonts w:hint="default" w:ascii="Times New Roman" w:hAnsi="Times New Roman" w:eastAsia="方正仿宋_GBK"/>
          <w:color w:val="000000"/>
          <w:kern w:val="2"/>
          <w:sz w:val="32"/>
          <w:szCs w:val="32"/>
        </w:rPr>
        <w:t>2024年度收入总计9349.65万元，支出总计9349.65万元。收、支与2023年度相比，增加2700.44万元，增长40.61%，主要原因是增加了产业发展项目扶持资金。</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b/>
          <w:color w:val="000000"/>
          <w:kern w:val="2"/>
          <w:sz w:val="32"/>
          <w:szCs w:val="32"/>
        </w:rPr>
        <w:t>2.收入情况。</w:t>
      </w:r>
      <w:r>
        <w:rPr>
          <w:rFonts w:hint="default" w:ascii="Times New Roman" w:hAnsi="Times New Roman" w:eastAsia="方正仿宋_GBK"/>
          <w:color w:val="000000"/>
          <w:kern w:val="2"/>
          <w:sz w:val="32"/>
          <w:szCs w:val="32"/>
        </w:rPr>
        <w:t>2024年度收入合计9258.82万元，与2023年度相比，增加2623.50万元，增长39.54%，主要原因是增加了产业发展项目扶持资金。其中：财政拨款收入9258.82万元，占100.00%；事业收入0.00万元，占0.00%；经营收入0.00万元，占0.00%；其他收入0.00万元，占0.00%。此外，使用非财政拨款结余和专用结余0.00万元，年初结转和结余90.82万元。</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b/>
          <w:color w:val="000000"/>
          <w:kern w:val="2"/>
          <w:sz w:val="32"/>
          <w:szCs w:val="32"/>
        </w:rPr>
        <w:t>3.支出情况。</w:t>
      </w:r>
      <w:r>
        <w:rPr>
          <w:rFonts w:hint="default" w:ascii="Times New Roman" w:hAnsi="Times New Roman" w:eastAsia="方正仿宋_GBK"/>
          <w:color w:val="000000"/>
          <w:kern w:val="2"/>
          <w:sz w:val="32"/>
          <w:szCs w:val="32"/>
        </w:rPr>
        <w:t>2024年度支出合计9349.65万元，与2023年度相比，增加2700.44万元，增长40.61%，主要原因是增加了产业发展项目扶持资金。其中：基本支出2173.03万元，占23.24%；项目支出7176.62万元，占76.76%；经营支出0.00万元，占0.00%。此外，结余分配0.00万元。</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b/>
          <w:color w:val="000000"/>
          <w:kern w:val="2"/>
          <w:sz w:val="32"/>
          <w:szCs w:val="32"/>
        </w:rPr>
        <w:t>4.结转结余情</w:t>
      </w:r>
      <w:r>
        <w:rPr>
          <w:rFonts w:ascii="Times New Roman" w:hAnsi="Times New Roman" w:eastAsia="方正仿宋_GBK"/>
          <w:b/>
          <w:color w:val="000000"/>
          <w:kern w:val="2"/>
          <w:sz w:val="32"/>
          <w:szCs w:val="32"/>
        </w:rPr>
        <w:t>况。</w:t>
      </w:r>
      <w:r>
        <w:rPr>
          <w:rFonts w:hint="default" w:ascii="Times New Roman" w:hAnsi="Times New Roman" w:eastAsia="方正仿宋_GBK"/>
          <w:color w:val="000000"/>
          <w:kern w:val="2"/>
          <w:sz w:val="32"/>
          <w:szCs w:val="32"/>
        </w:rPr>
        <w:t>2024年度年末结转和结余0.00万元，与2023年度相比，无增减，主要原因是收支平衡</w:t>
      </w:r>
      <w:r>
        <w:rPr>
          <w:rFonts w:ascii="Times New Roman" w:hAnsi="Times New Roman" w:eastAsia="方正仿宋_GBK"/>
          <w:color w:val="000000"/>
          <w:kern w:val="2"/>
          <w:sz w:val="32"/>
          <w:szCs w:val="32"/>
        </w:rPr>
        <w:t>，无结转结余</w:t>
      </w:r>
      <w:r>
        <w:rPr>
          <w:rFonts w:hint="default" w:ascii="Times New Roman" w:hAnsi="Times New Roman" w:eastAsia="方正仿宋_GBK"/>
          <w:color w:val="000000"/>
          <w:kern w:val="2"/>
          <w:sz w:val="32"/>
          <w:szCs w:val="32"/>
        </w:rPr>
        <w:t>。</w:t>
      </w:r>
    </w:p>
    <w:p>
      <w:pPr>
        <w:widowControl w:val="0"/>
        <w:ind w:firstLine="640" w:firstLineChars="200"/>
        <w:jc w:val="both"/>
        <w:rPr>
          <w:rFonts w:hint="default" w:ascii="方正楷体_GBK" w:hAnsi="Times New Roman" w:eastAsia="方正楷体_GBK"/>
          <w:color w:val="000000"/>
          <w:kern w:val="2"/>
          <w:sz w:val="32"/>
          <w:szCs w:val="32"/>
        </w:rPr>
      </w:pPr>
      <w:r>
        <w:rPr>
          <w:rFonts w:ascii="方正楷体_GBK" w:hAnsi="Times New Roman" w:eastAsia="方正楷体_GBK"/>
          <w:color w:val="000000"/>
          <w:kern w:val="2"/>
          <w:sz w:val="32"/>
          <w:szCs w:val="32"/>
        </w:rPr>
        <w:t>（二）财政拨款收入支出决算总体情况说明</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2024年度财政拨款收、支总计9349.65万元。与202</w:t>
      </w:r>
      <w:r>
        <w:rPr>
          <w:rFonts w:ascii="Times New Roman" w:hAnsi="Times New Roman" w:eastAsia="方正仿宋_GBK"/>
          <w:color w:val="000000"/>
          <w:kern w:val="2"/>
          <w:sz w:val="32"/>
          <w:szCs w:val="32"/>
        </w:rPr>
        <w:t>3</w:t>
      </w:r>
      <w:r>
        <w:rPr>
          <w:rFonts w:hint="default" w:ascii="Times New Roman" w:hAnsi="Times New Roman" w:eastAsia="方正仿宋_GBK"/>
          <w:color w:val="000000"/>
          <w:kern w:val="2"/>
          <w:sz w:val="32"/>
          <w:szCs w:val="32"/>
        </w:rPr>
        <w:t>年相比，财政拨款收、支总计各增加2702.09万元，增长40.65%。主要原因是增加了产业发展项目扶持资金。</w:t>
      </w:r>
    </w:p>
    <w:p>
      <w:pPr>
        <w:widowControl w:val="0"/>
        <w:ind w:firstLine="640" w:firstLineChars="200"/>
        <w:jc w:val="both"/>
        <w:rPr>
          <w:rFonts w:hint="default" w:ascii="方正楷体_GBK" w:hAnsi="Times New Roman" w:eastAsia="方正楷体_GBK"/>
          <w:color w:val="000000"/>
          <w:kern w:val="2"/>
          <w:sz w:val="32"/>
          <w:szCs w:val="32"/>
        </w:rPr>
      </w:pPr>
      <w:r>
        <w:rPr>
          <w:rFonts w:ascii="方正楷体_GBK" w:hAnsi="Times New Roman" w:eastAsia="方正楷体_GBK"/>
          <w:color w:val="000000"/>
          <w:kern w:val="2"/>
          <w:sz w:val="32"/>
          <w:szCs w:val="32"/>
        </w:rPr>
        <w:t>（三）一般公共预算财政拨款收入支出决算情况说明</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b/>
          <w:color w:val="000000"/>
          <w:kern w:val="2"/>
          <w:sz w:val="32"/>
          <w:szCs w:val="32"/>
        </w:rPr>
        <w:t>1.收入情况。</w:t>
      </w:r>
      <w:r>
        <w:rPr>
          <w:rFonts w:hint="default" w:ascii="Times New Roman" w:hAnsi="Times New Roman" w:eastAsia="方正仿宋_GBK"/>
          <w:color w:val="000000"/>
          <w:kern w:val="2"/>
          <w:sz w:val="32"/>
          <w:szCs w:val="32"/>
        </w:rPr>
        <w:t>2024年度一般公共预算财政拨款收入9100.57万元，与2023年度相比，增加2524.68万元，增长38.39%。主要原因是增加了产业发展项目扶持资金。较年初预算数增加4071.05万元，增长80.94%。主要原因是增加了产业发展项目扶持资金。此外，年初财政拨款结转和结余90.82万元。</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b/>
          <w:color w:val="000000"/>
          <w:kern w:val="2"/>
          <w:sz w:val="32"/>
          <w:szCs w:val="32"/>
        </w:rPr>
        <w:t>2.支出情况。</w:t>
      </w:r>
      <w:r>
        <w:rPr>
          <w:rFonts w:hint="default" w:ascii="Times New Roman" w:hAnsi="Times New Roman" w:eastAsia="方正仿宋_GBK"/>
          <w:color w:val="000000"/>
          <w:kern w:val="2"/>
          <w:sz w:val="32"/>
          <w:szCs w:val="32"/>
        </w:rPr>
        <w:t>2024年度一般公共预算财政拨款支出9191.39万元，与2023年度相比，增加2603.26万元，增长39.51%。主要原因是增加了产业发展项目扶持资金。较年初预算数增加4161.87万元，增长82.75%。主要原因是增加了产业发展项目扶持资金。</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b/>
          <w:color w:val="000000"/>
          <w:kern w:val="2"/>
          <w:sz w:val="32"/>
          <w:szCs w:val="32"/>
        </w:rPr>
        <w:t>3.结转结余情况。</w:t>
      </w:r>
      <w:r>
        <w:rPr>
          <w:rFonts w:hint="default" w:ascii="Times New Roman" w:hAnsi="Times New Roman" w:eastAsia="方正仿宋_GBK"/>
          <w:color w:val="000000"/>
          <w:kern w:val="2"/>
          <w:sz w:val="32"/>
          <w:szCs w:val="32"/>
        </w:rPr>
        <w:t>2024年度年末一般公共预算财政拨款结转和结余0.00万元，与2023年度相比，无增减，主要原因是收支平衡</w:t>
      </w:r>
      <w:r>
        <w:rPr>
          <w:rFonts w:ascii="Times New Roman" w:hAnsi="Times New Roman" w:eastAsia="方正仿宋_GBK"/>
          <w:color w:val="000000"/>
          <w:kern w:val="2"/>
          <w:sz w:val="32"/>
          <w:szCs w:val="32"/>
        </w:rPr>
        <w:t>，无结转结余</w:t>
      </w:r>
      <w:r>
        <w:rPr>
          <w:rFonts w:hint="default" w:ascii="Times New Roman" w:hAnsi="Times New Roman" w:eastAsia="方正仿宋_GBK"/>
          <w:color w:val="000000"/>
          <w:kern w:val="2"/>
          <w:sz w:val="32"/>
          <w:szCs w:val="32"/>
        </w:rPr>
        <w:t>。</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b/>
          <w:color w:val="000000"/>
          <w:kern w:val="2"/>
          <w:sz w:val="32"/>
          <w:szCs w:val="32"/>
        </w:rPr>
        <w:t>4.比较情况。</w:t>
      </w:r>
      <w:r>
        <w:rPr>
          <w:rFonts w:hint="default" w:ascii="Times New Roman" w:hAnsi="Times New Roman" w:eastAsia="方正仿宋_GBK"/>
          <w:color w:val="000000"/>
          <w:kern w:val="2"/>
          <w:sz w:val="32"/>
          <w:szCs w:val="32"/>
        </w:rPr>
        <w:t>本单位2024年度一般公共预算财政拨款支出主要用于以下几个方面：</w:t>
      </w:r>
    </w:p>
    <w:p>
      <w:pPr>
        <w:widowControl w:val="0"/>
        <w:ind w:firstLine="640" w:firstLineChars="200"/>
        <w:jc w:val="both"/>
        <w:rPr>
          <w:rFonts w:hint="default"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w:t>
      </w:r>
      <w:r>
        <w:rPr>
          <w:rFonts w:hint="default" w:ascii="Times New Roman" w:hAnsi="Times New Roman" w:eastAsia="方正仿宋_GBK"/>
          <w:color w:val="000000"/>
          <w:kern w:val="2"/>
          <w:sz w:val="32"/>
          <w:szCs w:val="32"/>
        </w:rPr>
        <w:t>1）一般公共服务支出1850.19万元，占20.13%，较年初预算数减少1508.56万元，下降44.91%，主要原因是减少了对时文科技企业的补助支出。</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（2）公共安全支出13.82万元，占0.15%，较年初预算数增加13.82万元，增长100.00%，主要原因是增加了巡逻车支出和劝导站支出。</w:t>
      </w:r>
    </w:p>
    <w:p>
      <w:pPr>
        <w:widowControl w:val="0"/>
        <w:ind w:firstLine="640" w:firstLineChars="200"/>
        <w:jc w:val="both"/>
        <w:rPr>
          <w:rFonts w:hint="default"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w:t>
      </w:r>
      <w:r>
        <w:rPr>
          <w:rFonts w:hint="default" w:ascii="Times New Roman" w:hAnsi="Times New Roman" w:eastAsia="方正仿宋_GBK"/>
          <w:color w:val="000000"/>
          <w:kern w:val="2"/>
          <w:sz w:val="32"/>
          <w:szCs w:val="32"/>
        </w:rPr>
        <w:t>3）文化旅游体育与传媒支出2.83万元，占0.03%，较年初预算数增加1.53万元，增长117.69%，主要原因是增加了运动会支出和广场舞支出。</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（4）社会保障与就业支出388.92万元，占4.23%，较年初预算数增加172.79万元，增长79.95%，主要原因是增加了养老服务中心运行经费</w:t>
      </w:r>
      <w:r>
        <w:rPr>
          <w:rFonts w:ascii="Times New Roman" w:hAnsi="Times New Roman" w:eastAsia="方正仿宋_GBK"/>
          <w:color w:val="000000"/>
          <w:kern w:val="2"/>
          <w:sz w:val="32"/>
          <w:szCs w:val="32"/>
        </w:rPr>
        <w:t>支出</w:t>
      </w:r>
      <w:r>
        <w:rPr>
          <w:rFonts w:hint="default" w:ascii="Times New Roman" w:hAnsi="Times New Roman" w:eastAsia="方正仿宋_GBK"/>
          <w:color w:val="000000"/>
          <w:kern w:val="2"/>
          <w:sz w:val="32"/>
          <w:szCs w:val="32"/>
        </w:rPr>
        <w:t>。</w:t>
      </w:r>
    </w:p>
    <w:p>
      <w:pPr>
        <w:widowControl w:val="0"/>
        <w:ind w:firstLine="640" w:firstLineChars="200"/>
        <w:jc w:val="both"/>
        <w:rPr>
          <w:rFonts w:hint="default"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w:t>
      </w:r>
      <w:r>
        <w:rPr>
          <w:rFonts w:hint="default" w:ascii="Times New Roman" w:hAnsi="Times New Roman" w:eastAsia="方正仿宋_GBK"/>
          <w:color w:val="000000"/>
          <w:kern w:val="2"/>
          <w:sz w:val="32"/>
          <w:szCs w:val="32"/>
        </w:rPr>
        <w:t>5）卫生健康支出66.69万元，占0.73%，较年初预算数增加19.25万元，增长40.58%，主要原因是增加了基本医疗费支出和高德凤后遗症支出。</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（6）节能环保支出99.88万元，占1.09%，较年初预算数增加99.88万元，增长100.00%，主要原因是增加了烟熏腊肉综合治理示范项目支出和生态护</w:t>
      </w:r>
      <w:r>
        <w:rPr>
          <w:rFonts w:ascii="Times New Roman" w:hAnsi="Times New Roman" w:eastAsia="方正仿宋_GBK"/>
          <w:color w:val="000000"/>
          <w:kern w:val="2"/>
          <w:sz w:val="32"/>
          <w:szCs w:val="32"/>
        </w:rPr>
        <w:t>林</w:t>
      </w:r>
      <w:r>
        <w:rPr>
          <w:rFonts w:hint="default" w:ascii="Times New Roman" w:hAnsi="Times New Roman" w:eastAsia="方正仿宋_GBK"/>
          <w:color w:val="000000"/>
          <w:kern w:val="2"/>
          <w:sz w:val="32"/>
          <w:szCs w:val="32"/>
        </w:rPr>
        <w:t>员工资</w:t>
      </w:r>
      <w:r>
        <w:rPr>
          <w:rFonts w:ascii="Times New Roman" w:hAnsi="Times New Roman" w:eastAsia="方正仿宋_GBK"/>
          <w:color w:val="000000"/>
          <w:kern w:val="2"/>
          <w:sz w:val="32"/>
          <w:szCs w:val="32"/>
        </w:rPr>
        <w:t>支出</w:t>
      </w:r>
      <w:r>
        <w:rPr>
          <w:rFonts w:hint="default" w:ascii="Times New Roman" w:hAnsi="Times New Roman" w:eastAsia="方正仿宋_GBK"/>
          <w:color w:val="000000"/>
          <w:kern w:val="2"/>
          <w:sz w:val="32"/>
          <w:szCs w:val="32"/>
        </w:rPr>
        <w:t>。</w:t>
      </w:r>
    </w:p>
    <w:p>
      <w:pPr>
        <w:widowControl w:val="0"/>
        <w:ind w:firstLine="640" w:firstLineChars="200"/>
        <w:jc w:val="both"/>
        <w:rPr>
          <w:rFonts w:hint="default"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w:t>
      </w:r>
      <w:r>
        <w:rPr>
          <w:rFonts w:hint="default" w:ascii="Times New Roman" w:hAnsi="Times New Roman" w:eastAsia="方正仿宋_GBK"/>
          <w:color w:val="000000"/>
          <w:kern w:val="2"/>
          <w:sz w:val="32"/>
          <w:szCs w:val="32"/>
        </w:rPr>
        <w:t>7）城乡社区支出49.16万元，占0.53%，较年初预算数增加42.16万元，增长602.29%，主要原因是增加了三合社区春花二期安置房不动产登记增值税及附加印花税费支出。</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（8）农林水支出1479.33万元，占16.09%，较年初预算数增加341.15万元，增长29.97%，主要原因是增加了宇田花园段垮塌河堤应急抢险修复工程款支出。</w:t>
      </w:r>
    </w:p>
    <w:p>
      <w:pPr>
        <w:widowControl w:val="0"/>
        <w:ind w:firstLine="640" w:firstLineChars="200"/>
        <w:jc w:val="both"/>
        <w:rPr>
          <w:rFonts w:hint="default"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w:t>
      </w:r>
      <w:r>
        <w:rPr>
          <w:rFonts w:hint="default" w:ascii="Times New Roman" w:hAnsi="Times New Roman" w:eastAsia="方正仿宋_GBK"/>
          <w:color w:val="000000"/>
          <w:kern w:val="2"/>
          <w:sz w:val="32"/>
          <w:szCs w:val="32"/>
        </w:rPr>
        <w:t>9）交通运输支出465.11万元，占5.06%，较年初预算数增加298.98万元，增长179.97%，主要原因是增加了玉河社区农村公路路面硬化工程款和西山村公路硬化交通补助款</w:t>
      </w:r>
      <w:r>
        <w:rPr>
          <w:rFonts w:ascii="Times New Roman" w:hAnsi="Times New Roman" w:eastAsia="方正仿宋_GBK"/>
          <w:color w:val="000000"/>
          <w:kern w:val="2"/>
          <w:sz w:val="32"/>
          <w:szCs w:val="32"/>
        </w:rPr>
        <w:t>支出</w:t>
      </w:r>
      <w:r>
        <w:rPr>
          <w:rFonts w:hint="default" w:ascii="Times New Roman" w:hAnsi="Times New Roman" w:eastAsia="方正仿宋_GBK"/>
          <w:color w:val="000000"/>
          <w:kern w:val="2"/>
          <w:sz w:val="32"/>
          <w:szCs w:val="32"/>
        </w:rPr>
        <w:t>。</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（10）资源勘探信息等支出4610.77万元，占50.16%，较年初预算数增加4580.77万元，增长15269.23%，主要原因是增加了</w:t>
      </w:r>
      <w:r>
        <w:rPr>
          <w:rFonts w:ascii="Times New Roman" w:hAnsi="Times New Roman" w:eastAsia="方正仿宋_GBK"/>
          <w:color w:val="000000"/>
          <w:kern w:val="2"/>
          <w:sz w:val="32"/>
          <w:szCs w:val="32"/>
        </w:rPr>
        <w:t>对</w:t>
      </w:r>
      <w:r>
        <w:rPr>
          <w:rFonts w:hint="default" w:ascii="Times New Roman" w:hAnsi="Times New Roman" w:eastAsia="方正仿宋_GBK"/>
          <w:color w:val="000000"/>
          <w:kern w:val="2"/>
          <w:sz w:val="32"/>
          <w:szCs w:val="32"/>
        </w:rPr>
        <w:t>时文科技公司产</w:t>
      </w:r>
      <w:r>
        <w:rPr>
          <w:rFonts w:ascii="Times New Roman" w:hAnsi="Times New Roman" w:eastAsia="方正仿宋_GBK"/>
          <w:color w:val="000000"/>
          <w:kern w:val="2"/>
          <w:sz w:val="32"/>
          <w:szCs w:val="32"/>
        </w:rPr>
        <w:t>业</w:t>
      </w:r>
      <w:r>
        <w:rPr>
          <w:rFonts w:hint="default" w:ascii="Times New Roman" w:hAnsi="Times New Roman" w:eastAsia="方正仿宋_GBK"/>
          <w:color w:val="000000"/>
          <w:kern w:val="2"/>
          <w:sz w:val="32"/>
          <w:szCs w:val="32"/>
        </w:rPr>
        <w:t>发展奖励金</w:t>
      </w:r>
      <w:r>
        <w:rPr>
          <w:rFonts w:ascii="Times New Roman" w:hAnsi="Times New Roman" w:eastAsia="方正仿宋_GBK"/>
          <w:color w:val="000000"/>
          <w:kern w:val="2"/>
          <w:sz w:val="32"/>
          <w:szCs w:val="32"/>
        </w:rPr>
        <w:t>支出</w:t>
      </w:r>
      <w:r>
        <w:rPr>
          <w:rFonts w:hint="default" w:ascii="Times New Roman" w:hAnsi="Times New Roman" w:eastAsia="方正仿宋_GBK"/>
          <w:color w:val="000000"/>
          <w:kern w:val="2"/>
          <w:sz w:val="32"/>
          <w:szCs w:val="32"/>
        </w:rPr>
        <w:t>。</w:t>
      </w:r>
    </w:p>
    <w:p>
      <w:pPr>
        <w:widowControl w:val="0"/>
        <w:ind w:firstLine="640" w:firstLineChars="200"/>
        <w:jc w:val="both"/>
        <w:rPr>
          <w:rFonts w:hint="default"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w:t>
      </w:r>
      <w:r>
        <w:rPr>
          <w:rFonts w:hint="default" w:ascii="Times New Roman" w:hAnsi="Times New Roman" w:eastAsia="方正仿宋_GBK"/>
          <w:color w:val="000000"/>
          <w:kern w:val="2"/>
          <w:sz w:val="32"/>
          <w:szCs w:val="32"/>
        </w:rPr>
        <w:t>11）商业服务业等支出92.32万元，占1.00%，较年初预算数增加92.32万元，增长100.00%，主要原因是增加了202</w:t>
      </w:r>
      <w:r>
        <w:rPr>
          <w:rFonts w:ascii="Times New Roman" w:hAnsi="Times New Roman" w:eastAsia="方正仿宋_GBK"/>
          <w:color w:val="000000"/>
          <w:kern w:val="2"/>
          <w:sz w:val="32"/>
          <w:szCs w:val="32"/>
        </w:rPr>
        <w:t>2</w:t>
      </w:r>
      <w:r>
        <w:rPr>
          <w:rFonts w:hint="default" w:ascii="Times New Roman" w:hAnsi="Times New Roman" w:eastAsia="方正仿宋_GBK"/>
          <w:color w:val="000000"/>
          <w:kern w:val="2"/>
          <w:sz w:val="32"/>
          <w:szCs w:val="32"/>
        </w:rPr>
        <w:t>年限上商贸企业、个体及会计人员补助支出。</w:t>
      </w:r>
    </w:p>
    <w:p>
      <w:pPr>
        <w:widowControl w:val="0"/>
        <w:ind w:firstLine="640" w:firstLineChars="200"/>
        <w:jc w:val="both"/>
        <w:rPr>
          <w:rFonts w:hint="default"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w:t>
      </w:r>
      <w:r>
        <w:rPr>
          <w:rFonts w:hint="default" w:ascii="Times New Roman" w:hAnsi="Times New Roman" w:eastAsia="方正仿宋_GBK"/>
          <w:color w:val="000000"/>
          <w:kern w:val="2"/>
          <w:sz w:val="32"/>
          <w:szCs w:val="32"/>
        </w:rPr>
        <w:t>12）住房保障支出47.49万元，占0.52%，较年初预算数减少16.10万元，下降25.32%，主要原因是缴存基数有所调整。</w:t>
      </w:r>
    </w:p>
    <w:p>
      <w:pPr>
        <w:widowControl w:val="0"/>
        <w:ind w:firstLine="640" w:firstLineChars="200"/>
        <w:jc w:val="both"/>
        <w:rPr>
          <w:rFonts w:hint="default"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w:t>
      </w:r>
      <w:r>
        <w:rPr>
          <w:rFonts w:hint="default" w:ascii="Times New Roman" w:hAnsi="Times New Roman" w:eastAsia="方正仿宋_GBK"/>
          <w:color w:val="000000"/>
          <w:kern w:val="2"/>
          <w:sz w:val="32"/>
          <w:szCs w:val="32"/>
        </w:rPr>
        <w:t>13）灾害防治及应急管理支出24.90万元，占0.27%，较年初预算数增加23.90万元，增长2390.00%，主要原因是增加了2023-2024年冬春临时生活困难救助金。</w:t>
      </w:r>
    </w:p>
    <w:p>
      <w:pPr>
        <w:widowControl w:val="0"/>
        <w:ind w:firstLine="640" w:firstLineChars="200"/>
        <w:jc w:val="both"/>
        <w:rPr>
          <w:rFonts w:hint="default" w:ascii="方正楷体_GBK" w:hAnsi="Times New Roman" w:eastAsia="方正楷体_GBK"/>
          <w:color w:val="000000"/>
          <w:kern w:val="2"/>
          <w:sz w:val="32"/>
          <w:szCs w:val="32"/>
        </w:rPr>
      </w:pPr>
      <w:r>
        <w:rPr>
          <w:rFonts w:ascii="方正楷体_GBK" w:hAnsi="Times New Roman" w:eastAsia="方正楷体_GBK"/>
          <w:color w:val="000000"/>
          <w:kern w:val="2"/>
          <w:sz w:val="32"/>
          <w:szCs w:val="32"/>
        </w:rPr>
        <w:t>（四）一般公共预算财政拨款基本支出决算情况说明</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2024年度一般公共财政拨款基本支出2173.03万元。其中：人员经费1742.77万元，与2023年度相比，减少192.79万元，下降9.96%，主要原因是减少了工资福利支出。人员经费用途主要包括基本工资、津贴补贴、奖金、伙食补助费、绩效工资、机关事业单位基本养老保险缴费、职业年金缴费、职工基本医疗保险缴费、其他社会保障缴费、住房公积金、医疗费、其他工资福利支出、抚恤金、生活补助、医疗费补助、奖励金。公用经费430.26万元，与2023年度相比，减少82.78万元，下降16.14%，主要原因</w:t>
      </w:r>
      <w:r>
        <w:rPr>
          <w:rFonts w:ascii="Times New Roman" w:hAnsi="Times New Roman" w:eastAsia="方正仿宋_GBK"/>
          <w:color w:val="000000"/>
          <w:kern w:val="2"/>
          <w:sz w:val="32"/>
          <w:szCs w:val="32"/>
        </w:rPr>
        <w:t>是</w:t>
      </w:r>
      <w:r>
        <w:rPr>
          <w:rFonts w:hint="default" w:ascii="Times New Roman" w:hAnsi="Times New Roman" w:eastAsia="方正仿宋_GBK"/>
          <w:color w:val="000000"/>
          <w:kern w:val="2"/>
          <w:sz w:val="32"/>
          <w:szCs w:val="32"/>
        </w:rPr>
        <w:t>减少</w:t>
      </w:r>
      <w:r>
        <w:rPr>
          <w:rFonts w:ascii="Times New Roman" w:hAnsi="Times New Roman" w:eastAsia="方正仿宋_GBK"/>
          <w:color w:val="000000"/>
          <w:kern w:val="2"/>
          <w:sz w:val="32"/>
          <w:szCs w:val="32"/>
        </w:rPr>
        <w:t>了</w:t>
      </w:r>
      <w:r>
        <w:rPr>
          <w:rFonts w:hint="default" w:ascii="Times New Roman" w:hAnsi="Times New Roman" w:eastAsia="方正仿宋_GBK"/>
          <w:color w:val="000000"/>
          <w:kern w:val="2"/>
          <w:sz w:val="32"/>
          <w:szCs w:val="32"/>
        </w:rPr>
        <w:t>劳务费支</w:t>
      </w:r>
      <w:r>
        <w:rPr>
          <w:rFonts w:ascii="Times New Roman" w:hAnsi="Times New Roman" w:eastAsia="方正仿宋_GBK"/>
          <w:color w:val="000000"/>
          <w:kern w:val="2"/>
          <w:sz w:val="32"/>
          <w:szCs w:val="32"/>
        </w:rPr>
        <w:t>出。公用经费用途主要包括办公费、印刷费、咨询费、水费、电费、邮电费、物业管理费、差旅费、维修（护）费、租赁费、会议费、培训费、公务接待费、专用材料费、劳务费、工会经费、公务用车运行维护费、其他交通费、其他商品和服务支出。</w:t>
      </w:r>
    </w:p>
    <w:p>
      <w:pPr>
        <w:widowControl w:val="0"/>
        <w:ind w:firstLine="640" w:firstLineChars="200"/>
        <w:jc w:val="both"/>
        <w:rPr>
          <w:rFonts w:hint="default" w:ascii="方正楷体_GBK" w:hAnsi="Times New Roman" w:eastAsia="方正楷体_GBK"/>
          <w:color w:val="000000"/>
          <w:kern w:val="2"/>
          <w:sz w:val="32"/>
          <w:szCs w:val="32"/>
        </w:rPr>
      </w:pPr>
      <w:r>
        <w:rPr>
          <w:rFonts w:ascii="方正楷体_GBK" w:hAnsi="Times New Roman" w:eastAsia="方正楷体_GBK"/>
          <w:color w:val="000000"/>
          <w:kern w:val="2"/>
          <w:sz w:val="32"/>
          <w:szCs w:val="32"/>
        </w:rPr>
        <w:t>（五）政府性基金预算收支决算情况说明</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2024年度政府性基金预算财政拨款年初结转结余0.00万元，年末结转结余0.00万元。本年收入158.26万元，与2023年度相比，增加100.25万元，增长172.82%，主要原因增加了三合社区春花二期安置房不动产登记增值税及附加印花税费支出。本年支出158.26万元，与2023年度相比，增加100.25万元，增长172.82%，主要原因是增加了三合社区春花二期安置房不动产登记增值税及附加印花税费支出。</w:t>
      </w:r>
    </w:p>
    <w:p>
      <w:pPr>
        <w:widowControl w:val="0"/>
        <w:ind w:firstLine="640" w:firstLineChars="200"/>
        <w:jc w:val="both"/>
        <w:rPr>
          <w:rFonts w:hint="default" w:ascii="方正楷体_GBK" w:hAnsi="Times New Roman" w:eastAsia="方正楷体_GBK"/>
          <w:color w:val="000000"/>
          <w:kern w:val="2"/>
          <w:sz w:val="32"/>
          <w:szCs w:val="32"/>
        </w:rPr>
      </w:pPr>
      <w:r>
        <w:rPr>
          <w:rFonts w:ascii="方正楷体_GBK" w:hAnsi="Times New Roman" w:eastAsia="方正楷体_GBK"/>
          <w:color w:val="000000"/>
          <w:kern w:val="2"/>
          <w:sz w:val="32"/>
          <w:szCs w:val="32"/>
        </w:rPr>
        <w:t>（六）国有资本经营预算财政拨款支出决算情况说明</w:t>
      </w:r>
    </w:p>
    <w:p>
      <w:pPr>
        <w:widowControl w:val="0"/>
        <w:ind w:firstLine="640" w:firstLineChars="200"/>
        <w:jc w:val="both"/>
        <w:rPr>
          <w:rFonts w:hint="default" w:ascii="Times New Roman" w:hAnsi="Times New Roman" w:eastAsia="方正仿宋_GBK"/>
          <w:color w:val="000000"/>
          <w:kern w:val="2"/>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widowControl w:val="0"/>
        <w:ind w:firstLine="640" w:firstLineChars="200"/>
        <w:jc w:val="both"/>
        <w:rPr>
          <w:rFonts w:hint="default" w:ascii="方正黑体_GBK" w:hAnsi="Times New Roman" w:eastAsia="方正黑体_GBK"/>
          <w:color w:val="000000"/>
          <w:kern w:val="2"/>
          <w:sz w:val="32"/>
          <w:szCs w:val="32"/>
        </w:rPr>
      </w:pPr>
      <w:r>
        <w:rPr>
          <w:rStyle w:val="11"/>
          <w:rFonts w:ascii="黑体" w:hAnsi="黑体" w:eastAsia="黑体" w:cs="黑体"/>
          <w:sz w:val="32"/>
          <w:szCs w:val="32"/>
          <w:shd w:val="clear" w:color="auto" w:fill="FFFFFF"/>
        </w:rPr>
        <w:t>三、财政拨款“三公”经费情况说明</w:t>
      </w:r>
    </w:p>
    <w:p>
      <w:pPr>
        <w:widowControl w:val="0"/>
        <w:ind w:firstLine="640" w:firstLineChars="200"/>
        <w:jc w:val="both"/>
        <w:rPr>
          <w:rFonts w:hint="default" w:ascii="方正楷体_GBK" w:hAnsi="Times New Roman" w:eastAsia="方正楷体_GBK"/>
          <w:color w:val="000000"/>
          <w:kern w:val="2"/>
          <w:sz w:val="32"/>
          <w:szCs w:val="32"/>
        </w:rPr>
      </w:pPr>
      <w:r>
        <w:rPr>
          <w:rFonts w:hint="default" w:ascii="方正楷体_GBK" w:hAnsi="Times New Roman" w:eastAsia="方正楷体_GBK"/>
          <w:color w:val="000000"/>
          <w:kern w:val="2"/>
          <w:sz w:val="32"/>
          <w:szCs w:val="32"/>
        </w:rPr>
        <w:t>（一）“三公”经费支出总体情况说明</w:t>
      </w:r>
    </w:p>
    <w:p>
      <w:pPr>
        <w:ind w:firstLine="640" w:firstLineChars="200"/>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2024年度“三公”经费支出共计18.49万元，较年初预算数增加14.49万元，增长362.25%，主要原因一是</w:t>
      </w:r>
      <w:r>
        <w:rPr>
          <w:rFonts w:hint="default" w:ascii="方正仿宋_GBK" w:hAnsi="方正仿宋_GBK" w:eastAsia="方正仿宋_GBK" w:cs="方正仿宋_GBK"/>
          <w:sz w:val="32"/>
          <w:szCs w:val="32"/>
          <w:shd w:val="clear" w:color="auto" w:fill="FFFFFF"/>
        </w:rPr>
        <w:t>本年度森林防火持续时间长，公务用车主要用于</w:t>
      </w:r>
      <w:r>
        <w:rPr>
          <w:rFonts w:hint="eastAsia" w:ascii="方正仿宋_GBK" w:hAnsi="方正仿宋_GBK" w:eastAsia="方正仿宋_GBK" w:cs="方正仿宋_GBK"/>
          <w:sz w:val="32"/>
          <w:szCs w:val="32"/>
          <w:shd w:val="clear" w:color="auto" w:fill="FFFFFF"/>
          <w:lang w:eastAsia="zh-CN"/>
        </w:rPr>
        <w:t>森林防火</w:t>
      </w:r>
      <w:r>
        <w:rPr>
          <w:rFonts w:hint="default" w:ascii="方正仿宋_GBK" w:hAnsi="方正仿宋_GBK" w:eastAsia="方正仿宋_GBK" w:cs="方正仿宋_GBK"/>
          <w:sz w:val="32"/>
          <w:szCs w:val="32"/>
          <w:shd w:val="clear" w:color="auto" w:fill="FFFFFF"/>
        </w:rPr>
        <w:t>、治安巡逻、安全检查、信访维稳等多项工作，公务车运行维护费较年初预算数增加。二是本年度加大招商引资力度，公务接待费较年初预算数增加。</w:t>
      </w:r>
      <w:r>
        <w:rPr>
          <w:rFonts w:hint="default" w:ascii="Times New Roman" w:hAnsi="Times New Roman" w:eastAsia="方正仿宋_GBK"/>
          <w:color w:val="000000"/>
          <w:kern w:val="2"/>
          <w:sz w:val="32"/>
          <w:szCs w:val="32"/>
        </w:rPr>
        <w:t>较上年支出数减少0.26万元，下降1.39%，主要原因一是认真贯彻落实中央八项规定精神，按照只减不增的要求从严控制“三公”经费，全年实际支出较上年有所下降。二是严格落实公车使用规定，公车运行维护成本下降。三是强化公务接待支出管理，严格遵守公务接待开支范围和开支标准，严格控制陪餐人数，对应由接待对象承担的费用一律由接待对象自行支付，公务接待费下降。四是进一步规范因公出国（境）活动，今年</w:t>
      </w:r>
      <w:r>
        <w:rPr>
          <w:rFonts w:ascii="Times New Roman" w:hAnsi="Times New Roman" w:eastAsia="方正仿宋_GBK"/>
          <w:color w:val="000000"/>
          <w:kern w:val="2"/>
          <w:sz w:val="32"/>
          <w:szCs w:val="32"/>
        </w:rPr>
        <w:t>未安排人员出国出访。</w:t>
      </w:r>
    </w:p>
    <w:p>
      <w:pPr>
        <w:widowControl w:val="0"/>
        <w:ind w:firstLine="640" w:firstLineChars="200"/>
        <w:jc w:val="both"/>
        <w:rPr>
          <w:rFonts w:hint="default" w:ascii="方正楷体_GBK" w:hAnsi="Times New Roman" w:eastAsia="方正楷体_GBK"/>
          <w:color w:val="000000"/>
          <w:kern w:val="2"/>
          <w:sz w:val="32"/>
          <w:szCs w:val="32"/>
        </w:rPr>
      </w:pPr>
      <w:r>
        <w:rPr>
          <w:rFonts w:ascii="方正楷体_GBK" w:hAnsi="Times New Roman" w:eastAsia="方正楷体_GBK"/>
          <w:color w:val="000000"/>
          <w:kern w:val="2"/>
          <w:sz w:val="32"/>
          <w:szCs w:val="32"/>
        </w:rPr>
        <w:t>（二）“三公”经费分项支出情况</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2024年度</w:t>
      </w:r>
      <w:r>
        <w:rPr>
          <w:rFonts w:ascii="Times New Roman" w:hAnsi="Times New Roman" w:eastAsia="方正仿宋_GBK"/>
          <w:color w:val="000000"/>
          <w:kern w:val="2"/>
          <w:sz w:val="32"/>
          <w:szCs w:val="32"/>
        </w:rPr>
        <w:t>本单位</w:t>
      </w:r>
      <w:r>
        <w:rPr>
          <w:rFonts w:hint="default" w:ascii="Times New Roman" w:hAnsi="Times New Roman" w:eastAsia="方正仿宋_GBK"/>
          <w:color w:val="000000"/>
          <w:kern w:val="2"/>
          <w:sz w:val="32"/>
          <w:szCs w:val="32"/>
        </w:rPr>
        <w:t>因公出国（境）费用0万元，</w:t>
      </w:r>
      <w:r>
        <w:rPr>
          <w:rFonts w:ascii="Times New Roman" w:hAnsi="Times New Roman" w:eastAsia="方正仿宋_GBK"/>
          <w:color w:val="000000"/>
          <w:kern w:val="2"/>
          <w:sz w:val="32"/>
          <w:szCs w:val="32"/>
        </w:rPr>
        <w:t>主要用于因公出国（境）支出。</w:t>
      </w:r>
      <w:r>
        <w:rPr>
          <w:rFonts w:hint="default" w:ascii="Times New Roman" w:hAnsi="Times New Roman" w:eastAsia="方正仿宋_GBK"/>
          <w:color w:val="000000"/>
          <w:kern w:val="2"/>
          <w:sz w:val="32"/>
          <w:szCs w:val="32"/>
        </w:rPr>
        <w:t>费用支出较年初预算数</w:t>
      </w:r>
      <w:r>
        <w:rPr>
          <w:rFonts w:ascii="Times New Roman" w:hAnsi="Times New Roman" w:eastAsia="方正仿宋_GBK"/>
          <w:color w:val="000000"/>
          <w:kern w:val="2"/>
          <w:sz w:val="32"/>
          <w:szCs w:val="32"/>
        </w:rPr>
        <w:t>无增减</w:t>
      </w:r>
      <w:r>
        <w:rPr>
          <w:rFonts w:hint="default" w:ascii="Times New Roman" w:hAnsi="Times New Roman" w:eastAsia="方正仿宋_GBK"/>
          <w:color w:val="000000"/>
          <w:kern w:val="2"/>
          <w:sz w:val="32"/>
          <w:szCs w:val="32"/>
        </w:rPr>
        <w:t>，主要原因是年初预算数未安排因公出国（境）费用，也未发生因公出国（境）费用。较上年支出数无增减，主要原因是今年未安排人员出国</w:t>
      </w:r>
      <w:r>
        <w:rPr>
          <w:rFonts w:ascii="Times New Roman" w:hAnsi="Times New Roman" w:eastAsia="方正仿宋_GBK"/>
          <w:color w:val="000000"/>
          <w:kern w:val="2"/>
          <w:sz w:val="32"/>
          <w:szCs w:val="32"/>
        </w:rPr>
        <w:t>（境）</w:t>
      </w:r>
      <w:r>
        <w:rPr>
          <w:rFonts w:hint="default" w:ascii="Times New Roman" w:hAnsi="Times New Roman" w:eastAsia="方正仿宋_GBK"/>
          <w:color w:val="000000"/>
          <w:kern w:val="2"/>
          <w:sz w:val="32"/>
          <w:szCs w:val="32"/>
        </w:rPr>
        <w:t>出访。</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公务车购置费0万元，主要用于车辆购置。</w:t>
      </w:r>
      <w:r>
        <w:rPr>
          <w:rFonts w:ascii="方正仿宋_GBK" w:hAnsi="方正仿宋_GBK" w:eastAsia="方正仿宋_GBK" w:cs="方正仿宋_GBK"/>
          <w:sz w:val="32"/>
          <w:szCs w:val="32"/>
          <w:shd w:val="clear" w:color="auto" w:fill="FFFFFF"/>
        </w:rPr>
        <w:t>费用支出较年初预算数无增减，</w:t>
      </w:r>
      <w:r>
        <w:rPr>
          <w:rFonts w:hint="default" w:ascii="Times New Roman" w:hAnsi="Times New Roman" w:eastAsia="方正仿宋_GBK"/>
          <w:color w:val="000000"/>
          <w:kern w:val="2"/>
          <w:sz w:val="32"/>
          <w:szCs w:val="32"/>
        </w:rPr>
        <w:t>主要原因是年初预算数未安排公务车购置费用。较上年支出数无增减，主要原因是今年未安排公务车购置费。</w:t>
      </w:r>
    </w:p>
    <w:p>
      <w:pPr>
        <w:ind w:firstLine="640" w:firstLineChars="200"/>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公务车运行维护费13.25万元，主要用于工作所需车辆的燃料费、维修费、过桥过路费、保险费、洗车费等。费用支出较年初预算数增加11.75万元，增长783.33%，主要原因一是</w:t>
      </w:r>
      <w:r>
        <w:rPr>
          <w:rFonts w:hint="default" w:ascii="方正仿宋_GBK" w:hAnsi="方正仿宋_GBK" w:eastAsia="方正仿宋_GBK" w:cs="方正仿宋_GBK"/>
          <w:sz w:val="32"/>
          <w:szCs w:val="32"/>
          <w:shd w:val="clear" w:color="auto" w:fill="FFFFFF"/>
        </w:rPr>
        <w:t>本年度森林防火持续时间长，公务用车主要用于</w:t>
      </w:r>
      <w:r>
        <w:rPr>
          <w:rFonts w:hint="eastAsia" w:ascii="方正仿宋_GBK" w:hAnsi="方正仿宋_GBK" w:eastAsia="方正仿宋_GBK" w:cs="方正仿宋_GBK"/>
          <w:sz w:val="32"/>
          <w:szCs w:val="32"/>
          <w:shd w:val="clear" w:color="auto" w:fill="FFFFFF"/>
          <w:lang w:eastAsia="zh-CN"/>
        </w:rPr>
        <w:t>森林防火</w:t>
      </w:r>
      <w:r>
        <w:rPr>
          <w:rFonts w:hint="default" w:ascii="方正仿宋_GBK" w:hAnsi="方正仿宋_GBK" w:eastAsia="方正仿宋_GBK" w:cs="方正仿宋_GBK"/>
          <w:sz w:val="32"/>
          <w:szCs w:val="32"/>
          <w:shd w:val="clear" w:color="auto" w:fill="FFFFFF"/>
        </w:rPr>
        <w:t>、治安巡逻、安全检查、信访维稳等多项工作，公务车运行维护费较年初预算数增加。</w:t>
      </w:r>
      <w:r>
        <w:rPr>
          <w:rFonts w:hint="default" w:ascii="Times New Roman" w:hAnsi="Times New Roman" w:eastAsia="方正仿宋_GBK"/>
          <w:color w:val="000000"/>
          <w:kern w:val="2"/>
          <w:sz w:val="32"/>
          <w:szCs w:val="32"/>
        </w:rPr>
        <w:t>较上年支出数减少0.13万元，下降0.97%，主要原因是实行公车改革，减少了公务用车运行维护费。</w:t>
      </w:r>
    </w:p>
    <w:p>
      <w:pPr>
        <w:ind w:firstLine="640" w:firstLineChars="200"/>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公务接待费5.25万元，主要用于接待相关部门检查指导工作及招商引资发生的接待支出。费用支出较年初预算数增加2.75万元，增长110.00%，</w:t>
      </w:r>
      <w:r>
        <w:rPr>
          <w:rFonts w:hint="default" w:ascii="方正仿宋_GBK" w:hAnsi="方正仿宋_GBK" w:eastAsia="方正仿宋_GBK" w:cs="方正仿宋_GBK"/>
          <w:sz w:val="32"/>
          <w:szCs w:val="32"/>
          <w:shd w:val="clear" w:color="auto" w:fill="FFFFFF"/>
        </w:rPr>
        <w:t>本年度加大招商引资力度，公务接待费较年初预算数增加。</w:t>
      </w:r>
      <w:r>
        <w:rPr>
          <w:rFonts w:hint="default" w:ascii="Times New Roman" w:hAnsi="Times New Roman" w:eastAsia="方正仿宋_GBK"/>
          <w:color w:val="000000"/>
          <w:kern w:val="2"/>
          <w:sz w:val="32"/>
          <w:szCs w:val="32"/>
        </w:rPr>
        <w:t>较上年支出数减少0.12万元，下降2.23%，</w:t>
      </w:r>
      <w:r>
        <w:rPr>
          <w:rFonts w:ascii="Times New Roman" w:hAnsi="Times New Roman" w:eastAsia="方正仿宋_GBK"/>
          <w:color w:val="000000"/>
          <w:kern w:val="2"/>
          <w:sz w:val="32"/>
          <w:szCs w:val="32"/>
        </w:rPr>
        <w:t>主要原因是</w:t>
      </w:r>
      <w:r>
        <w:rPr>
          <w:rFonts w:hint="default" w:ascii="Times New Roman" w:hAnsi="Times New Roman" w:eastAsia="方正仿宋_GBK"/>
          <w:color w:val="000000"/>
          <w:kern w:val="2"/>
          <w:sz w:val="32"/>
          <w:szCs w:val="32"/>
        </w:rPr>
        <w:t>规范接待制度严格控制接待费用。</w:t>
      </w:r>
    </w:p>
    <w:p>
      <w:pPr>
        <w:widowControl w:val="0"/>
        <w:ind w:firstLine="640" w:firstLineChars="200"/>
        <w:jc w:val="both"/>
        <w:rPr>
          <w:rFonts w:hint="default" w:ascii="方正楷体_GBK" w:hAnsi="Times New Roman" w:eastAsia="方正楷体_GBK"/>
          <w:color w:val="000000"/>
          <w:kern w:val="2"/>
          <w:sz w:val="32"/>
          <w:szCs w:val="32"/>
        </w:rPr>
      </w:pPr>
      <w:r>
        <w:rPr>
          <w:rFonts w:ascii="方正楷体_GBK" w:hAnsi="Times New Roman" w:eastAsia="方正楷体_GBK"/>
          <w:color w:val="000000"/>
          <w:kern w:val="2"/>
          <w:sz w:val="32"/>
          <w:szCs w:val="32"/>
        </w:rPr>
        <w:t>（三）“三公”经费实物量情况</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2024年度本单位因公出国（境）共计0个团组，0人；公务用车购置0辆，公务车保有量为2辆；国内公务接待138批次832人，其中：国内外事接待0批次，0人；国（境）外公务接待0批次，0人。2024年本单位人均接待费63.08元，车均购置费0万元，车均维护费6.62万元。</w:t>
      </w:r>
    </w:p>
    <w:p>
      <w:pPr>
        <w:widowControl w:val="0"/>
        <w:ind w:firstLine="640" w:firstLineChars="200"/>
        <w:jc w:val="both"/>
        <w:rPr>
          <w:rFonts w:hint="default" w:ascii="方正黑体_GBK" w:hAnsi="Times New Roman" w:eastAsia="方正黑体_GBK"/>
          <w:color w:val="000000"/>
          <w:kern w:val="2"/>
          <w:sz w:val="32"/>
          <w:szCs w:val="32"/>
        </w:rPr>
      </w:pPr>
      <w:r>
        <w:rPr>
          <w:rFonts w:ascii="方正黑体_GBK" w:hAnsi="Times New Roman" w:eastAsia="方正黑体_GBK"/>
          <w:color w:val="000000"/>
          <w:kern w:val="2"/>
          <w:sz w:val="32"/>
          <w:szCs w:val="32"/>
        </w:rPr>
        <w:t>四、其他需要说明的事项</w:t>
      </w:r>
    </w:p>
    <w:p>
      <w:pPr>
        <w:widowControl w:val="0"/>
        <w:ind w:firstLine="640" w:firstLineChars="200"/>
        <w:jc w:val="both"/>
        <w:rPr>
          <w:rFonts w:hint="default" w:ascii="方正楷体_GBK" w:hAnsi="Times New Roman" w:eastAsia="方正楷体_GBK"/>
          <w:color w:val="000000"/>
          <w:kern w:val="2"/>
          <w:sz w:val="32"/>
          <w:szCs w:val="32"/>
        </w:rPr>
      </w:pPr>
      <w:r>
        <w:rPr>
          <w:rFonts w:hint="default" w:ascii="方正楷体_GBK" w:hAnsi="Times New Roman" w:eastAsia="方正楷体_GBK"/>
          <w:color w:val="000000"/>
          <w:kern w:val="2"/>
          <w:sz w:val="32"/>
          <w:szCs w:val="32"/>
        </w:rPr>
        <w:t>（一）财政拨款会议费和培训费情况说明</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本年度会议费支出1.38万元，与2023年度相比，增加0.64万元，增长86.49%，主要原因是增加第一届议事代表第三次会议人大代表，议事会议支出。本年度培训费支出2.57万元，与2023年度相比，减少0.43万元，下降14.33%，主要原因是推行了视频会议。</w:t>
      </w:r>
    </w:p>
    <w:p>
      <w:pPr>
        <w:widowControl w:val="0"/>
        <w:ind w:firstLine="640" w:firstLineChars="200"/>
        <w:jc w:val="both"/>
        <w:rPr>
          <w:rFonts w:hint="default" w:ascii="方正楷体_GBK" w:hAnsi="Times New Roman" w:eastAsia="方正楷体_GBK"/>
          <w:color w:val="000000"/>
          <w:kern w:val="2"/>
          <w:sz w:val="32"/>
          <w:szCs w:val="32"/>
        </w:rPr>
      </w:pPr>
      <w:r>
        <w:rPr>
          <w:rFonts w:ascii="方正楷体_GBK" w:hAnsi="Times New Roman" w:eastAsia="方正楷体_GBK"/>
          <w:color w:val="000000"/>
          <w:kern w:val="2"/>
          <w:sz w:val="32"/>
          <w:szCs w:val="32"/>
        </w:rPr>
        <w:t>（二）机关运行经费情况说明</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2024年度本单位机关运行经费支出430.26万元，机关运行经费主要用于开支办公费、邮电费、公务车运行维护费、信息网络购置更新费、维修费、水费、电费、劳务费等。机关运行经费较上年支出数减少82.78万元，下降16.14%，主要原因是减少了机关劳务费</w:t>
      </w:r>
      <w:r>
        <w:rPr>
          <w:rFonts w:ascii="Times New Roman" w:hAnsi="Times New Roman" w:eastAsia="方正仿宋_GBK"/>
          <w:color w:val="000000"/>
          <w:kern w:val="2"/>
          <w:sz w:val="32"/>
          <w:szCs w:val="32"/>
        </w:rPr>
        <w:t>支出</w:t>
      </w:r>
      <w:r>
        <w:rPr>
          <w:rFonts w:hint="default" w:ascii="Times New Roman" w:hAnsi="Times New Roman" w:eastAsia="方正仿宋_GBK"/>
          <w:color w:val="000000"/>
          <w:kern w:val="2"/>
          <w:sz w:val="32"/>
          <w:szCs w:val="32"/>
        </w:rPr>
        <w:t>。</w:t>
      </w:r>
    </w:p>
    <w:p>
      <w:pPr>
        <w:widowControl w:val="0"/>
        <w:ind w:firstLine="640" w:firstLineChars="200"/>
        <w:jc w:val="both"/>
        <w:rPr>
          <w:rFonts w:hint="default" w:ascii="方正楷体_GBK" w:hAnsi="Times New Roman" w:eastAsia="方正楷体_GBK"/>
          <w:color w:val="000000"/>
          <w:kern w:val="2"/>
          <w:sz w:val="32"/>
          <w:szCs w:val="32"/>
        </w:rPr>
      </w:pPr>
      <w:r>
        <w:rPr>
          <w:rFonts w:ascii="方正楷体_GBK" w:hAnsi="Times New Roman" w:eastAsia="方正楷体_GBK"/>
          <w:color w:val="000000"/>
          <w:kern w:val="2"/>
          <w:sz w:val="32"/>
          <w:szCs w:val="32"/>
        </w:rPr>
        <w:t>（三）国有资产占用情况说明</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截至2024年12月31日，本单位共有车辆2辆，其中，副部（省）级及以上领导用车0辆、主要负责人用车0辆、机要通信用车1辆、应急保障用车1辆、执法执勤用车0辆，特种专业技术用车0辆，离退休干部用车0辆。单价100万元（含）以上专用设备0台（套）。</w:t>
      </w:r>
    </w:p>
    <w:p>
      <w:pPr>
        <w:widowControl w:val="0"/>
        <w:ind w:firstLine="640" w:firstLineChars="200"/>
        <w:jc w:val="both"/>
        <w:rPr>
          <w:rFonts w:hint="default" w:ascii="方正楷体_GBK" w:hAnsi="Times New Roman" w:eastAsia="方正楷体_GBK"/>
          <w:color w:val="000000"/>
          <w:kern w:val="2"/>
          <w:sz w:val="32"/>
          <w:szCs w:val="32"/>
        </w:rPr>
      </w:pPr>
      <w:r>
        <w:rPr>
          <w:rFonts w:ascii="方正楷体_GBK" w:hAnsi="Times New Roman" w:eastAsia="方正楷体_GBK"/>
          <w:color w:val="000000"/>
          <w:kern w:val="2"/>
          <w:sz w:val="32"/>
          <w:szCs w:val="32"/>
        </w:rPr>
        <w:t>（四）政府采购支出情况说明</w:t>
      </w:r>
    </w:p>
    <w:p>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2024年度本单位政府采购支出总额2.33万元，其中：政府采购货物支出2.33万元、政府采购工程支出0.00万元、政府采购服务支出0.00万元。授予中小企业合同金额2.33万元，占政府采购支出总额的100.00%，其中：授予小微企业合同金额2.33万元，占政府采购支出总额的100.00 %。主要用于采购办公电脑。</w:t>
      </w:r>
    </w:p>
    <w:p>
      <w:pPr>
        <w:widowControl w:val="0"/>
        <w:ind w:firstLine="640" w:firstLineChars="200"/>
        <w:jc w:val="both"/>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五、2024年度预算绩效管理情况说明</w:t>
      </w:r>
    </w:p>
    <w:p>
      <w:pPr>
        <w:rPr>
          <w:rStyle w:val="11"/>
          <w:rFonts w:hint="default" w:ascii="黑体" w:hAnsi="黑体" w:eastAsia="黑体" w:cs="黑体"/>
          <w:sz w:val="32"/>
          <w:szCs w:val="32"/>
          <w:shd w:val="clear" w:color="auto" w:fill="FFFFFF"/>
        </w:rPr>
      </w:pPr>
      <w:r>
        <w:rPr>
          <w:rFonts w:hint="default" w:ascii="方正仿宋_GBK" w:hAnsi="方正仿宋_GBK" w:eastAsia="方正仿宋_GBK" w:cs="方正仿宋_GBK"/>
          <w:sz w:val="32"/>
          <w:szCs w:val="32"/>
          <w:shd w:val="clear" w:color="auto" w:fill="FFFFFF"/>
        </w:rPr>
        <w:t xml:space="preserve">    根据预算绩效管理要求，我单位对83个二级项目开展了绩效自评，涉及财政拨款项目支出资金7186.82万元；本报告中主要列举以下3个二级项目：村社区办公经费、服务群众专项、老党员生活补贴。</w:t>
      </w:r>
    </w:p>
    <w:p>
      <w:pPr>
        <w:widowControl w:val="0"/>
        <w:jc w:val="both"/>
        <w:rPr>
          <w:rFonts w:hint="default" w:cs="宋体"/>
          <w:color w:val="000000"/>
          <w:kern w:val="2"/>
        </w:rPr>
      </w:pPr>
      <w:r>
        <w:rPr>
          <w:rFonts w:cs="宋体"/>
          <w:color w:val="000000"/>
          <w:kern w:val="2"/>
        </w:rPr>
        <w:t xml:space="preserve">    </w:t>
      </w:r>
    </w:p>
    <w:tbl>
      <w:tblPr>
        <w:tblStyle w:val="8"/>
        <w:tblW w:w="94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92"/>
        <w:gridCol w:w="888"/>
        <w:gridCol w:w="864"/>
        <w:gridCol w:w="1555"/>
        <w:gridCol w:w="801"/>
        <w:gridCol w:w="802"/>
        <w:gridCol w:w="527"/>
        <w:gridCol w:w="703"/>
        <w:gridCol w:w="519"/>
        <w:gridCol w:w="525"/>
        <w:gridCol w:w="14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2" w:hRule="atLeast"/>
          <w:jc w:val="center"/>
        </w:trPr>
        <w:tc>
          <w:tcPr>
            <w:tcW w:w="9420" w:type="dxa"/>
            <w:gridSpan w:val="11"/>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0" w:hRule="atLeast"/>
          <w:jc w:val="center"/>
        </w:trPr>
        <w:tc>
          <w:tcPr>
            <w:tcW w:w="9420" w:type="dxa"/>
            <w:gridSpan w:val="11"/>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b/>
                <w:color w:val="000000"/>
                <w:sz w:val="22"/>
                <w:szCs w:val="22"/>
              </w:rPr>
            </w:pPr>
            <w:r>
              <w:rPr>
                <w:rFonts w:cs="宋体"/>
                <w:b/>
                <w:color w:val="000000"/>
                <w:sz w:val="22"/>
                <w:szCs w:val="22"/>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9"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22"/>
                <w:szCs w:val="22"/>
              </w:rPr>
            </w:pPr>
            <w:r>
              <w:rPr>
                <w:rFonts w:cs="宋体"/>
                <w:b/>
                <w:color w:val="000000"/>
                <w:sz w:val="22"/>
                <w:szCs w:val="22"/>
              </w:rPr>
              <w:t>项目名称：</w:t>
            </w:r>
          </w:p>
        </w:tc>
        <w:tc>
          <w:tcPr>
            <w:tcW w:w="1752"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村社区办公经费</w:t>
            </w:r>
          </w:p>
        </w:tc>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22"/>
                <w:szCs w:val="22"/>
              </w:rPr>
            </w:pPr>
            <w:r>
              <w:rPr>
                <w:rFonts w:cs="宋体"/>
                <w:b/>
                <w:color w:val="000000"/>
                <w:sz w:val="22"/>
                <w:szCs w:val="22"/>
              </w:rPr>
              <w:t>项目编码：</w:t>
            </w:r>
          </w:p>
        </w:tc>
        <w:tc>
          <w:tcPr>
            <w:tcW w:w="1603"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50023123T000003060185</w:t>
            </w:r>
          </w:p>
        </w:tc>
        <w:tc>
          <w:tcPr>
            <w:tcW w:w="527"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22"/>
                <w:szCs w:val="22"/>
              </w:rPr>
            </w:pPr>
            <w:r>
              <w:rPr>
                <w:rFonts w:cs="宋体"/>
                <w:b/>
                <w:color w:val="000000"/>
                <w:sz w:val="22"/>
                <w:szCs w:val="22"/>
              </w:rPr>
              <w:t>自评总分：</w:t>
            </w:r>
          </w:p>
        </w:tc>
        <w:tc>
          <w:tcPr>
            <w:tcW w:w="1222"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98.00</w:t>
            </w:r>
          </w:p>
        </w:tc>
        <w:tc>
          <w:tcPr>
            <w:tcW w:w="52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cs="宋体"/>
                <w:b/>
                <w:color w:val="000000"/>
                <w:sz w:val="22"/>
                <w:szCs w:val="22"/>
              </w:rPr>
            </w:pPr>
          </w:p>
        </w:tc>
        <w:tc>
          <w:tcPr>
            <w:tcW w:w="1444"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22"/>
                <w:szCs w:val="22"/>
              </w:rPr>
            </w:pPr>
            <w:r>
              <w:rPr>
                <w:rFonts w:cs="宋体"/>
                <w:b/>
                <w:color w:val="000000"/>
                <w:sz w:val="22"/>
                <w:szCs w:val="22"/>
              </w:rPr>
              <w:t>项目主管部门：</w:t>
            </w:r>
          </w:p>
        </w:tc>
        <w:tc>
          <w:tcPr>
            <w:tcW w:w="1752"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701-垫江县人民政府桂溪街道办事处</w:t>
            </w:r>
          </w:p>
        </w:tc>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22"/>
                <w:szCs w:val="22"/>
              </w:rPr>
            </w:pPr>
            <w:r>
              <w:rPr>
                <w:rFonts w:cs="宋体"/>
                <w:b/>
                <w:color w:val="000000"/>
                <w:sz w:val="22"/>
                <w:szCs w:val="22"/>
              </w:rPr>
              <w:t>财政归口处室：</w:t>
            </w:r>
          </w:p>
        </w:tc>
        <w:tc>
          <w:tcPr>
            <w:tcW w:w="1603"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014-会计管理核算中心</w:t>
            </w:r>
          </w:p>
        </w:tc>
        <w:tc>
          <w:tcPr>
            <w:tcW w:w="527"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22"/>
                <w:szCs w:val="22"/>
              </w:rPr>
            </w:pPr>
            <w:r>
              <w:rPr>
                <w:rFonts w:cs="宋体"/>
                <w:b/>
                <w:color w:val="000000"/>
                <w:sz w:val="22"/>
                <w:szCs w:val="22"/>
              </w:rPr>
              <w:t>部门联系人：</w:t>
            </w:r>
          </w:p>
        </w:tc>
        <w:tc>
          <w:tcPr>
            <w:tcW w:w="1222"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舒老师</w:t>
            </w:r>
          </w:p>
        </w:tc>
        <w:tc>
          <w:tcPr>
            <w:tcW w:w="52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22"/>
                <w:szCs w:val="22"/>
              </w:rPr>
            </w:pPr>
            <w:r>
              <w:rPr>
                <w:rFonts w:cs="宋体"/>
                <w:b/>
                <w:color w:val="000000"/>
                <w:sz w:val="22"/>
                <w:szCs w:val="22"/>
              </w:rPr>
              <w:t>联系电话：</w:t>
            </w:r>
          </w:p>
        </w:tc>
        <w:tc>
          <w:tcPr>
            <w:tcW w:w="144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74691235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7" w:hRule="atLeast"/>
          <w:jc w:val="center"/>
        </w:trPr>
        <w:tc>
          <w:tcPr>
            <w:tcW w:w="9420" w:type="dxa"/>
            <w:gridSpan w:val="11"/>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微软雅黑" w:hAnsi="微软雅黑" w:eastAsia="微软雅黑" w:cs="微软雅黑"/>
                <w:b/>
                <w:color w:val="000000"/>
                <w:sz w:val="28"/>
                <w:szCs w:val="28"/>
              </w:rPr>
            </w:pPr>
            <w:r>
              <w:rPr>
                <w:rFonts w:ascii="微软雅黑" w:hAnsi="微软雅黑" w:eastAsia="微软雅黑" w:cs="微软雅黑"/>
                <w:b/>
                <w:color w:val="000000"/>
                <w:sz w:val="28"/>
                <w:szCs w:val="28"/>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16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cs="宋体"/>
                <w:color w:val="000000"/>
                <w:sz w:val="22"/>
                <w:szCs w:val="22"/>
              </w:rPr>
            </w:pPr>
          </w:p>
        </w:tc>
        <w:tc>
          <w:tcPr>
            <w:tcW w:w="2419"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年初预算数</w:t>
            </w:r>
          </w:p>
        </w:tc>
        <w:tc>
          <w:tcPr>
            <w:tcW w:w="1603"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全年（调整）预算数</w:t>
            </w:r>
          </w:p>
        </w:tc>
        <w:tc>
          <w:tcPr>
            <w:tcW w:w="1230"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全年执行数</w:t>
            </w:r>
          </w:p>
        </w:tc>
        <w:tc>
          <w:tcPr>
            <w:tcW w:w="51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执行率</w:t>
            </w:r>
          </w:p>
        </w:tc>
        <w:tc>
          <w:tcPr>
            <w:tcW w:w="52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cs="宋体"/>
                <w:b/>
                <w:color w:val="000000"/>
                <w:sz w:val="22"/>
                <w:szCs w:val="22"/>
              </w:rPr>
            </w:pPr>
            <w:r>
              <w:rPr>
                <w:rFonts w:cs="宋体"/>
                <w:b/>
                <w:color w:val="000000"/>
                <w:sz w:val="22"/>
                <w:szCs w:val="22"/>
              </w:rPr>
              <w:t>执行率权重</w:t>
            </w:r>
          </w:p>
        </w:tc>
        <w:tc>
          <w:tcPr>
            <w:tcW w:w="144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9" w:hRule="atLeast"/>
          <w:jc w:val="center"/>
        </w:trPr>
        <w:tc>
          <w:tcPr>
            <w:tcW w:w="792" w:type="dxa"/>
            <w:tcBorders>
              <w:top w:val="single" w:color="000000" w:sz="4" w:space="0"/>
              <w:left w:val="single" w:color="000000" w:sz="4" w:space="0"/>
              <w:bottom w:val="single" w:color="000000" w:sz="4" w:space="0"/>
            </w:tcBorders>
            <w:vAlign w:val="center"/>
          </w:tcPr>
          <w:p>
            <w:pPr>
              <w:textAlignment w:val="center"/>
              <w:rPr>
                <w:rFonts w:hint="default" w:cs="宋体"/>
                <w:color w:val="000000"/>
                <w:sz w:val="22"/>
                <w:szCs w:val="22"/>
              </w:rPr>
            </w:pPr>
            <w:r>
              <w:rPr>
                <w:rFonts w:cs="宋体"/>
                <w:color w:val="000000"/>
                <w:sz w:val="22"/>
                <w:szCs w:val="22"/>
              </w:rPr>
              <w:t>年度总金额</w:t>
            </w:r>
          </w:p>
        </w:tc>
        <w:tc>
          <w:tcPr>
            <w:tcW w:w="888" w:type="dxa"/>
            <w:tcBorders>
              <w:top w:val="single" w:color="000000" w:sz="4" w:space="0"/>
              <w:bottom w:val="single" w:color="000000" w:sz="4" w:space="0"/>
              <w:right w:val="single" w:color="000000" w:sz="4" w:space="0"/>
            </w:tcBorders>
            <w:vAlign w:val="center"/>
          </w:tcPr>
          <w:p>
            <w:pPr>
              <w:rPr>
                <w:rFonts w:hint="default" w:cs="宋体"/>
                <w:color w:val="000000"/>
                <w:sz w:val="22"/>
                <w:szCs w:val="22"/>
              </w:rPr>
            </w:pPr>
          </w:p>
        </w:tc>
        <w:tc>
          <w:tcPr>
            <w:tcW w:w="864" w:type="dxa"/>
            <w:tcBorders>
              <w:top w:val="single" w:color="000000" w:sz="4" w:space="0"/>
              <w:left w:val="single" w:color="000000" w:sz="4" w:space="0"/>
              <w:bottom w:val="single" w:color="000000" w:sz="4" w:space="0"/>
            </w:tcBorders>
            <w:vAlign w:val="center"/>
          </w:tcPr>
          <w:p>
            <w:pPr>
              <w:rPr>
                <w:rFonts w:hint="default" w:cs="宋体"/>
                <w:color w:val="000000"/>
                <w:sz w:val="22"/>
                <w:szCs w:val="22"/>
              </w:rPr>
            </w:pPr>
          </w:p>
        </w:tc>
        <w:tc>
          <w:tcPr>
            <w:tcW w:w="1555" w:type="dxa"/>
            <w:tcBorders>
              <w:top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 xml:space="preserve">560,000.00 </w:t>
            </w:r>
          </w:p>
        </w:tc>
        <w:tc>
          <w:tcPr>
            <w:tcW w:w="801" w:type="dxa"/>
            <w:tcBorders>
              <w:top w:val="single" w:color="000000" w:sz="4" w:space="0"/>
              <w:left w:val="single" w:color="000000" w:sz="4" w:space="0"/>
              <w:bottom w:val="single" w:color="000000" w:sz="4" w:space="0"/>
            </w:tcBorders>
            <w:vAlign w:val="center"/>
          </w:tcPr>
          <w:p>
            <w:pPr>
              <w:rPr>
                <w:rFonts w:hint="default" w:cs="宋体"/>
                <w:color w:val="000000"/>
                <w:sz w:val="22"/>
                <w:szCs w:val="22"/>
              </w:rPr>
            </w:pPr>
          </w:p>
        </w:tc>
        <w:tc>
          <w:tcPr>
            <w:tcW w:w="802" w:type="dxa"/>
            <w:tcBorders>
              <w:top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 xml:space="preserve">600,000.00 </w:t>
            </w:r>
          </w:p>
        </w:tc>
        <w:tc>
          <w:tcPr>
            <w:tcW w:w="527" w:type="dxa"/>
            <w:tcBorders>
              <w:top w:val="single" w:color="000000" w:sz="4" w:space="0"/>
              <w:left w:val="single" w:color="000000" w:sz="4" w:space="0"/>
              <w:bottom w:val="single" w:color="000000" w:sz="4" w:space="0"/>
            </w:tcBorders>
            <w:vAlign w:val="center"/>
          </w:tcPr>
          <w:p>
            <w:pPr>
              <w:rPr>
                <w:rFonts w:hint="default" w:cs="宋体"/>
                <w:color w:val="000000"/>
                <w:sz w:val="22"/>
                <w:szCs w:val="22"/>
              </w:rPr>
            </w:pPr>
          </w:p>
        </w:tc>
        <w:tc>
          <w:tcPr>
            <w:tcW w:w="703" w:type="dxa"/>
            <w:tcBorders>
              <w:top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 xml:space="preserve">600,000.00 </w:t>
            </w:r>
          </w:p>
        </w:tc>
        <w:tc>
          <w:tcPr>
            <w:tcW w:w="519"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c>
          <w:tcPr>
            <w:tcW w:w="525"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c>
          <w:tcPr>
            <w:tcW w:w="1444"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9" w:hRule="atLeast"/>
          <w:jc w:val="center"/>
        </w:trPr>
        <w:tc>
          <w:tcPr>
            <w:tcW w:w="792" w:type="dxa"/>
            <w:tcBorders>
              <w:top w:val="single" w:color="000000" w:sz="4" w:space="0"/>
              <w:left w:val="single" w:color="000000" w:sz="4" w:space="0"/>
              <w:bottom w:val="single" w:color="000000" w:sz="4" w:space="0"/>
            </w:tcBorders>
            <w:vAlign w:val="center"/>
          </w:tcPr>
          <w:p>
            <w:pPr>
              <w:textAlignment w:val="center"/>
              <w:rPr>
                <w:rFonts w:hint="default" w:cs="宋体"/>
                <w:color w:val="000000"/>
                <w:sz w:val="22"/>
                <w:szCs w:val="22"/>
              </w:rPr>
            </w:pPr>
            <w:r>
              <w:rPr>
                <w:rFonts w:cs="宋体"/>
                <w:color w:val="000000"/>
                <w:sz w:val="22"/>
                <w:szCs w:val="22"/>
              </w:rPr>
              <w:t>其中：财政拨款</w:t>
            </w:r>
          </w:p>
        </w:tc>
        <w:tc>
          <w:tcPr>
            <w:tcW w:w="888" w:type="dxa"/>
            <w:tcBorders>
              <w:top w:val="single" w:color="000000" w:sz="4" w:space="0"/>
              <w:bottom w:val="single" w:color="000000" w:sz="4" w:space="0"/>
              <w:right w:val="single" w:color="000000" w:sz="4" w:space="0"/>
            </w:tcBorders>
            <w:vAlign w:val="center"/>
          </w:tcPr>
          <w:p>
            <w:pPr>
              <w:rPr>
                <w:rFonts w:hint="default" w:cs="宋体"/>
                <w:color w:val="000000"/>
                <w:sz w:val="22"/>
                <w:szCs w:val="22"/>
              </w:rPr>
            </w:pPr>
          </w:p>
        </w:tc>
        <w:tc>
          <w:tcPr>
            <w:tcW w:w="864" w:type="dxa"/>
            <w:tcBorders>
              <w:top w:val="single" w:color="000000" w:sz="4" w:space="0"/>
              <w:left w:val="single" w:color="000000" w:sz="4" w:space="0"/>
              <w:bottom w:val="single" w:color="000000" w:sz="4" w:space="0"/>
            </w:tcBorders>
            <w:vAlign w:val="center"/>
          </w:tcPr>
          <w:p>
            <w:pPr>
              <w:rPr>
                <w:rFonts w:hint="default" w:cs="宋体"/>
                <w:color w:val="000000"/>
                <w:sz w:val="22"/>
                <w:szCs w:val="22"/>
              </w:rPr>
            </w:pPr>
          </w:p>
        </w:tc>
        <w:tc>
          <w:tcPr>
            <w:tcW w:w="1555" w:type="dxa"/>
            <w:tcBorders>
              <w:top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 xml:space="preserve">560,000.00 </w:t>
            </w:r>
          </w:p>
        </w:tc>
        <w:tc>
          <w:tcPr>
            <w:tcW w:w="801" w:type="dxa"/>
            <w:tcBorders>
              <w:top w:val="single" w:color="000000" w:sz="4" w:space="0"/>
              <w:left w:val="single" w:color="000000" w:sz="4" w:space="0"/>
              <w:bottom w:val="single" w:color="000000" w:sz="4" w:space="0"/>
            </w:tcBorders>
            <w:vAlign w:val="center"/>
          </w:tcPr>
          <w:p>
            <w:pPr>
              <w:rPr>
                <w:rFonts w:hint="default" w:cs="宋体"/>
                <w:color w:val="000000"/>
                <w:sz w:val="22"/>
                <w:szCs w:val="22"/>
              </w:rPr>
            </w:pPr>
          </w:p>
        </w:tc>
        <w:tc>
          <w:tcPr>
            <w:tcW w:w="802" w:type="dxa"/>
            <w:tcBorders>
              <w:top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 xml:space="preserve">600,000.00 </w:t>
            </w:r>
          </w:p>
        </w:tc>
        <w:tc>
          <w:tcPr>
            <w:tcW w:w="527" w:type="dxa"/>
            <w:tcBorders>
              <w:top w:val="single" w:color="000000" w:sz="4" w:space="0"/>
              <w:left w:val="single" w:color="000000" w:sz="4" w:space="0"/>
              <w:bottom w:val="single" w:color="000000" w:sz="4" w:space="0"/>
            </w:tcBorders>
            <w:vAlign w:val="center"/>
          </w:tcPr>
          <w:p>
            <w:pPr>
              <w:rPr>
                <w:rFonts w:hint="default" w:cs="宋体"/>
                <w:color w:val="000000"/>
                <w:sz w:val="22"/>
                <w:szCs w:val="22"/>
              </w:rPr>
            </w:pPr>
          </w:p>
        </w:tc>
        <w:tc>
          <w:tcPr>
            <w:tcW w:w="703" w:type="dxa"/>
            <w:tcBorders>
              <w:top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 xml:space="preserve">600,000.00 </w:t>
            </w:r>
          </w:p>
        </w:tc>
        <w:tc>
          <w:tcPr>
            <w:tcW w:w="51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100</w:t>
            </w:r>
          </w:p>
        </w:tc>
        <w:tc>
          <w:tcPr>
            <w:tcW w:w="52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10.00</w:t>
            </w:r>
          </w:p>
        </w:tc>
        <w:tc>
          <w:tcPr>
            <w:tcW w:w="1444"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9" w:hRule="atLeast"/>
          <w:jc w:val="center"/>
        </w:trPr>
        <w:tc>
          <w:tcPr>
            <w:tcW w:w="792" w:type="dxa"/>
            <w:tcBorders>
              <w:top w:val="single" w:color="000000" w:sz="4" w:space="0"/>
              <w:left w:val="single" w:color="000000" w:sz="4" w:space="0"/>
              <w:bottom w:val="single" w:color="000000" w:sz="4" w:space="0"/>
            </w:tcBorders>
            <w:vAlign w:val="center"/>
          </w:tcPr>
          <w:p>
            <w:pPr>
              <w:textAlignment w:val="center"/>
              <w:rPr>
                <w:rFonts w:hint="default" w:cs="宋体"/>
                <w:color w:val="000000"/>
                <w:sz w:val="22"/>
                <w:szCs w:val="22"/>
              </w:rPr>
            </w:pPr>
            <w:r>
              <w:rPr>
                <w:rFonts w:cs="宋体"/>
                <w:color w:val="000000"/>
                <w:sz w:val="22"/>
                <w:szCs w:val="22"/>
              </w:rPr>
              <w:t>一般公共预算</w:t>
            </w:r>
          </w:p>
        </w:tc>
        <w:tc>
          <w:tcPr>
            <w:tcW w:w="888" w:type="dxa"/>
            <w:tcBorders>
              <w:top w:val="single" w:color="000000" w:sz="4" w:space="0"/>
              <w:bottom w:val="single" w:color="000000" w:sz="4" w:space="0"/>
              <w:right w:val="single" w:color="000000" w:sz="4" w:space="0"/>
            </w:tcBorders>
            <w:vAlign w:val="center"/>
          </w:tcPr>
          <w:p>
            <w:pPr>
              <w:rPr>
                <w:rFonts w:hint="default" w:cs="宋体"/>
                <w:color w:val="000000"/>
                <w:sz w:val="22"/>
                <w:szCs w:val="22"/>
              </w:rPr>
            </w:pPr>
          </w:p>
        </w:tc>
        <w:tc>
          <w:tcPr>
            <w:tcW w:w="864" w:type="dxa"/>
            <w:tcBorders>
              <w:top w:val="single" w:color="000000" w:sz="4" w:space="0"/>
              <w:left w:val="single" w:color="000000" w:sz="4" w:space="0"/>
              <w:bottom w:val="single" w:color="000000" w:sz="4" w:space="0"/>
            </w:tcBorders>
            <w:vAlign w:val="center"/>
          </w:tcPr>
          <w:p>
            <w:pPr>
              <w:rPr>
                <w:rFonts w:hint="default" w:cs="宋体"/>
                <w:color w:val="000000"/>
                <w:sz w:val="22"/>
                <w:szCs w:val="22"/>
              </w:rPr>
            </w:pPr>
          </w:p>
        </w:tc>
        <w:tc>
          <w:tcPr>
            <w:tcW w:w="1555" w:type="dxa"/>
            <w:tcBorders>
              <w:top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 xml:space="preserve">560,000.00 </w:t>
            </w:r>
          </w:p>
        </w:tc>
        <w:tc>
          <w:tcPr>
            <w:tcW w:w="801" w:type="dxa"/>
            <w:tcBorders>
              <w:top w:val="single" w:color="000000" w:sz="4" w:space="0"/>
              <w:left w:val="single" w:color="000000" w:sz="4" w:space="0"/>
              <w:bottom w:val="single" w:color="000000" w:sz="4" w:space="0"/>
            </w:tcBorders>
            <w:vAlign w:val="center"/>
          </w:tcPr>
          <w:p>
            <w:pPr>
              <w:rPr>
                <w:rFonts w:hint="default" w:cs="宋体"/>
                <w:color w:val="000000"/>
                <w:sz w:val="22"/>
                <w:szCs w:val="22"/>
              </w:rPr>
            </w:pPr>
          </w:p>
        </w:tc>
        <w:tc>
          <w:tcPr>
            <w:tcW w:w="802" w:type="dxa"/>
            <w:tcBorders>
              <w:top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 xml:space="preserve">600,000.00 </w:t>
            </w:r>
          </w:p>
        </w:tc>
        <w:tc>
          <w:tcPr>
            <w:tcW w:w="527" w:type="dxa"/>
            <w:tcBorders>
              <w:top w:val="single" w:color="000000" w:sz="4" w:space="0"/>
              <w:left w:val="single" w:color="000000" w:sz="4" w:space="0"/>
              <w:bottom w:val="single" w:color="000000" w:sz="4" w:space="0"/>
            </w:tcBorders>
            <w:vAlign w:val="center"/>
          </w:tcPr>
          <w:p>
            <w:pPr>
              <w:rPr>
                <w:rFonts w:hint="default" w:cs="宋体"/>
                <w:color w:val="000000"/>
                <w:sz w:val="22"/>
                <w:szCs w:val="22"/>
              </w:rPr>
            </w:pPr>
          </w:p>
        </w:tc>
        <w:tc>
          <w:tcPr>
            <w:tcW w:w="703" w:type="dxa"/>
            <w:tcBorders>
              <w:top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 xml:space="preserve">600,000.00 </w:t>
            </w:r>
          </w:p>
        </w:tc>
        <w:tc>
          <w:tcPr>
            <w:tcW w:w="51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100</w:t>
            </w:r>
          </w:p>
        </w:tc>
        <w:tc>
          <w:tcPr>
            <w:tcW w:w="525"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c>
          <w:tcPr>
            <w:tcW w:w="1444"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9" w:hRule="atLeast"/>
          <w:jc w:val="center"/>
        </w:trPr>
        <w:tc>
          <w:tcPr>
            <w:tcW w:w="9420" w:type="dxa"/>
            <w:gridSpan w:val="11"/>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微软雅黑" w:hAnsi="微软雅黑" w:eastAsia="微软雅黑" w:cs="微软雅黑"/>
                <w:b/>
                <w:color w:val="000000"/>
                <w:sz w:val="28"/>
                <w:szCs w:val="28"/>
              </w:rPr>
            </w:pPr>
            <w:r>
              <w:rPr>
                <w:rFonts w:ascii="微软雅黑" w:hAnsi="微软雅黑" w:eastAsia="微软雅黑" w:cs="微软雅黑"/>
                <w:b/>
                <w:color w:val="000000"/>
                <w:sz w:val="28"/>
                <w:szCs w:val="28"/>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9" w:hRule="atLeast"/>
          <w:jc w:val="center"/>
        </w:trPr>
        <w:tc>
          <w:tcPr>
            <w:tcW w:w="4099" w:type="dxa"/>
            <w:gridSpan w:val="4"/>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年初绩效目标</w:t>
            </w:r>
          </w:p>
        </w:tc>
        <w:tc>
          <w:tcPr>
            <w:tcW w:w="2833" w:type="dxa"/>
            <w:gridSpan w:val="4"/>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全年（调整）绩效目标</w:t>
            </w:r>
          </w:p>
        </w:tc>
        <w:tc>
          <w:tcPr>
            <w:tcW w:w="2488"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9" w:hRule="atLeast"/>
          <w:jc w:val="center"/>
        </w:trPr>
        <w:tc>
          <w:tcPr>
            <w:tcW w:w="4099" w:type="dxa"/>
            <w:gridSpan w:val="4"/>
            <w:tcBorders>
              <w:top w:val="single" w:color="000000" w:sz="4" w:space="0"/>
              <w:left w:val="single" w:color="000000" w:sz="4" w:space="0"/>
              <w:bottom w:val="single" w:color="000000" w:sz="4" w:space="0"/>
              <w:right w:val="single" w:color="000000" w:sz="4" w:space="0"/>
            </w:tcBorders>
            <w:vAlign w:val="top"/>
          </w:tcPr>
          <w:p>
            <w:pPr>
              <w:textAlignment w:val="top"/>
              <w:rPr>
                <w:rFonts w:hint="default" w:cs="宋体"/>
                <w:color w:val="000000"/>
                <w:sz w:val="22"/>
                <w:szCs w:val="22"/>
              </w:rPr>
            </w:pPr>
            <w:r>
              <w:rPr>
                <w:rFonts w:cs="宋体"/>
                <w:color w:val="000000"/>
                <w:sz w:val="22"/>
                <w:szCs w:val="22"/>
              </w:rPr>
              <w:t>补助19个社区，1个村办公经费经费，保障村（社区）组织的正常运转。</w:t>
            </w:r>
          </w:p>
        </w:tc>
        <w:tc>
          <w:tcPr>
            <w:tcW w:w="2833" w:type="dxa"/>
            <w:gridSpan w:val="4"/>
            <w:tcBorders>
              <w:top w:val="single" w:color="000000" w:sz="4" w:space="0"/>
              <w:left w:val="single" w:color="000000" w:sz="4" w:space="0"/>
              <w:bottom w:val="single" w:color="000000" w:sz="4" w:space="0"/>
              <w:right w:val="single" w:color="000000" w:sz="4" w:space="0"/>
            </w:tcBorders>
            <w:vAlign w:val="top"/>
          </w:tcPr>
          <w:p>
            <w:pPr>
              <w:textAlignment w:val="top"/>
              <w:rPr>
                <w:rFonts w:hint="default" w:cs="宋体"/>
                <w:color w:val="000000"/>
                <w:sz w:val="22"/>
                <w:szCs w:val="22"/>
              </w:rPr>
            </w:pPr>
            <w:r>
              <w:rPr>
                <w:rFonts w:cs="宋体"/>
                <w:color w:val="000000"/>
                <w:sz w:val="22"/>
                <w:szCs w:val="22"/>
              </w:rPr>
              <w:t>补助19个社区，1个村办公经费经费，保障村（社区）组织的正常运转。</w:t>
            </w:r>
          </w:p>
        </w:tc>
        <w:tc>
          <w:tcPr>
            <w:tcW w:w="2488" w:type="dxa"/>
            <w:gridSpan w:val="3"/>
            <w:tcBorders>
              <w:top w:val="single" w:color="000000" w:sz="4" w:space="0"/>
              <w:left w:val="single" w:color="000000" w:sz="4" w:space="0"/>
              <w:bottom w:val="single" w:color="000000" w:sz="4" w:space="0"/>
              <w:right w:val="single" w:color="000000" w:sz="4" w:space="0"/>
            </w:tcBorders>
            <w:vAlign w:val="top"/>
          </w:tcPr>
          <w:p>
            <w:pPr>
              <w:textAlignment w:val="top"/>
              <w:rPr>
                <w:rFonts w:hint="default" w:cs="宋体"/>
                <w:color w:val="000000"/>
                <w:sz w:val="22"/>
                <w:szCs w:val="22"/>
              </w:rPr>
            </w:pPr>
            <w:r>
              <w:rPr>
                <w:rFonts w:cs="宋体"/>
                <w:color w:val="000000"/>
                <w:sz w:val="22"/>
                <w:szCs w:val="22"/>
              </w:rPr>
              <w:t>全部完成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9" w:hRule="atLeast"/>
          <w:jc w:val="center"/>
        </w:trPr>
        <w:tc>
          <w:tcPr>
            <w:tcW w:w="9420" w:type="dxa"/>
            <w:gridSpan w:val="11"/>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微软雅黑" w:hAnsi="微软雅黑" w:eastAsia="微软雅黑" w:cs="微软雅黑"/>
                <w:b/>
                <w:color w:val="000000"/>
                <w:sz w:val="28"/>
                <w:szCs w:val="28"/>
              </w:rPr>
            </w:pPr>
            <w:r>
              <w:rPr>
                <w:rFonts w:ascii="微软雅黑" w:hAnsi="微软雅黑" w:eastAsia="微软雅黑" w:cs="微软雅黑"/>
                <w:b/>
                <w:color w:val="000000"/>
                <w:sz w:val="28"/>
                <w:szCs w:val="28"/>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指标名称</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计量单位</w:t>
            </w: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指标性质</w:t>
            </w:r>
          </w:p>
        </w:tc>
        <w:tc>
          <w:tcPr>
            <w:tcW w:w="155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指标值</w:t>
            </w:r>
          </w:p>
        </w:tc>
        <w:tc>
          <w:tcPr>
            <w:tcW w:w="8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全年完成值</w:t>
            </w:r>
          </w:p>
        </w:tc>
        <w:tc>
          <w:tcPr>
            <w:tcW w:w="80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偏离度（%）</w:t>
            </w:r>
          </w:p>
        </w:tc>
        <w:tc>
          <w:tcPr>
            <w:tcW w:w="52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得分系数（%）</w:t>
            </w:r>
          </w:p>
        </w:tc>
        <w:tc>
          <w:tcPr>
            <w:tcW w:w="70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指标权重</w:t>
            </w:r>
          </w:p>
        </w:tc>
        <w:tc>
          <w:tcPr>
            <w:tcW w:w="51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指标得分</w:t>
            </w: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是否核心指标</w:t>
            </w:r>
          </w:p>
        </w:tc>
        <w:tc>
          <w:tcPr>
            <w:tcW w:w="144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9"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村委数量</w:t>
            </w:r>
          </w:p>
        </w:tc>
        <w:tc>
          <w:tcPr>
            <w:tcW w:w="888"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个</w:t>
            </w:r>
          </w:p>
        </w:tc>
        <w:tc>
          <w:tcPr>
            <w:tcW w:w="864"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1555"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w:t>
            </w:r>
          </w:p>
        </w:tc>
        <w:tc>
          <w:tcPr>
            <w:tcW w:w="801"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w:t>
            </w:r>
          </w:p>
        </w:tc>
        <w:tc>
          <w:tcPr>
            <w:tcW w:w="80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527"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03"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519"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525"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否</w:t>
            </w:r>
          </w:p>
        </w:tc>
        <w:tc>
          <w:tcPr>
            <w:tcW w:w="1444"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9"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社区数量</w:t>
            </w:r>
          </w:p>
        </w:tc>
        <w:tc>
          <w:tcPr>
            <w:tcW w:w="888"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个</w:t>
            </w:r>
          </w:p>
        </w:tc>
        <w:tc>
          <w:tcPr>
            <w:tcW w:w="864"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1555"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19</w:t>
            </w:r>
          </w:p>
        </w:tc>
        <w:tc>
          <w:tcPr>
            <w:tcW w:w="801"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19</w:t>
            </w:r>
          </w:p>
        </w:tc>
        <w:tc>
          <w:tcPr>
            <w:tcW w:w="80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527"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03"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519"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525"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否</w:t>
            </w:r>
          </w:p>
        </w:tc>
        <w:tc>
          <w:tcPr>
            <w:tcW w:w="1444"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9"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村社正常运转率</w:t>
            </w:r>
          </w:p>
        </w:tc>
        <w:tc>
          <w:tcPr>
            <w:tcW w:w="888"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864"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1555"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801"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80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527"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03"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519"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525"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否</w:t>
            </w:r>
          </w:p>
        </w:tc>
        <w:tc>
          <w:tcPr>
            <w:tcW w:w="1444"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7"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服务群众补助及时拨付到位</w:t>
            </w:r>
          </w:p>
        </w:tc>
        <w:tc>
          <w:tcPr>
            <w:tcW w:w="888"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864"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1555"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801"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80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527"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03"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519"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525"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否</w:t>
            </w:r>
          </w:p>
        </w:tc>
        <w:tc>
          <w:tcPr>
            <w:tcW w:w="1444"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7"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保障村社区组织正常运行</w:t>
            </w:r>
          </w:p>
        </w:tc>
        <w:tc>
          <w:tcPr>
            <w:tcW w:w="888"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c>
          <w:tcPr>
            <w:tcW w:w="864"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定性</w:t>
            </w:r>
          </w:p>
        </w:tc>
        <w:tc>
          <w:tcPr>
            <w:tcW w:w="1555"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好</w:t>
            </w:r>
          </w:p>
        </w:tc>
        <w:tc>
          <w:tcPr>
            <w:tcW w:w="801"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w:t>
            </w:r>
          </w:p>
        </w:tc>
        <w:tc>
          <w:tcPr>
            <w:tcW w:w="80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527"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03"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30</w:t>
            </w:r>
          </w:p>
        </w:tc>
        <w:tc>
          <w:tcPr>
            <w:tcW w:w="519"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30</w:t>
            </w:r>
          </w:p>
        </w:tc>
        <w:tc>
          <w:tcPr>
            <w:tcW w:w="525"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是</w:t>
            </w:r>
          </w:p>
        </w:tc>
        <w:tc>
          <w:tcPr>
            <w:tcW w:w="1444"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9"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人民群众满意度</w:t>
            </w:r>
          </w:p>
        </w:tc>
        <w:tc>
          <w:tcPr>
            <w:tcW w:w="888"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864"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1555"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801"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98</w:t>
            </w:r>
          </w:p>
        </w:tc>
        <w:tc>
          <w:tcPr>
            <w:tcW w:w="80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2</w:t>
            </w:r>
          </w:p>
        </w:tc>
        <w:tc>
          <w:tcPr>
            <w:tcW w:w="527"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80</w:t>
            </w:r>
          </w:p>
        </w:tc>
        <w:tc>
          <w:tcPr>
            <w:tcW w:w="703"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519"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8</w:t>
            </w:r>
          </w:p>
        </w:tc>
        <w:tc>
          <w:tcPr>
            <w:tcW w:w="525"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否</w:t>
            </w:r>
          </w:p>
        </w:tc>
        <w:tc>
          <w:tcPr>
            <w:tcW w:w="1444"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9"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总补助标准</w:t>
            </w:r>
          </w:p>
        </w:tc>
        <w:tc>
          <w:tcPr>
            <w:tcW w:w="888"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元</w:t>
            </w:r>
          </w:p>
        </w:tc>
        <w:tc>
          <w:tcPr>
            <w:tcW w:w="864"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1555"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600000</w:t>
            </w:r>
          </w:p>
        </w:tc>
        <w:tc>
          <w:tcPr>
            <w:tcW w:w="801"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600000</w:t>
            </w:r>
          </w:p>
        </w:tc>
        <w:tc>
          <w:tcPr>
            <w:tcW w:w="80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527"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03"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519"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525"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否</w:t>
            </w:r>
          </w:p>
        </w:tc>
        <w:tc>
          <w:tcPr>
            <w:tcW w:w="1444"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r>
    </w:tbl>
    <w:p>
      <w:pPr>
        <w:pStyle w:val="2"/>
        <w:ind w:firstLine="480"/>
        <w:rPr>
          <w:rFonts w:hint="default"/>
          <w:color w:val="000000"/>
        </w:rPr>
      </w:pPr>
    </w:p>
    <w:p>
      <w:pPr>
        <w:rPr>
          <w:rFonts w:hint="default"/>
        </w:rPr>
      </w:pPr>
    </w:p>
    <w:tbl>
      <w:tblPr>
        <w:tblStyle w:val="8"/>
        <w:tblW w:w="97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64"/>
        <w:gridCol w:w="909"/>
        <w:gridCol w:w="945"/>
        <w:gridCol w:w="1339"/>
        <w:gridCol w:w="815"/>
        <w:gridCol w:w="816"/>
        <w:gridCol w:w="579"/>
        <w:gridCol w:w="715"/>
        <w:gridCol w:w="579"/>
        <w:gridCol w:w="569"/>
        <w:gridCol w:w="13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5" w:hRule="atLeast"/>
          <w:jc w:val="center"/>
        </w:trPr>
        <w:tc>
          <w:tcPr>
            <w:tcW w:w="9760" w:type="dxa"/>
            <w:gridSpan w:val="11"/>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2" w:hRule="atLeast"/>
          <w:jc w:val="center"/>
        </w:trPr>
        <w:tc>
          <w:tcPr>
            <w:tcW w:w="9760" w:type="dxa"/>
            <w:gridSpan w:val="11"/>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b/>
                <w:color w:val="000000"/>
                <w:sz w:val="22"/>
                <w:szCs w:val="22"/>
              </w:rPr>
            </w:pPr>
            <w:r>
              <w:rPr>
                <w:rFonts w:cs="宋体"/>
                <w:b/>
                <w:color w:val="000000"/>
                <w:sz w:val="22"/>
                <w:szCs w:val="22"/>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1" w:hRule="atLeast"/>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22"/>
                <w:szCs w:val="22"/>
              </w:rPr>
            </w:pPr>
            <w:r>
              <w:rPr>
                <w:rFonts w:cs="宋体"/>
                <w:b/>
                <w:color w:val="000000"/>
                <w:sz w:val="22"/>
                <w:szCs w:val="22"/>
              </w:rPr>
              <w:t>项目名称：</w:t>
            </w:r>
          </w:p>
        </w:tc>
        <w:tc>
          <w:tcPr>
            <w:tcW w:w="1854"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服务群众专项</w:t>
            </w:r>
          </w:p>
        </w:tc>
        <w:tc>
          <w:tcPr>
            <w:tcW w:w="1339"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22"/>
                <w:szCs w:val="22"/>
              </w:rPr>
            </w:pPr>
            <w:r>
              <w:rPr>
                <w:rFonts w:cs="宋体"/>
                <w:b/>
                <w:color w:val="000000"/>
                <w:sz w:val="22"/>
                <w:szCs w:val="22"/>
              </w:rPr>
              <w:t>项目编码：</w:t>
            </w:r>
          </w:p>
        </w:tc>
        <w:tc>
          <w:tcPr>
            <w:tcW w:w="1631"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50023123T000003060189</w:t>
            </w:r>
          </w:p>
        </w:tc>
        <w:tc>
          <w:tcPr>
            <w:tcW w:w="579"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22"/>
                <w:szCs w:val="22"/>
              </w:rPr>
            </w:pPr>
            <w:r>
              <w:rPr>
                <w:rFonts w:cs="宋体"/>
                <w:b/>
                <w:color w:val="000000"/>
                <w:sz w:val="22"/>
                <w:szCs w:val="22"/>
              </w:rPr>
              <w:t>自评总分：</w:t>
            </w:r>
          </w:p>
        </w:tc>
        <w:tc>
          <w:tcPr>
            <w:tcW w:w="1294"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98.95</w:t>
            </w:r>
          </w:p>
        </w:tc>
        <w:tc>
          <w:tcPr>
            <w:tcW w:w="56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cs="宋体"/>
                <w:b/>
                <w:color w:val="000000"/>
                <w:sz w:val="22"/>
                <w:szCs w:val="22"/>
              </w:rPr>
            </w:pPr>
          </w:p>
        </w:tc>
        <w:tc>
          <w:tcPr>
            <w:tcW w:w="1330"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1" w:hRule="atLeast"/>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22"/>
                <w:szCs w:val="22"/>
              </w:rPr>
            </w:pPr>
            <w:r>
              <w:rPr>
                <w:rFonts w:cs="宋体"/>
                <w:b/>
                <w:color w:val="000000"/>
                <w:sz w:val="22"/>
                <w:szCs w:val="22"/>
              </w:rPr>
              <w:t>项目主管部门：</w:t>
            </w:r>
          </w:p>
        </w:tc>
        <w:tc>
          <w:tcPr>
            <w:tcW w:w="1854"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701-垫</w:t>
            </w:r>
            <w:r>
              <w:rPr>
                <w:rFonts w:cs="宋体"/>
                <w:b/>
                <w:color w:val="000000"/>
                <w:sz w:val="22"/>
                <w:szCs w:val="22"/>
              </w:rPr>
              <w:t>江</w:t>
            </w:r>
            <w:r>
              <w:rPr>
                <w:rFonts w:cs="宋体"/>
                <w:color w:val="000000"/>
                <w:sz w:val="22"/>
                <w:szCs w:val="22"/>
              </w:rPr>
              <w:t>县人民政府桂溪街道办事处</w:t>
            </w:r>
          </w:p>
        </w:tc>
        <w:tc>
          <w:tcPr>
            <w:tcW w:w="1339"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22"/>
                <w:szCs w:val="22"/>
              </w:rPr>
            </w:pPr>
            <w:r>
              <w:rPr>
                <w:rFonts w:cs="宋体"/>
                <w:b/>
                <w:color w:val="000000"/>
                <w:sz w:val="22"/>
                <w:szCs w:val="22"/>
              </w:rPr>
              <w:t>财政归口处室：</w:t>
            </w:r>
          </w:p>
        </w:tc>
        <w:tc>
          <w:tcPr>
            <w:tcW w:w="1631"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014-会计管理核算中心</w:t>
            </w:r>
          </w:p>
        </w:tc>
        <w:tc>
          <w:tcPr>
            <w:tcW w:w="579"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22"/>
                <w:szCs w:val="22"/>
              </w:rPr>
            </w:pPr>
            <w:r>
              <w:rPr>
                <w:rFonts w:cs="宋体"/>
                <w:b/>
                <w:color w:val="000000"/>
                <w:sz w:val="22"/>
                <w:szCs w:val="22"/>
              </w:rPr>
              <w:t>部门联系人：</w:t>
            </w:r>
          </w:p>
        </w:tc>
        <w:tc>
          <w:tcPr>
            <w:tcW w:w="1294"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舒老师</w:t>
            </w:r>
          </w:p>
        </w:tc>
        <w:tc>
          <w:tcPr>
            <w:tcW w:w="569"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22"/>
                <w:szCs w:val="22"/>
              </w:rPr>
            </w:pPr>
            <w:r>
              <w:rPr>
                <w:rFonts w:cs="宋体"/>
                <w:b/>
                <w:color w:val="000000"/>
                <w:sz w:val="22"/>
                <w:szCs w:val="22"/>
              </w:rPr>
              <w:t>联系电话：</w:t>
            </w:r>
          </w:p>
        </w:tc>
        <w:tc>
          <w:tcPr>
            <w:tcW w:w="133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74691235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7" w:hRule="atLeast"/>
          <w:jc w:val="center"/>
        </w:trPr>
        <w:tc>
          <w:tcPr>
            <w:tcW w:w="9760" w:type="dxa"/>
            <w:gridSpan w:val="11"/>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微软雅黑" w:hAnsi="微软雅黑" w:eastAsia="微软雅黑" w:cs="微软雅黑"/>
                <w:b/>
                <w:color w:val="000000"/>
                <w:sz w:val="28"/>
                <w:szCs w:val="28"/>
              </w:rPr>
            </w:pPr>
            <w:r>
              <w:rPr>
                <w:rFonts w:ascii="微软雅黑" w:hAnsi="微软雅黑" w:eastAsia="微软雅黑" w:cs="微软雅黑"/>
                <w:b/>
                <w:color w:val="000000"/>
                <w:sz w:val="28"/>
                <w:szCs w:val="28"/>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1" w:hRule="atLeast"/>
          <w:jc w:val="center"/>
        </w:trPr>
        <w:tc>
          <w:tcPr>
            <w:tcW w:w="207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cs="宋体"/>
                <w:color w:val="000000"/>
                <w:sz w:val="22"/>
                <w:szCs w:val="22"/>
              </w:rPr>
            </w:pPr>
          </w:p>
        </w:tc>
        <w:tc>
          <w:tcPr>
            <w:tcW w:w="2284"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年初预算数</w:t>
            </w:r>
          </w:p>
        </w:tc>
        <w:tc>
          <w:tcPr>
            <w:tcW w:w="1631"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全年（调整）预算数</w:t>
            </w:r>
          </w:p>
        </w:tc>
        <w:tc>
          <w:tcPr>
            <w:tcW w:w="1294"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全年执行数</w:t>
            </w:r>
          </w:p>
        </w:tc>
        <w:tc>
          <w:tcPr>
            <w:tcW w:w="57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执行率</w:t>
            </w:r>
          </w:p>
        </w:tc>
        <w:tc>
          <w:tcPr>
            <w:tcW w:w="56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cs="宋体"/>
                <w:b/>
                <w:color w:val="000000"/>
                <w:sz w:val="22"/>
                <w:szCs w:val="22"/>
              </w:rPr>
            </w:pPr>
            <w:r>
              <w:rPr>
                <w:rFonts w:cs="宋体"/>
                <w:b/>
                <w:color w:val="000000"/>
                <w:sz w:val="22"/>
                <w:szCs w:val="22"/>
              </w:rPr>
              <w:t>执行率权重</w:t>
            </w:r>
          </w:p>
        </w:tc>
        <w:tc>
          <w:tcPr>
            <w:tcW w:w="13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2" w:hRule="atLeast"/>
          <w:jc w:val="center"/>
        </w:trPr>
        <w:tc>
          <w:tcPr>
            <w:tcW w:w="1164" w:type="dxa"/>
            <w:tcBorders>
              <w:top w:val="single" w:color="000000" w:sz="4" w:space="0"/>
              <w:left w:val="single" w:color="000000" w:sz="4" w:space="0"/>
              <w:bottom w:val="single" w:color="000000" w:sz="4" w:space="0"/>
            </w:tcBorders>
            <w:vAlign w:val="center"/>
          </w:tcPr>
          <w:p>
            <w:pPr>
              <w:textAlignment w:val="center"/>
              <w:rPr>
                <w:rFonts w:hint="default" w:cs="宋体"/>
                <w:color w:val="000000"/>
                <w:sz w:val="22"/>
                <w:szCs w:val="22"/>
              </w:rPr>
            </w:pPr>
            <w:r>
              <w:rPr>
                <w:rFonts w:cs="宋体"/>
                <w:color w:val="000000"/>
                <w:sz w:val="22"/>
                <w:szCs w:val="22"/>
              </w:rPr>
              <w:t>年度总金额</w:t>
            </w:r>
          </w:p>
        </w:tc>
        <w:tc>
          <w:tcPr>
            <w:tcW w:w="909" w:type="dxa"/>
            <w:tcBorders>
              <w:top w:val="single" w:color="000000" w:sz="4" w:space="0"/>
              <w:bottom w:val="single" w:color="000000" w:sz="4" w:space="0"/>
              <w:right w:val="single" w:color="000000" w:sz="4" w:space="0"/>
            </w:tcBorders>
            <w:vAlign w:val="center"/>
          </w:tcPr>
          <w:p>
            <w:pPr>
              <w:rPr>
                <w:rFonts w:hint="default" w:cs="宋体"/>
                <w:color w:val="000000"/>
                <w:sz w:val="22"/>
                <w:szCs w:val="22"/>
              </w:rPr>
            </w:pPr>
          </w:p>
        </w:tc>
        <w:tc>
          <w:tcPr>
            <w:tcW w:w="945" w:type="dxa"/>
            <w:tcBorders>
              <w:top w:val="single" w:color="000000" w:sz="4" w:space="0"/>
              <w:left w:val="single" w:color="000000" w:sz="4" w:space="0"/>
              <w:bottom w:val="single" w:color="000000" w:sz="4" w:space="0"/>
            </w:tcBorders>
            <w:vAlign w:val="center"/>
          </w:tcPr>
          <w:p>
            <w:pPr>
              <w:rPr>
                <w:rFonts w:hint="default" w:cs="宋体"/>
                <w:color w:val="000000"/>
                <w:sz w:val="22"/>
                <w:szCs w:val="22"/>
              </w:rPr>
            </w:pPr>
          </w:p>
        </w:tc>
        <w:tc>
          <w:tcPr>
            <w:tcW w:w="1339" w:type="dxa"/>
            <w:tcBorders>
              <w:top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 xml:space="preserve">920,000.00 </w:t>
            </w:r>
          </w:p>
        </w:tc>
        <w:tc>
          <w:tcPr>
            <w:tcW w:w="815" w:type="dxa"/>
            <w:tcBorders>
              <w:top w:val="single" w:color="000000" w:sz="4" w:space="0"/>
              <w:left w:val="single" w:color="000000" w:sz="4" w:space="0"/>
              <w:bottom w:val="single" w:color="000000" w:sz="4" w:space="0"/>
            </w:tcBorders>
            <w:vAlign w:val="center"/>
          </w:tcPr>
          <w:p>
            <w:pPr>
              <w:rPr>
                <w:rFonts w:hint="default" w:cs="宋体"/>
                <w:color w:val="000000"/>
                <w:sz w:val="22"/>
                <w:szCs w:val="22"/>
              </w:rPr>
            </w:pPr>
          </w:p>
        </w:tc>
        <w:tc>
          <w:tcPr>
            <w:tcW w:w="816" w:type="dxa"/>
            <w:tcBorders>
              <w:top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 xml:space="preserve">970,000.00 </w:t>
            </w:r>
          </w:p>
        </w:tc>
        <w:tc>
          <w:tcPr>
            <w:tcW w:w="579" w:type="dxa"/>
            <w:tcBorders>
              <w:top w:val="single" w:color="000000" w:sz="4" w:space="0"/>
              <w:left w:val="single" w:color="000000" w:sz="4" w:space="0"/>
              <w:bottom w:val="single" w:color="000000" w:sz="4" w:space="0"/>
            </w:tcBorders>
            <w:vAlign w:val="center"/>
          </w:tcPr>
          <w:p>
            <w:pPr>
              <w:rPr>
                <w:rFonts w:hint="default" w:cs="宋体"/>
                <w:color w:val="000000"/>
                <w:sz w:val="22"/>
                <w:szCs w:val="22"/>
              </w:rPr>
            </w:pPr>
          </w:p>
        </w:tc>
        <w:tc>
          <w:tcPr>
            <w:tcW w:w="715" w:type="dxa"/>
            <w:tcBorders>
              <w:top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 xml:space="preserve">970,000.00 </w:t>
            </w:r>
          </w:p>
        </w:tc>
        <w:tc>
          <w:tcPr>
            <w:tcW w:w="579"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c>
          <w:tcPr>
            <w:tcW w:w="569"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c>
          <w:tcPr>
            <w:tcW w:w="133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2" w:hRule="atLeast"/>
          <w:jc w:val="center"/>
        </w:trPr>
        <w:tc>
          <w:tcPr>
            <w:tcW w:w="1164" w:type="dxa"/>
            <w:tcBorders>
              <w:top w:val="single" w:color="000000" w:sz="4" w:space="0"/>
              <w:left w:val="single" w:color="000000" w:sz="4" w:space="0"/>
              <w:bottom w:val="single" w:color="000000" w:sz="4" w:space="0"/>
            </w:tcBorders>
            <w:vAlign w:val="center"/>
          </w:tcPr>
          <w:p>
            <w:pPr>
              <w:textAlignment w:val="center"/>
              <w:rPr>
                <w:rFonts w:hint="default" w:cs="宋体"/>
                <w:color w:val="000000"/>
                <w:sz w:val="22"/>
                <w:szCs w:val="22"/>
              </w:rPr>
            </w:pPr>
            <w:r>
              <w:rPr>
                <w:rFonts w:cs="宋体"/>
                <w:color w:val="000000"/>
                <w:sz w:val="22"/>
                <w:szCs w:val="22"/>
              </w:rPr>
              <w:t>其中：财政拨款</w:t>
            </w:r>
          </w:p>
        </w:tc>
        <w:tc>
          <w:tcPr>
            <w:tcW w:w="909" w:type="dxa"/>
            <w:tcBorders>
              <w:top w:val="single" w:color="000000" w:sz="4" w:space="0"/>
              <w:bottom w:val="single" w:color="000000" w:sz="4" w:space="0"/>
              <w:right w:val="single" w:color="000000" w:sz="4" w:space="0"/>
            </w:tcBorders>
            <w:vAlign w:val="center"/>
          </w:tcPr>
          <w:p>
            <w:pPr>
              <w:rPr>
                <w:rFonts w:hint="default" w:cs="宋体"/>
                <w:color w:val="000000"/>
                <w:sz w:val="22"/>
                <w:szCs w:val="22"/>
              </w:rPr>
            </w:pPr>
          </w:p>
        </w:tc>
        <w:tc>
          <w:tcPr>
            <w:tcW w:w="945" w:type="dxa"/>
            <w:tcBorders>
              <w:top w:val="single" w:color="000000" w:sz="4" w:space="0"/>
              <w:left w:val="single" w:color="000000" w:sz="4" w:space="0"/>
              <w:bottom w:val="single" w:color="000000" w:sz="4" w:space="0"/>
            </w:tcBorders>
            <w:vAlign w:val="center"/>
          </w:tcPr>
          <w:p>
            <w:pPr>
              <w:rPr>
                <w:rFonts w:hint="default" w:cs="宋体"/>
                <w:color w:val="000000"/>
                <w:sz w:val="22"/>
                <w:szCs w:val="22"/>
              </w:rPr>
            </w:pPr>
          </w:p>
        </w:tc>
        <w:tc>
          <w:tcPr>
            <w:tcW w:w="1339" w:type="dxa"/>
            <w:tcBorders>
              <w:top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 xml:space="preserve">920,000.00 </w:t>
            </w:r>
          </w:p>
        </w:tc>
        <w:tc>
          <w:tcPr>
            <w:tcW w:w="815" w:type="dxa"/>
            <w:tcBorders>
              <w:top w:val="single" w:color="000000" w:sz="4" w:space="0"/>
              <w:left w:val="single" w:color="000000" w:sz="4" w:space="0"/>
              <w:bottom w:val="single" w:color="000000" w:sz="4" w:space="0"/>
            </w:tcBorders>
            <w:vAlign w:val="center"/>
          </w:tcPr>
          <w:p>
            <w:pPr>
              <w:rPr>
                <w:rFonts w:hint="default" w:cs="宋体"/>
                <w:color w:val="000000"/>
                <w:sz w:val="22"/>
                <w:szCs w:val="22"/>
              </w:rPr>
            </w:pPr>
          </w:p>
        </w:tc>
        <w:tc>
          <w:tcPr>
            <w:tcW w:w="816" w:type="dxa"/>
            <w:tcBorders>
              <w:top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 xml:space="preserve">970,000.00 </w:t>
            </w:r>
          </w:p>
        </w:tc>
        <w:tc>
          <w:tcPr>
            <w:tcW w:w="579" w:type="dxa"/>
            <w:tcBorders>
              <w:top w:val="single" w:color="000000" w:sz="4" w:space="0"/>
              <w:left w:val="single" w:color="000000" w:sz="4" w:space="0"/>
              <w:bottom w:val="single" w:color="000000" w:sz="4" w:space="0"/>
            </w:tcBorders>
            <w:vAlign w:val="center"/>
          </w:tcPr>
          <w:p>
            <w:pPr>
              <w:rPr>
                <w:rFonts w:hint="default" w:cs="宋体"/>
                <w:color w:val="000000"/>
                <w:sz w:val="22"/>
                <w:szCs w:val="22"/>
              </w:rPr>
            </w:pPr>
          </w:p>
        </w:tc>
        <w:tc>
          <w:tcPr>
            <w:tcW w:w="715" w:type="dxa"/>
            <w:tcBorders>
              <w:top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 xml:space="preserve">970,000.00 </w:t>
            </w:r>
          </w:p>
        </w:tc>
        <w:tc>
          <w:tcPr>
            <w:tcW w:w="57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100</w:t>
            </w:r>
          </w:p>
        </w:tc>
        <w:tc>
          <w:tcPr>
            <w:tcW w:w="56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10.00</w:t>
            </w:r>
          </w:p>
        </w:tc>
        <w:tc>
          <w:tcPr>
            <w:tcW w:w="1330"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2" w:hRule="atLeast"/>
          <w:jc w:val="center"/>
        </w:trPr>
        <w:tc>
          <w:tcPr>
            <w:tcW w:w="1164" w:type="dxa"/>
            <w:tcBorders>
              <w:top w:val="single" w:color="000000" w:sz="4" w:space="0"/>
              <w:left w:val="single" w:color="000000" w:sz="4" w:space="0"/>
              <w:bottom w:val="single" w:color="000000" w:sz="4" w:space="0"/>
            </w:tcBorders>
            <w:vAlign w:val="center"/>
          </w:tcPr>
          <w:p>
            <w:pPr>
              <w:textAlignment w:val="center"/>
              <w:rPr>
                <w:rFonts w:hint="default" w:cs="宋体"/>
                <w:color w:val="000000"/>
                <w:sz w:val="22"/>
                <w:szCs w:val="22"/>
              </w:rPr>
            </w:pPr>
            <w:r>
              <w:rPr>
                <w:rFonts w:cs="宋体"/>
                <w:color w:val="000000"/>
                <w:sz w:val="22"/>
                <w:szCs w:val="22"/>
              </w:rPr>
              <w:t>一般公共预算</w:t>
            </w:r>
          </w:p>
        </w:tc>
        <w:tc>
          <w:tcPr>
            <w:tcW w:w="909" w:type="dxa"/>
            <w:tcBorders>
              <w:top w:val="single" w:color="000000" w:sz="4" w:space="0"/>
              <w:bottom w:val="single" w:color="000000" w:sz="4" w:space="0"/>
              <w:right w:val="single" w:color="000000" w:sz="4" w:space="0"/>
            </w:tcBorders>
            <w:vAlign w:val="center"/>
          </w:tcPr>
          <w:p>
            <w:pPr>
              <w:rPr>
                <w:rFonts w:hint="default" w:cs="宋体"/>
                <w:color w:val="000000"/>
                <w:sz w:val="22"/>
                <w:szCs w:val="22"/>
              </w:rPr>
            </w:pPr>
          </w:p>
        </w:tc>
        <w:tc>
          <w:tcPr>
            <w:tcW w:w="945" w:type="dxa"/>
            <w:tcBorders>
              <w:top w:val="single" w:color="000000" w:sz="4" w:space="0"/>
              <w:left w:val="single" w:color="000000" w:sz="4" w:space="0"/>
              <w:bottom w:val="single" w:color="000000" w:sz="4" w:space="0"/>
            </w:tcBorders>
            <w:vAlign w:val="center"/>
          </w:tcPr>
          <w:p>
            <w:pPr>
              <w:rPr>
                <w:rFonts w:hint="default" w:cs="宋体"/>
                <w:color w:val="000000"/>
                <w:sz w:val="22"/>
                <w:szCs w:val="22"/>
              </w:rPr>
            </w:pPr>
          </w:p>
        </w:tc>
        <w:tc>
          <w:tcPr>
            <w:tcW w:w="1339" w:type="dxa"/>
            <w:tcBorders>
              <w:top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 xml:space="preserve">920,000.00 </w:t>
            </w:r>
          </w:p>
        </w:tc>
        <w:tc>
          <w:tcPr>
            <w:tcW w:w="815" w:type="dxa"/>
            <w:tcBorders>
              <w:top w:val="single" w:color="000000" w:sz="4" w:space="0"/>
              <w:left w:val="single" w:color="000000" w:sz="4" w:space="0"/>
              <w:bottom w:val="single" w:color="000000" w:sz="4" w:space="0"/>
            </w:tcBorders>
            <w:vAlign w:val="center"/>
          </w:tcPr>
          <w:p>
            <w:pPr>
              <w:rPr>
                <w:rFonts w:hint="default" w:cs="宋体"/>
                <w:color w:val="000000"/>
                <w:sz w:val="22"/>
                <w:szCs w:val="22"/>
              </w:rPr>
            </w:pPr>
          </w:p>
        </w:tc>
        <w:tc>
          <w:tcPr>
            <w:tcW w:w="816" w:type="dxa"/>
            <w:tcBorders>
              <w:top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 xml:space="preserve">970,000.00 </w:t>
            </w:r>
          </w:p>
        </w:tc>
        <w:tc>
          <w:tcPr>
            <w:tcW w:w="579" w:type="dxa"/>
            <w:tcBorders>
              <w:top w:val="single" w:color="000000" w:sz="4" w:space="0"/>
              <w:left w:val="single" w:color="000000" w:sz="4" w:space="0"/>
              <w:bottom w:val="single" w:color="000000" w:sz="4" w:space="0"/>
            </w:tcBorders>
            <w:vAlign w:val="center"/>
          </w:tcPr>
          <w:p>
            <w:pPr>
              <w:rPr>
                <w:rFonts w:hint="default" w:cs="宋体"/>
                <w:color w:val="000000"/>
                <w:sz w:val="22"/>
                <w:szCs w:val="22"/>
              </w:rPr>
            </w:pPr>
          </w:p>
        </w:tc>
        <w:tc>
          <w:tcPr>
            <w:tcW w:w="715" w:type="dxa"/>
            <w:tcBorders>
              <w:top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 xml:space="preserve">970,000.00 </w:t>
            </w:r>
          </w:p>
        </w:tc>
        <w:tc>
          <w:tcPr>
            <w:tcW w:w="57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100</w:t>
            </w:r>
          </w:p>
        </w:tc>
        <w:tc>
          <w:tcPr>
            <w:tcW w:w="569"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c>
          <w:tcPr>
            <w:tcW w:w="133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7" w:hRule="atLeast"/>
          <w:jc w:val="center"/>
        </w:trPr>
        <w:tc>
          <w:tcPr>
            <w:tcW w:w="9760" w:type="dxa"/>
            <w:gridSpan w:val="11"/>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微软雅黑" w:hAnsi="微软雅黑" w:eastAsia="微软雅黑" w:cs="微软雅黑"/>
                <w:b/>
                <w:color w:val="000000"/>
                <w:sz w:val="28"/>
                <w:szCs w:val="28"/>
              </w:rPr>
            </w:pPr>
            <w:r>
              <w:rPr>
                <w:rFonts w:ascii="微软雅黑" w:hAnsi="微软雅黑" w:eastAsia="微软雅黑" w:cs="微软雅黑"/>
                <w:b/>
                <w:color w:val="000000"/>
                <w:sz w:val="28"/>
                <w:szCs w:val="28"/>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2" w:hRule="atLeast"/>
          <w:jc w:val="center"/>
        </w:trPr>
        <w:tc>
          <w:tcPr>
            <w:tcW w:w="4357" w:type="dxa"/>
            <w:gridSpan w:val="4"/>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年初绩效目标</w:t>
            </w:r>
          </w:p>
        </w:tc>
        <w:tc>
          <w:tcPr>
            <w:tcW w:w="2925" w:type="dxa"/>
            <w:gridSpan w:val="4"/>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全年（调整）绩效目标</w:t>
            </w:r>
          </w:p>
        </w:tc>
        <w:tc>
          <w:tcPr>
            <w:tcW w:w="2478"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26" w:hRule="atLeast"/>
          <w:jc w:val="center"/>
        </w:trPr>
        <w:tc>
          <w:tcPr>
            <w:tcW w:w="4357" w:type="dxa"/>
            <w:gridSpan w:val="4"/>
            <w:tcBorders>
              <w:top w:val="single" w:color="000000" w:sz="4" w:space="0"/>
              <w:left w:val="single" w:color="000000" w:sz="4" w:space="0"/>
              <w:bottom w:val="single" w:color="000000" w:sz="4" w:space="0"/>
              <w:right w:val="single" w:color="000000" w:sz="4" w:space="0"/>
            </w:tcBorders>
            <w:vAlign w:val="top"/>
          </w:tcPr>
          <w:p>
            <w:pPr>
              <w:textAlignment w:val="top"/>
              <w:rPr>
                <w:rFonts w:hint="default" w:cs="宋体"/>
                <w:color w:val="000000"/>
                <w:sz w:val="22"/>
                <w:szCs w:val="22"/>
              </w:rPr>
            </w:pPr>
            <w:r>
              <w:rPr>
                <w:rFonts w:cs="宋体"/>
                <w:color w:val="000000"/>
                <w:sz w:val="22"/>
                <w:szCs w:val="22"/>
              </w:rPr>
              <w:t>服务群众专项经费</w:t>
            </w:r>
          </w:p>
        </w:tc>
        <w:tc>
          <w:tcPr>
            <w:tcW w:w="2925" w:type="dxa"/>
            <w:gridSpan w:val="4"/>
            <w:tcBorders>
              <w:top w:val="single" w:color="000000" w:sz="4" w:space="0"/>
              <w:left w:val="single" w:color="000000" w:sz="4" w:space="0"/>
              <w:bottom w:val="single" w:color="000000" w:sz="4" w:space="0"/>
              <w:right w:val="single" w:color="000000" w:sz="4" w:space="0"/>
            </w:tcBorders>
            <w:vAlign w:val="top"/>
          </w:tcPr>
          <w:p>
            <w:pPr>
              <w:textAlignment w:val="top"/>
              <w:rPr>
                <w:rFonts w:hint="default" w:cs="宋体"/>
                <w:color w:val="000000"/>
                <w:sz w:val="22"/>
                <w:szCs w:val="22"/>
              </w:rPr>
            </w:pPr>
            <w:r>
              <w:rPr>
                <w:rFonts w:cs="宋体"/>
                <w:color w:val="000000"/>
                <w:sz w:val="22"/>
                <w:szCs w:val="22"/>
              </w:rPr>
              <w:t>服务群众专项经费</w:t>
            </w:r>
          </w:p>
        </w:tc>
        <w:tc>
          <w:tcPr>
            <w:tcW w:w="2478" w:type="dxa"/>
            <w:gridSpan w:val="3"/>
            <w:tcBorders>
              <w:top w:val="single" w:color="000000" w:sz="4" w:space="0"/>
              <w:left w:val="single" w:color="000000" w:sz="4" w:space="0"/>
              <w:bottom w:val="single" w:color="000000" w:sz="4" w:space="0"/>
              <w:right w:val="single" w:color="000000" w:sz="4" w:space="0"/>
            </w:tcBorders>
            <w:vAlign w:val="top"/>
          </w:tcPr>
          <w:p>
            <w:pPr>
              <w:textAlignment w:val="top"/>
              <w:rPr>
                <w:rFonts w:hint="default" w:cs="宋体"/>
                <w:color w:val="000000"/>
                <w:sz w:val="22"/>
                <w:szCs w:val="22"/>
              </w:rPr>
            </w:pPr>
            <w:r>
              <w:rPr>
                <w:rFonts w:cs="宋体"/>
                <w:color w:val="000000"/>
                <w:sz w:val="22"/>
                <w:szCs w:val="22"/>
              </w:rPr>
              <w:t>全部完成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7" w:hRule="atLeast"/>
          <w:jc w:val="center"/>
        </w:trPr>
        <w:tc>
          <w:tcPr>
            <w:tcW w:w="9760" w:type="dxa"/>
            <w:gridSpan w:val="11"/>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微软雅黑" w:hAnsi="微软雅黑" w:eastAsia="微软雅黑" w:cs="微软雅黑"/>
                <w:b/>
                <w:color w:val="000000"/>
                <w:sz w:val="28"/>
                <w:szCs w:val="28"/>
              </w:rPr>
            </w:pPr>
            <w:r>
              <w:rPr>
                <w:rFonts w:ascii="微软雅黑" w:hAnsi="微软雅黑" w:eastAsia="微软雅黑" w:cs="微软雅黑"/>
                <w:b/>
                <w:color w:val="000000"/>
                <w:sz w:val="28"/>
                <w:szCs w:val="28"/>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1" w:hRule="atLeast"/>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指标名称</w:t>
            </w:r>
          </w:p>
        </w:tc>
        <w:tc>
          <w:tcPr>
            <w:tcW w:w="90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计量单位</w:t>
            </w:r>
          </w:p>
        </w:tc>
        <w:tc>
          <w:tcPr>
            <w:tcW w:w="9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指标性质</w:t>
            </w:r>
          </w:p>
        </w:tc>
        <w:tc>
          <w:tcPr>
            <w:tcW w:w="133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指标值</w:t>
            </w:r>
          </w:p>
        </w:tc>
        <w:tc>
          <w:tcPr>
            <w:tcW w:w="8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全年完成值</w:t>
            </w:r>
          </w:p>
        </w:tc>
        <w:tc>
          <w:tcPr>
            <w:tcW w:w="81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偏离度（%）</w:t>
            </w:r>
          </w:p>
        </w:tc>
        <w:tc>
          <w:tcPr>
            <w:tcW w:w="57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得分系数（%）</w:t>
            </w:r>
          </w:p>
        </w:tc>
        <w:tc>
          <w:tcPr>
            <w:tcW w:w="7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指标权重</w:t>
            </w:r>
          </w:p>
        </w:tc>
        <w:tc>
          <w:tcPr>
            <w:tcW w:w="57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指标得分</w:t>
            </w:r>
          </w:p>
        </w:tc>
        <w:tc>
          <w:tcPr>
            <w:tcW w:w="56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是否核心指标</w:t>
            </w:r>
          </w:p>
        </w:tc>
        <w:tc>
          <w:tcPr>
            <w:tcW w:w="13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2" w:hRule="atLeast"/>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村社区个数</w:t>
            </w:r>
          </w:p>
        </w:tc>
        <w:tc>
          <w:tcPr>
            <w:tcW w:w="909"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个</w:t>
            </w:r>
          </w:p>
        </w:tc>
        <w:tc>
          <w:tcPr>
            <w:tcW w:w="945"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1339"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20</w:t>
            </w:r>
          </w:p>
        </w:tc>
        <w:tc>
          <w:tcPr>
            <w:tcW w:w="815"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20</w:t>
            </w:r>
          </w:p>
        </w:tc>
        <w:tc>
          <w:tcPr>
            <w:tcW w:w="816"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579"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15"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20</w:t>
            </w:r>
          </w:p>
        </w:tc>
        <w:tc>
          <w:tcPr>
            <w:tcW w:w="579"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20</w:t>
            </w:r>
          </w:p>
        </w:tc>
        <w:tc>
          <w:tcPr>
            <w:tcW w:w="569"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是</w:t>
            </w:r>
          </w:p>
        </w:tc>
        <w:tc>
          <w:tcPr>
            <w:tcW w:w="1330"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2" w:hRule="atLeast"/>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质量合格率</w:t>
            </w:r>
          </w:p>
        </w:tc>
        <w:tc>
          <w:tcPr>
            <w:tcW w:w="909"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945"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1339"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815"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816"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579"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15"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579"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569"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否</w:t>
            </w:r>
          </w:p>
        </w:tc>
        <w:tc>
          <w:tcPr>
            <w:tcW w:w="1330"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2" w:hRule="atLeast"/>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及时支付率</w:t>
            </w:r>
          </w:p>
        </w:tc>
        <w:tc>
          <w:tcPr>
            <w:tcW w:w="909"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945"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1339"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815"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816"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579"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15"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579"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569"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否</w:t>
            </w:r>
          </w:p>
        </w:tc>
        <w:tc>
          <w:tcPr>
            <w:tcW w:w="1330"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1" w:hRule="atLeast"/>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保障服务群众专项经费</w:t>
            </w:r>
          </w:p>
        </w:tc>
        <w:tc>
          <w:tcPr>
            <w:tcW w:w="909"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c>
          <w:tcPr>
            <w:tcW w:w="945"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定性</w:t>
            </w:r>
          </w:p>
        </w:tc>
        <w:tc>
          <w:tcPr>
            <w:tcW w:w="1339"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好</w:t>
            </w:r>
          </w:p>
        </w:tc>
        <w:tc>
          <w:tcPr>
            <w:tcW w:w="815"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w:t>
            </w:r>
          </w:p>
        </w:tc>
        <w:tc>
          <w:tcPr>
            <w:tcW w:w="816"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579"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15"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20</w:t>
            </w:r>
          </w:p>
        </w:tc>
        <w:tc>
          <w:tcPr>
            <w:tcW w:w="579"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20</w:t>
            </w:r>
          </w:p>
        </w:tc>
        <w:tc>
          <w:tcPr>
            <w:tcW w:w="569"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否</w:t>
            </w:r>
          </w:p>
        </w:tc>
        <w:tc>
          <w:tcPr>
            <w:tcW w:w="1330"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2" w:hRule="atLeast"/>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服务对象满意度</w:t>
            </w:r>
          </w:p>
        </w:tc>
        <w:tc>
          <w:tcPr>
            <w:tcW w:w="909"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945"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1339"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95</w:t>
            </w:r>
          </w:p>
        </w:tc>
        <w:tc>
          <w:tcPr>
            <w:tcW w:w="815"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94</w:t>
            </w:r>
          </w:p>
        </w:tc>
        <w:tc>
          <w:tcPr>
            <w:tcW w:w="816"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1.05</w:t>
            </w:r>
          </w:p>
        </w:tc>
        <w:tc>
          <w:tcPr>
            <w:tcW w:w="579"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89.5</w:t>
            </w:r>
          </w:p>
        </w:tc>
        <w:tc>
          <w:tcPr>
            <w:tcW w:w="715"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579"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8.95</w:t>
            </w:r>
          </w:p>
        </w:tc>
        <w:tc>
          <w:tcPr>
            <w:tcW w:w="569"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否</w:t>
            </w:r>
          </w:p>
        </w:tc>
        <w:tc>
          <w:tcPr>
            <w:tcW w:w="1330"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服务群众专项经费</w:t>
            </w:r>
          </w:p>
        </w:tc>
        <w:tc>
          <w:tcPr>
            <w:tcW w:w="909"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万元</w:t>
            </w:r>
          </w:p>
        </w:tc>
        <w:tc>
          <w:tcPr>
            <w:tcW w:w="945"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1339"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97</w:t>
            </w:r>
          </w:p>
        </w:tc>
        <w:tc>
          <w:tcPr>
            <w:tcW w:w="815"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97</w:t>
            </w:r>
          </w:p>
        </w:tc>
        <w:tc>
          <w:tcPr>
            <w:tcW w:w="816"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579"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15"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20</w:t>
            </w:r>
          </w:p>
        </w:tc>
        <w:tc>
          <w:tcPr>
            <w:tcW w:w="579"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20</w:t>
            </w:r>
          </w:p>
        </w:tc>
        <w:tc>
          <w:tcPr>
            <w:tcW w:w="569"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否</w:t>
            </w:r>
          </w:p>
        </w:tc>
        <w:tc>
          <w:tcPr>
            <w:tcW w:w="1330"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r>
    </w:tbl>
    <w:p>
      <w:pPr>
        <w:pStyle w:val="2"/>
        <w:ind w:firstLine="480"/>
        <w:rPr>
          <w:rFonts w:hint="default"/>
          <w:color w:val="000000"/>
        </w:rPr>
      </w:pPr>
    </w:p>
    <w:p>
      <w:pPr>
        <w:pStyle w:val="2"/>
        <w:ind w:firstLine="480"/>
        <w:rPr>
          <w:rFonts w:hint="default"/>
          <w:color w:val="000000"/>
        </w:rPr>
      </w:pPr>
    </w:p>
    <w:p>
      <w:pPr>
        <w:pStyle w:val="2"/>
        <w:ind w:firstLine="480"/>
        <w:rPr>
          <w:rFonts w:hint="default"/>
          <w:color w:val="000000"/>
        </w:rPr>
      </w:pPr>
    </w:p>
    <w:p>
      <w:pPr>
        <w:pStyle w:val="2"/>
        <w:ind w:firstLine="480"/>
        <w:rPr>
          <w:rFonts w:hint="default"/>
          <w:color w:val="000000"/>
        </w:rPr>
      </w:pPr>
    </w:p>
    <w:p>
      <w:pPr>
        <w:pStyle w:val="2"/>
        <w:ind w:firstLine="480"/>
        <w:rPr>
          <w:rFonts w:hint="default"/>
          <w:color w:val="000000"/>
        </w:rPr>
      </w:pPr>
    </w:p>
    <w:p>
      <w:pPr>
        <w:widowControl w:val="0"/>
        <w:ind w:firstLine="640" w:firstLineChars="200"/>
        <w:jc w:val="both"/>
        <w:rPr>
          <w:rFonts w:hint="default" w:ascii="方正仿宋_GBK" w:hAnsi="等线" w:eastAsia="方正仿宋_GBK"/>
          <w:b/>
          <w:bCs/>
          <w:color w:val="000000"/>
          <w:kern w:val="2"/>
          <w:sz w:val="32"/>
          <w:szCs w:val="32"/>
        </w:rPr>
      </w:pPr>
    </w:p>
    <w:tbl>
      <w:tblPr>
        <w:tblStyle w:val="8"/>
        <w:tblW w:w="90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70"/>
        <w:gridCol w:w="801"/>
        <w:gridCol w:w="848"/>
        <w:gridCol w:w="1502"/>
        <w:gridCol w:w="778"/>
        <w:gridCol w:w="779"/>
        <w:gridCol w:w="522"/>
        <w:gridCol w:w="616"/>
        <w:gridCol w:w="522"/>
        <w:gridCol w:w="513"/>
        <w:gridCol w:w="14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9" w:hRule="atLeast"/>
          <w:jc w:val="center"/>
        </w:trPr>
        <w:tc>
          <w:tcPr>
            <w:tcW w:w="9060" w:type="dxa"/>
            <w:gridSpan w:val="11"/>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4" w:hRule="atLeast"/>
          <w:jc w:val="center"/>
        </w:trPr>
        <w:tc>
          <w:tcPr>
            <w:tcW w:w="9060" w:type="dxa"/>
            <w:gridSpan w:val="11"/>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b/>
                <w:color w:val="000000"/>
                <w:sz w:val="22"/>
                <w:szCs w:val="22"/>
              </w:rPr>
            </w:pPr>
            <w:r>
              <w:rPr>
                <w:rFonts w:cs="宋体"/>
                <w:b/>
                <w:color w:val="000000"/>
                <w:sz w:val="22"/>
                <w:szCs w:val="22"/>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770"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22"/>
                <w:szCs w:val="22"/>
              </w:rPr>
            </w:pPr>
            <w:r>
              <w:rPr>
                <w:rFonts w:cs="宋体"/>
                <w:b/>
                <w:color w:val="000000"/>
                <w:sz w:val="22"/>
                <w:szCs w:val="22"/>
              </w:rPr>
              <w:t>项目名称：</w:t>
            </w:r>
          </w:p>
        </w:tc>
        <w:tc>
          <w:tcPr>
            <w:tcW w:w="1649"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老党员生活补贴</w:t>
            </w:r>
          </w:p>
        </w:tc>
        <w:tc>
          <w:tcPr>
            <w:tcW w:w="1502"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22"/>
                <w:szCs w:val="22"/>
              </w:rPr>
            </w:pPr>
            <w:r>
              <w:rPr>
                <w:rFonts w:cs="宋体"/>
                <w:b/>
                <w:color w:val="000000"/>
                <w:sz w:val="22"/>
                <w:szCs w:val="22"/>
              </w:rPr>
              <w:t>项目编码：</w:t>
            </w:r>
          </w:p>
        </w:tc>
        <w:tc>
          <w:tcPr>
            <w:tcW w:w="1557"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50023123T000003484556</w:t>
            </w:r>
          </w:p>
        </w:tc>
        <w:tc>
          <w:tcPr>
            <w:tcW w:w="522"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22"/>
                <w:szCs w:val="22"/>
              </w:rPr>
            </w:pPr>
            <w:r>
              <w:rPr>
                <w:rFonts w:cs="宋体"/>
                <w:b/>
                <w:color w:val="000000"/>
                <w:sz w:val="22"/>
                <w:szCs w:val="22"/>
              </w:rPr>
              <w:t>自评总分：</w:t>
            </w:r>
          </w:p>
        </w:tc>
        <w:tc>
          <w:tcPr>
            <w:tcW w:w="1138"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98.95</w:t>
            </w:r>
          </w:p>
        </w:tc>
        <w:tc>
          <w:tcPr>
            <w:tcW w:w="51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cs="宋体"/>
                <w:b/>
                <w:color w:val="000000"/>
                <w:sz w:val="22"/>
                <w:szCs w:val="22"/>
              </w:rPr>
            </w:pPr>
          </w:p>
        </w:tc>
        <w:tc>
          <w:tcPr>
            <w:tcW w:w="1409"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770"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22"/>
                <w:szCs w:val="22"/>
              </w:rPr>
            </w:pPr>
            <w:r>
              <w:rPr>
                <w:rFonts w:cs="宋体"/>
                <w:b/>
                <w:color w:val="000000"/>
                <w:sz w:val="22"/>
                <w:szCs w:val="22"/>
              </w:rPr>
              <w:t>项目主管部门：</w:t>
            </w:r>
          </w:p>
        </w:tc>
        <w:tc>
          <w:tcPr>
            <w:tcW w:w="1649"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701-垫江县人民政府桂溪街道办事处</w:t>
            </w:r>
          </w:p>
        </w:tc>
        <w:tc>
          <w:tcPr>
            <w:tcW w:w="1502"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22"/>
                <w:szCs w:val="22"/>
              </w:rPr>
            </w:pPr>
            <w:r>
              <w:rPr>
                <w:rFonts w:cs="宋体"/>
                <w:b/>
                <w:color w:val="000000"/>
                <w:sz w:val="22"/>
                <w:szCs w:val="22"/>
              </w:rPr>
              <w:t>财政归口处室：</w:t>
            </w:r>
          </w:p>
        </w:tc>
        <w:tc>
          <w:tcPr>
            <w:tcW w:w="1557"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014-会计管理核算中心</w:t>
            </w:r>
          </w:p>
        </w:tc>
        <w:tc>
          <w:tcPr>
            <w:tcW w:w="522"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22"/>
                <w:szCs w:val="22"/>
              </w:rPr>
            </w:pPr>
            <w:r>
              <w:rPr>
                <w:rFonts w:cs="宋体"/>
                <w:b/>
                <w:color w:val="000000"/>
                <w:sz w:val="22"/>
                <w:szCs w:val="22"/>
              </w:rPr>
              <w:t>部门联系人：</w:t>
            </w:r>
          </w:p>
        </w:tc>
        <w:tc>
          <w:tcPr>
            <w:tcW w:w="1138"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舒老师</w:t>
            </w:r>
          </w:p>
        </w:tc>
        <w:tc>
          <w:tcPr>
            <w:tcW w:w="513"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b/>
                <w:color w:val="000000"/>
                <w:sz w:val="22"/>
                <w:szCs w:val="22"/>
              </w:rPr>
            </w:pPr>
            <w:r>
              <w:rPr>
                <w:rFonts w:cs="宋体"/>
                <w:b/>
                <w:color w:val="000000"/>
                <w:sz w:val="22"/>
                <w:szCs w:val="22"/>
              </w:rPr>
              <w:t>联系电话：</w:t>
            </w:r>
          </w:p>
        </w:tc>
        <w:tc>
          <w:tcPr>
            <w:tcW w:w="140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74691235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9" w:hRule="atLeast"/>
          <w:jc w:val="center"/>
        </w:trPr>
        <w:tc>
          <w:tcPr>
            <w:tcW w:w="9060" w:type="dxa"/>
            <w:gridSpan w:val="11"/>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微软雅黑" w:hAnsi="微软雅黑" w:eastAsia="微软雅黑" w:cs="微软雅黑"/>
                <w:b/>
                <w:color w:val="000000"/>
                <w:sz w:val="28"/>
                <w:szCs w:val="28"/>
              </w:rPr>
            </w:pPr>
            <w:r>
              <w:rPr>
                <w:rFonts w:ascii="微软雅黑" w:hAnsi="微软雅黑" w:eastAsia="微软雅黑" w:cs="微软雅黑"/>
                <w:b/>
                <w:color w:val="000000"/>
                <w:sz w:val="28"/>
                <w:szCs w:val="28"/>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157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cs="宋体"/>
                <w:color w:val="000000"/>
                <w:sz w:val="22"/>
                <w:szCs w:val="22"/>
              </w:rPr>
            </w:pPr>
          </w:p>
        </w:tc>
        <w:tc>
          <w:tcPr>
            <w:tcW w:w="2350"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年初预算数</w:t>
            </w:r>
          </w:p>
        </w:tc>
        <w:tc>
          <w:tcPr>
            <w:tcW w:w="1557"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全年（调整）预算数</w:t>
            </w:r>
          </w:p>
        </w:tc>
        <w:tc>
          <w:tcPr>
            <w:tcW w:w="1138"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全年执行数</w:t>
            </w:r>
          </w:p>
        </w:tc>
        <w:tc>
          <w:tcPr>
            <w:tcW w:w="52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执行率</w:t>
            </w:r>
          </w:p>
        </w:tc>
        <w:tc>
          <w:tcPr>
            <w:tcW w:w="51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cs="宋体"/>
                <w:b/>
                <w:color w:val="000000"/>
                <w:sz w:val="22"/>
                <w:szCs w:val="22"/>
              </w:rPr>
            </w:pPr>
            <w:r>
              <w:rPr>
                <w:rFonts w:cs="宋体"/>
                <w:b/>
                <w:color w:val="000000"/>
                <w:sz w:val="22"/>
                <w:szCs w:val="22"/>
              </w:rPr>
              <w:t>执行率权重</w:t>
            </w:r>
          </w:p>
        </w:tc>
        <w:tc>
          <w:tcPr>
            <w:tcW w:w="140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4" w:hRule="atLeast"/>
          <w:jc w:val="center"/>
        </w:trPr>
        <w:tc>
          <w:tcPr>
            <w:tcW w:w="770" w:type="dxa"/>
            <w:tcBorders>
              <w:top w:val="single" w:color="000000" w:sz="4" w:space="0"/>
              <w:left w:val="single" w:color="000000" w:sz="4" w:space="0"/>
              <w:bottom w:val="single" w:color="000000" w:sz="4" w:space="0"/>
            </w:tcBorders>
            <w:vAlign w:val="center"/>
          </w:tcPr>
          <w:p>
            <w:pPr>
              <w:textAlignment w:val="center"/>
              <w:rPr>
                <w:rFonts w:hint="default" w:cs="宋体"/>
                <w:color w:val="000000"/>
                <w:sz w:val="22"/>
                <w:szCs w:val="22"/>
              </w:rPr>
            </w:pPr>
            <w:r>
              <w:rPr>
                <w:rFonts w:cs="宋体"/>
                <w:color w:val="000000"/>
                <w:sz w:val="22"/>
                <w:szCs w:val="22"/>
              </w:rPr>
              <w:t>年度总金额</w:t>
            </w:r>
          </w:p>
        </w:tc>
        <w:tc>
          <w:tcPr>
            <w:tcW w:w="801" w:type="dxa"/>
            <w:tcBorders>
              <w:top w:val="single" w:color="000000" w:sz="4" w:space="0"/>
              <w:bottom w:val="single" w:color="000000" w:sz="4" w:space="0"/>
              <w:right w:val="single" w:color="000000" w:sz="4" w:space="0"/>
            </w:tcBorders>
            <w:vAlign w:val="center"/>
          </w:tcPr>
          <w:p>
            <w:pPr>
              <w:rPr>
                <w:rFonts w:hint="default" w:cs="宋体"/>
                <w:color w:val="000000"/>
                <w:sz w:val="22"/>
                <w:szCs w:val="22"/>
              </w:rPr>
            </w:pPr>
          </w:p>
        </w:tc>
        <w:tc>
          <w:tcPr>
            <w:tcW w:w="848" w:type="dxa"/>
            <w:tcBorders>
              <w:top w:val="single" w:color="000000" w:sz="4" w:space="0"/>
              <w:left w:val="single" w:color="000000" w:sz="4" w:space="0"/>
              <w:bottom w:val="single" w:color="000000" w:sz="4" w:space="0"/>
            </w:tcBorders>
            <w:vAlign w:val="center"/>
          </w:tcPr>
          <w:p>
            <w:pPr>
              <w:rPr>
                <w:rFonts w:hint="default" w:cs="宋体"/>
                <w:color w:val="000000"/>
                <w:sz w:val="22"/>
                <w:szCs w:val="22"/>
              </w:rPr>
            </w:pPr>
          </w:p>
        </w:tc>
        <w:tc>
          <w:tcPr>
            <w:tcW w:w="1502" w:type="dxa"/>
            <w:tcBorders>
              <w:top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 xml:space="preserve">0.00 </w:t>
            </w:r>
          </w:p>
        </w:tc>
        <w:tc>
          <w:tcPr>
            <w:tcW w:w="778" w:type="dxa"/>
            <w:tcBorders>
              <w:top w:val="single" w:color="000000" w:sz="4" w:space="0"/>
              <w:left w:val="single" w:color="000000" w:sz="4" w:space="0"/>
              <w:bottom w:val="single" w:color="000000" w:sz="4" w:space="0"/>
            </w:tcBorders>
            <w:vAlign w:val="center"/>
          </w:tcPr>
          <w:p>
            <w:pPr>
              <w:rPr>
                <w:rFonts w:hint="default" w:cs="宋体"/>
                <w:color w:val="000000"/>
                <w:sz w:val="22"/>
                <w:szCs w:val="22"/>
              </w:rPr>
            </w:pPr>
          </w:p>
        </w:tc>
        <w:tc>
          <w:tcPr>
            <w:tcW w:w="779" w:type="dxa"/>
            <w:tcBorders>
              <w:top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 xml:space="preserve">10,840.00 </w:t>
            </w:r>
          </w:p>
        </w:tc>
        <w:tc>
          <w:tcPr>
            <w:tcW w:w="522" w:type="dxa"/>
            <w:tcBorders>
              <w:top w:val="single" w:color="000000" w:sz="4" w:space="0"/>
              <w:left w:val="single" w:color="000000" w:sz="4" w:space="0"/>
              <w:bottom w:val="single" w:color="000000" w:sz="4" w:space="0"/>
            </w:tcBorders>
            <w:vAlign w:val="center"/>
          </w:tcPr>
          <w:p>
            <w:pPr>
              <w:rPr>
                <w:rFonts w:hint="default" w:cs="宋体"/>
                <w:color w:val="000000"/>
                <w:sz w:val="22"/>
                <w:szCs w:val="22"/>
              </w:rPr>
            </w:pPr>
          </w:p>
        </w:tc>
        <w:tc>
          <w:tcPr>
            <w:tcW w:w="616" w:type="dxa"/>
            <w:tcBorders>
              <w:top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 xml:space="preserve">10,840.00 </w:t>
            </w:r>
          </w:p>
        </w:tc>
        <w:tc>
          <w:tcPr>
            <w:tcW w:w="522"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c>
          <w:tcPr>
            <w:tcW w:w="513"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c>
          <w:tcPr>
            <w:tcW w:w="140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770" w:type="dxa"/>
            <w:tcBorders>
              <w:top w:val="single" w:color="000000" w:sz="4" w:space="0"/>
              <w:left w:val="single" w:color="000000" w:sz="4" w:space="0"/>
              <w:bottom w:val="single" w:color="000000" w:sz="4" w:space="0"/>
            </w:tcBorders>
            <w:vAlign w:val="center"/>
          </w:tcPr>
          <w:p>
            <w:pPr>
              <w:textAlignment w:val="center"/>
              <w:rPr>
                <w:rFonts w:hint="default" w:cs="宋体"/>
                <w:color w:val="000000"/>
                <w:sz w:val="22"/>
                <w:szCs w:val="22"/>
              </w:rPr>
            </w:pPr>
            <w:r>
              <w:rPr>
                <w:rFonts w:cs="宋体"/>
                <w:color w:val="000000"/>
                <w:sz w:val="22"/>
                <w:szCs w:val="22"/>
              </w:rPr>
              <w:t>其中：财政拨款</w:t>
            </w:r>
          </w:p>
        </w:tc>
        <w:tc>
          <w:tcPr>
            <w:tcW w:w="801" w:type="dxa"/>
            <w:tcBorders>
              <w:top w:val="single" w:color="000000" w:sz="4" w:space="0"/>
              <w:bottom w:val="single" w:color="000000" w:sz="4" w:space="0"/>
              <w:right w:val="single" w:color="000000" w:sz="4" w:space="0"/>
            </w:tcBorders>
            <w:vAlign w:val="center"/>
          </w:tcPr>
          <w:p>
            <w:pPr>
              <w:rPr>
                <w:rFonts w:hint="default" w:cs="宋体"/>
                <w:color w:val="000000"/>
                <w:sz w:val="22"/>
                <w:szCs w:val="22"/>
              </w:rPr>
            </w:pPr>
          </w:p>
        </w:tc>
        <w:tc>
          <w:tcPr>
            <w:tcW w:w="848" w:type="dxa"/>
            <w:tcBorders>
              <w:top w:val="single" w:color="000000" w:sz="4" w:space="0"/>
              <w:left w:val="single" w:color="000000" w:sz="4" w:space="0"/>
              <w:bottom w:val="single" w:color="000000" w:sz="4" w:space="0"/>
            </w:tcBorders>
            <w:vAlign w:val="center"/>
          </w:tcPr>
          <w:p>
            <w:pPr>
              <w:rPr>
                <w:rFonts w:hint="default" w:cs="宋体"/>
                <w:color w:val="000000"/>
                <w:sz w:val="22"/>
                <w:szCs w:val="22"/>
              </w:rPr>
            </w:pPr>
          </w:p>
        </w:tc>
        <w:tc>
          <w:tcPr>
            <w:tcW w:w="1502" w:type="dxa"/>
            <w:tcBorders>
              <w:top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 xml:space="preserve">0.00 </w:t>
            </w:r>
          </w:p>
        </w:tc>
        <w:tc>
          <w:tcPr>
            <w:tcW w:w="778" w:type="dxa"/>
            <w:tcBorders>
              <w:top w:val="single" w:color="000000" w:sz="4" w:space="0"/>
              <w:left w:val="single" w:color="000000" w:sz="4" w:space="0"/>
              <w:bottom w:val="single" w:color="000000" w:sz="4" w:space="0"/>
            </w:tcBorders>
            <w:vAlign w:val="center"/>
          </w:tcPr>
          <w:p>
            <w:pPr>
              <w:rPr>
                <w:rFonts w:hint="default" w:cs="宋体"/>
                <w:color w:val="000000"/>
                <w:sz w:val="22"/>
                <w:szCs w:val="22"/>
              </w:rPr>
            </w:pPr>
          </w:p>
        </w:tc>
        <w:tc>
          <w:tcPr>
            <w:tcW w:w="779" w:type="dxa"/>
            <w:tcBorders>
              <w:top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 xml:space="preserve">10,840.00 </w:t>
            </w:r>
          </w:p>
        </w:tc>
        <w:tc>
          <w:tcPr>
            <w:tcW w:w="522" w:type="dxa"/>
            <w:tcBorders>
              <w:top w:val="single" w:color="000000" w:sz="4" w:space="0"/>
              <w:left w:val="single" w:color="000000" w:sz="4" w:space="0"/>
              <w:bottom w:val="single" w:color="000000" w:sz="4" w:space="0"/>
            </w:tcBorders>
            <w:vAlign w:val="center"/>
          </w:tcPr>
          <w:p>
            <w:pPr>
              <w:rPr>
                <w:rFonts w:hint="default" w:cs="宋体"/>
                <w:color w:val="000000"/>
                <w:sz w:val="22"/>
                <w:szCs w:val="22"/>
              </w:rPr>
            </w:pPr>
          </w:p>
        </w:tc>
        <w:tc>
          <w:tcPr>
            <w:tcW w:w="616" w:type="dxa"/>
            <w:tcBorders>
              <w:top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 xml:space="preserve">10,840.00 </w:t>
            </w:r>
          </w:p>
        </w:tc>
        <w:tc>
          <w:tcPr>
            <w:tcW w:w="52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100</w:t>
            </w:r>
          </w:p>
        </w:tc>
        <w:tc>
          <w:tcPr>
            <w:tcW w:w="51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10.00</w:t>
            </w:r>
          </w:p>
        </w:tc>
        <w:tc>
          <w:tcPr>
            <w:tcW w:w="1409"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770" w:type="dxa"/>
            <w:tcBorders>
              <w:top w:val="single" w:color="000000" w:sz="4" w:space="0"/>
              <w:left w:val="single" w:color="000000" w:sz="4" w:space="0"/>
              <w:bottom w:val="single" w:color="000000" w:sz="4" w:space="0"/>
            </w:tcBorders>
            <w:vAlign w:val="center"/>
          </w:tcPr>
          <w:p>
            <w:pPr>
              <w:textAlignment w:val="center"/>
              <w:rPr>
                <w:rFonts w:hint="default" w:cs="宋体"/>
                <w:color w:val="000000"/>
                <w:sz w:val="22"/>
                <w:szCs w:val="22"/>
              </w:rPr>
            </w:pPr>
            <w:r>
              <w:rPr>
                <w:rFonts w:cs="宋体"/>
                <w:color w:val="000000"/>
                <w:sz w:val="22"/>
                <w:szCs w:val="22"/>
              </w:rPr>
              <w:t>一般公共预算</w:t>
            </w:r>
          </w:p>
        </w:tc>
        <w:tc>
          <w:tcPr>
            <w:tcW w:w="801" w:type="dxa"/>
            <w:tcBorders>
              <w:top w:val="single" w:color="000000" w:sz="4" w:space="0"/>
              <w:bottom w:val="single" w:color="000000" w:sz="4" w:space="0"/>
              <w:right w:val="single" w:color="000000" w:sz="4" w:space="0"/>
            </w:tcBorders>
            <w:vAlign w:val="center"/>
          </w:tcPr>
          <w:p>
            <w:pPr>
              <w:rPr>
                <w:rFonts w:hint="default" w:cs="宋体"/>
                <w:color w:val="000000"/>
                <w:sz w:val="22"/>
                <w:szCs w:val="22"/>
              </w:rPr>
            </w:pPr>
          </w:p>
        </w:tc>
        <w:tc>
          <w:tcPr>
            <w:tcW w:w="848" w:type="dxa"/>
            <w:tcBorders>
              <w:top w:val="single" w:color="000000" w:sz="4" w:space="0"/>
              <w:left w:val="single" w:color="000000" w:sz="4" w:space="0"/>
              <w:bottom w:val="single" w:color="000000" w:sz="4" w:space="0"/>
            </w:tcBorders>
            <w:vAlign w:val="center"/>
          </w:tcPr>
          <w:p>
            <w:pPr>
              <w:rPr>
                <w:rFonts w:hint="default" w:cs="宋体"/>
                <w:color w:val="000000"/>
                <w:sz w:val="22"/>
                <w:szCs w:val="22"/>
              </w:rPr>
            </w:pPr>
          </w:p>
        </w:tc>
        <w:tc>
          <w:tcPr>
            <w:tcW w:w="1502" w:type="dxa"/>
            <w:tcBorders>
              <w:top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 xml:space="preserve">0.00 </w:t>
            </w:r>
          </w:p>
        </w:tc>
        <w:tc>
          <w:tcPr>
            <w:tcW w:w="778" w:type="dxa"/>
            <w:tcBorders>
              <w:top w:val="single" w:color="000000" w:sz="4" w:space="0"/>
              <w:left w:val="single" w:color="000000" w:sz="4" w:space="0"/>
              <w:bottom w:val="single" w:color="000000" w:sz="4" w:space="0"/>
            </w:tcBorders>
            <w:vAlign w:val="center"/>
          </w:tcPr>
          <w:p>
            <w:pPr>
              <w:rPr>
                <w:rFonts w:hint="default" w:cs="宋体"/>
                <w:color w:val="000000"/>
                <w:sz w:val="22"/>
                <w:szCs w:val="22"/>
              </w:rPr>
            </w:pPr>
          </w:p>
        </w:tc>
        <w:tc>
          <w:tcPr>
            <w:tcW w:w="779" w:type="dxa"/>
            <w:tcBorders>
              <w:top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 xml:space="preserve">10,840.00 </w:t>
            </w:r>
          </w:p>
        </w:tc>
        <w:tc>
          <w:tcPr>
            <w:tcW w:w="522" w:type="dxa"/>
            <w:tcBorders>
              <w:top w:val="single" w:color="000000" w:sz="4" w:space="0"/>
              <w:left w:val="single" w:color="000000" w:sz="4" w:space="0"/>
              <w:bottom w:val="single" w:color="000000" w:sz="4" w:space="0"/>
            </w:tcBorders>
            <w:vAlign w:val="center"/>
          </w:tcPr>
          <w:p>
            <w:pPr>
              <w:rPr>
                <w:rFonts w:hint="default" w:cs="宋体"/>
                <w:color w:val="000000"/>
                <w:sz w:val="22"/>
                <w:szCs w:val="22"/>
              </w:rPr>
            </w:pPr>
          </w:p>
        </w:tc>
        <w:tc>
          <w:tcPr>
            <w:tcW w:w="616" w:type="dxa"/>
            <w:tcBorders>
              <w:top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 xml:space="preserve">10,840.00 </w:t>
            </w:r>
          </w:p>
        </w:tc>
        <w:tc>
          <w:tcPr>
            <w:tcW w:w="52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cs="宋体"/>
                <w:color w:val="000000"/>
                <w:sz w:val="22"/>
                <w:szCs w:val="22"/>
              </w:rPr>
            </w:pPr>
            <w:r>
              <w:rPr>
                <w:rFonts w:cs="宋体"/>
                <w:color w:val="000000"/>
                <w:sz w:val="22"/>
                <w:szCs w:val="22"/>
              </w:rPr>
              <w:t>100</w:t>
            </w:r>
          </w:p>
        </w:tc>
        <w:tc>
          <w:tcPr>
            <w:tcW w:w="513"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c>
          <w:tcPr>
            <w:tcW w:w="140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9" w:hRule="atLeast"/>
          <w:jc w:val="center"/>
        </w:trPr>
        <w:tc>
          <w:tcPr>
            <w:tcW w:w="9060" w:type="dxa"/>
            <w:gridSpan w:val="11"/>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微软雅黑" w:hAnsi="微软雅黑" w:eastAsia="微软雅黑" w:cs="微软雅黑"/>
                <w:b/>
                <w:color w:val="000000"/>
                <w:sz w:val="28"/>
                <w:szCs w:val="28"/>
              </w:rPr>
            </w:pPr>
            <w:r>
              <w:rPr>
                <w:rFonts w:ascii="微软雅黑" w:hAnsi="微软雅黑" w:eastAsia="微软雅黑" w:cs="微软雅黑"/>
                <w:b/>
                <w:color w:val="000000"/>
                <w:sz w:val="28"/>
                <w:szCs w:val="28"/>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4" w:hRule="atLeast"/>
          <w:jc w:val="center"/>
        </w:trPr>
        <w:tc>
          <w:tcPr>
            <w:tcW w:w="3921" w:type="dxa"/>
            <w:gridSpan w:val="4"/>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年初绩效目标</w:t>
            </w:r>
          </w:p>
        </w:tc>
        <w:tc>
          <w:tcPr>
            <w:tcW w:w="2695" w:type="dxa"/>
            <w:gridSpan w:val="4"/>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全年（调整）绩效目标</w:t>
            </w:r>
          </w:p>
        </w:tc>
        <w:tc>
          <w:tcPr>
            <w:tcW w:w="2444"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2" w:hRule="atLeast"/>
          <w:jc w:val="center"/>
        </w:trPr>
        <w:tc>
          <w:tcPr>
            <w:tcW w:w="3921" w:type="dxa"/>
            <w:gridSpan w:val="4"/>
            <w:tcBorders>
              <w:top w:val="single" w:color="000000" w:sz="4" w:space="0"/>
              <w:left w:val="single" w:color="000000" w:sz="4" w:space="0"/>
              <w:bottom w:val="single" w:color="000000" w:sz="4" w:space="0"/>
              <w:right w:val="single" w:color="000000" w:sz="4" w:space="0"/>
            </w:tcBorders>
            <w:vAlign w:val="top"/>
          </w:tcPr>
          <w:p>
            <w:pPr>
              <w:textAlignment w:val="top"/>
              <w:rPr>
                <w:rFonts w:hint="default" w:cs="宋体"/>
                <w:color w:val="000000"/>
                <w:sz w:val="22"/>
                <w:szCs w:val="22"/>
              </w:rPr>
            </w:pPr>
            <w:r>
              <w:rPr>
                <w:rFonts w:cs="宋体"/>
                <w:color w:val="000000"/>
                <w:sz w:val="22"/>
                <w:szCs w:val="22"/>
              </w:rPr>
              <w:t>2024年度党龄40年以上老党员生活补贴</w:t>
            </w:r>
          </w:p>
        </w:tc>
        <w:tc>
          <w:tcPr>
            <w:tcW w:w="2695" w:type="dxa"/>
            <w:gridSpan w:val="4"/>
            <w:tcBorders>
              <w:top w:val="single" w:color="000000" w:sz="4" w:space="0"/>
              <w:left w:val="single" w:color="000000" w:sz="4" w:space="0"/>
              <w:bottom w:val="single" w:color="000000" w:sz="4" w:space="0"/>
              <w:right w:val="single" w:color="000000" w:sz="4" w:space="0"/>
            </w:tcBorders>
            <w:vAlign w:val="top"/>
          </w:tcPr>
          <w:p>
            <w:pPr>
              <w:textAlignment w:val="top"/>
              <w:rPr>
                <w:rFonts w:hint="default" w:cs="宋体"/>
                <w:color w:val="000000"/>
                <w:sz w:val="22"/>
                <w:szCs w:val="22"/>
              </w:rPr>
            </w:pPr>
            <w:r>
              <w:rPr>
                <w:rFonts w:cs="宋体"/>
                <w:color w:val="000000"/>
                <w:sz w:val="22"/>
                <w:szCs w:val="22"/>
              </w:rPr>
              <w:t>2024年度党龄40年以上老党员生活补贴</w:t>
            </w:r>
          </w:p>
        </w:tc>
        <w:tc>
          <w:tcPr>
            <w:tcW w:w="2444" w:type="dxa"/>
            <w:gridSpan w:val="3"/>
            <w:tcBorders>
              <w:top w:val="single" w:color="000000" w:sz="4" w:space="0"/>
              <w:left w:val="single" w:color="000000" w:sz="4" w:space="0"/>
              <w:bottom w:val="single" w:color="000000" w:sz="4" w:space="0"/>
              <w:right w:val="single" w:color="000000" w:sz="4" w:space="0"/>
            </w:tcBorders>
            <w:vAlign w:val="top"/>
          </w:tcPr>
          <w:p>
            <w:pPr>
              <w:textAlignment w:val="top"/>
              <w:rPr>
                <w:rFonts w:hint="default" w:cs="宋体"/>
                <w:color w:val="000000"/>
                <w:sz w:val="22"/>
                <w:szCs w:val="22"/>
              </w:rPr>
            </w:pPr>
            <w:r>
              <w:rPr>
                <w:rFonts w:cs="宋体"/>
                <w:color w:val="000000"/>
                <w:sz w:val="22"/>
                <w:szCs w:val="22"/>
              </w:rPr>
              <w:t>全部完成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9" w:hRule="atLeast"/>
          <w:jc w:val="center"/>
        </w:trPr>
        <w:tc>
          <w:tcPr>
            <w:tcW w:w="9060" w:type="dxa"/>
            <w:gridSpan w:val="11"/>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微软雅黑" w:hAnsi="微软雅黑" w:eastAsia="微软雅黑" w:cs="微软雅黑"/>
                <w:b/>
                <w:color w:val="000000"/>
                <w:sz w:val="28"/>
                <w:szCs w:val="28"/>
              </w:rPr>
            </w:pPr>
            <w:r>
              <w:rPr>
                <w:rFonts w:ascii="微软雅黑" w:hAnsi="微软雅黑" w:eastAsia="微软雅黑" w:cs="微软雅黑"/>
                <w:b/>
                <w:color w:val="000000"/>
                <w:sz w:val="28"/>
                <w:szCs w:val="28"/>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77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指标名称</w:t>
            </w:r>
          </w:p>
        </w:tc>
        <w:tc>
          <w:tcPr>
            <w:tcW w:w="8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计量单位</w:t>
            </w:r>
          </w:p>
        </w:tc>
        <w:tc>
          <w:tcPr>
            <w:tcW w:w="8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指标性质</w:t>
            </w:r>
          </w:p>
        </w:tc>
        <w:tc>
          <w:tcPr>
            <w:tcW w:w="150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指标值</w:t>
            </w:r>
          </w:p>
        </w:tc>
        <w:tc>
          <w:tcPr>
            <w:tcW w:w="77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全年完成值</w:t>
            </w:r>
          </w:p>
        </w:tc>
        <w:tc>
          <w:tcPr>
            <w:tcW w:w="77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偏离度（%）</w:t>
            </w:r>
          </w:p>
        </w:tc>
        <w:tc>
          <w:tcPr>
            <w:tcW w:w="52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得分系数（%）</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指标权重</w:t>
            </w:r>
          </w:p>
        </w:tc>
        <w:tc>
          <w:tcPr>
            <w:tcW w:w="52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指标得分</w:t>
            </w:r>
          </w:p>
        </w:tc>
        <w:tc>
          <w:tcPr>
            <w:tcW w:w="51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是否核心指标</w:t>
            </w:r>
          </w:p>
        </w:tc>
        <w:tc>
          <w:tcPr>
            <w:tcW w:w="140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b/>
                <w:color w:val="000000"/>
                <w:sz w:val="22"/>
                <w:szCs w:val="22"/>
              </w:rPr>
            </w:pPr>
            <w:r>
              <w:rPr>
                <w:rFonts w:cs="宋体"/>
                <w:b/>
                <w:color w:val="000000"/>
                <w:sz w:val="22"/>
                <w:szCs w:val="22"/>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770"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享受补助人数</w:t>
            </w:r>
          </w:p>
        </w:tc>
        <w:tc>
          <w:tcPr>
            <w:tcW w:w="801"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人</w:t>
            </w:r>
          </w:p>
        </w:tc>
        <w:tc>
          <w:tcPr>
            <w:tcW w:w="848"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150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73</w:t>
            </w:r>
          </w:p>
        </w:tc>
        <w:tc>
          <w:tcPr>
            <w:tcW w:w="778"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73</w:t>
            </w:r>
          </w:p>
        </w:tc>
        <w:tc>
          <w:tcPr>
            <w:tcW w:w="779"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52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616"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20</w:t>
            </w:r>
          </w:p>
        </w:tc>
        <w:tc>
          <w:tcPr>
            <w:tcW w:w="52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20</w:t>
            </w:r>
          </w:p>
        </w:tc>
        <w:tc>
          <w:tcPr>
            <w:tcW w:w="513"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是</w:t>
            </w:r>
          </w:p>
        </w:tc>
        <w:tc>
          <w:tcPr>
            <w:tcW w:w="1409"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770"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质量合格率</w:t>
            </w:r>
          </w:p>
        </w:tc>
        <w:tc>
          <w:tcPr>
            <w:tcW w:w="801"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848"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150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78"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79"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52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616"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52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513"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否</w:t>
            </w:r>
          </w:p>
        </w:tc>
        <w:tc>
          <w:tcPr>
            <w:tcW w:w="1409"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770"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及时支付率</w:t>
            </w:r>
          </w:p>
        </w:tc>
        <w:tc>
          <w:tcPr>
            <w:tcW w:w="801"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848"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150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95</w:t>
            </w:r>
          </w:p>
        </w:tc>
        <w:tc>
          <w:tcPr>
            <w:tcW w:w="778"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95</w:t>
            </w:r>
          </w:p>
        </w:tc>
        <w:tc>
          <w:tcPr>
            <w:tcW w:w="779"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52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616"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52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513"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否</w:t>
            </w:r>
          </w:p>
        </w:tc>
        <w:tc>
          <w:tcPr>
            <w:tcW w:w="1409"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70"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保障40年以上党员生活补助</w:t>
            </w:r>
          </w:p>
        </w:tc>
        <w:tc>
          <w:tcPr>
            <w:tcW w:w="801"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c>
          <w:tcPr>
            <w:tcW w:w="848"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定性</w:t>
            </w:r>
          </w:p>
        </w:tc>
        <w:tc>
          <w:tcPr>
            <w:tcW w:w="150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好</w:t>
            </w:r>
          </w:p>
        </w:tc>
        <w:tc>
          <w:tcPr>
            <w:tcW w:w="778"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w:t>
            </w:r>
          </w:p>
        </w:tc>
        <w:tc>
          <w:tcPr>
            <w:tcW w:w="779"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52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616"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20</w:t>
            </w:r>
          </w:p>
        </w:tc>
        <w:tc>
          <w:tcPr>
            <w:tcW w:w="52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20</w:t>
            </w:r>
          </w:p>
        </w:tc>
        <w:tc>
          <w:tcPr>
            <w:tcW w:w="513"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否</w:t>
            </w:r>
          </w:p>
        </w:tc>
        <w:tc>
          <w:tcPr>
            <w:tcW w:w="1409"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770"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服务对象满意度</w:t>
            </w:r>
          </w:p>
        </w:tc>
        <w:tc>
          <w:tcPr>
            <w:tcW w:w="801"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848"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150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95</w:t>
            </w:r>
          </w:p>
        </w:tc>
        <w:tc>
          <w:tcPr>
            <w:tcW w:w="778"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94</w:t>
            </w:r>
          </w:p>
        </w:tc>
        <w:tc>
          <w:tcPr>
            <w:tcW w:w="779"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1.05</w:t>
            </w:r>
          </w:p>
        </w:tc>
        <w:tc>
          <w:tcPr>
            <w:tcW w:w="52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89.5</w:t>
            </w:r>
          </w:p>
        </w:tc>
        <w:tc>
          <w:tcPr>
            <w:tcW w:w="616"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52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8.95</w:t>
            </w:r>
          </w:p>
        </w:tc>
        <w:tc>
          <w:tcPr>
            <w:tcW w:w="513"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否</w:t>
            </w:r>
          </w:p>
        </w:tc>
        <w:tc>
          <w:tcPr>
            <w:tcW w:w="1409"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85" w:hRule="atLeast"/>
          <w:jc w:val="center"/>
        </w:trPr>
        <w:tc>
          <w:tcPr>
            <w:tcW w:w="770"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40年以上老党员生活补贴</w:t>
            </w:r>
          </w:p>
        </w:tc>
        <w:tc>
          <w:tcPr>
            <w:tcW w:w="801"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元</w:t>
            </w:r>
          </w:p>
        </w:tc>
        <w:tc>
          <w:tcPr>
            <w:tcW w:w="848"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150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10840</w:t>
            </w:r>
          </w:p>
        </w:tc>
        <w:tc>
          <w:tcPr>
            <w:tcW w:w="778"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10840</w:t>
            </w:r>
          </w:p>
        </w:tc>
        <w:tc>
          <w:tcPr>
            <w:tcW w:w="779"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52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616"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20</w:t>
            </w:r>
          </w:p>
        </w:tc>
        <w:tc>
          <w:tcPr>
            <w:tcW w:w="522"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right"/>
              <w:textAlignment w:val="center"/>
              <w:rPr>
                <w:rFonts w:hint="default" w:cs="宋体"/>
                <w:color w:val="000000"/>
                <w:sz w:val="22"/>
                <w:szCs w:val="22"/>
              </w:rPr>
            </w:pPr>
            <w:r>
              <w:rPr>
                <w:rFonts w:cs="宋体"/>
                <w:color w:val="000000"/>
                <w:sz w:val="22"/>
                <w:szCs w:val="22"/>
              </w:rPr>
              <w:t>20</w:t>
            </w:r>
          </w:p>
        </w:tc>
        <w:tc>
          <w:tcPr>
            <w:tcW w:w="513" w:type="dxa"/>
            <w:tcBorders>
              <w:top w:val="single" w:color="000000" w:sz="4" w:space="0"/>
              <w:left w:val="single" w:color="000000" w:sz="4" w:space="0"/>
              <w:bottom w:val="single" w:color="000000" w:sz="4" w:space="0"/>
              <w:right w:val="single" w:color="000000" w:sz="4" w:space="0"/>
            </w:tcBorders>
            <w:vAlign w:val="center"/>
          </w:tcPr>
          <w:p>
            <w:pPr>
              <w:ind w:firstLine="220" w:firstLineChars="100"/>
              <w:textAlignment w:val="center"/>
              <w:rPr>
                <w:rFonts w:hint="default" w:cs="宋体"/>
                <w:color w:val="000000"/>
                <w:sz w:val="22"/>
                <w:szCs w:val="22"/>
              </w:rPr>
            </w:pPr>
            <w:r>
              <w:rPr>
                <w:rFonts w:cs="宋体"/>
                <w:color w:val="000000"/>
                <w:sz w:val="22"/>
                <w:szCs w:val="22"/>
              </w:rPr>
              <w:t>否</w:t>
            </w:r>
          </w:p>
        </w:tc>
        <w:tc>
          <w:tcPr>
            <w:tcW w:w="1409" w:type="dxa"/>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r>
    </w:tbl>
    <w:p>
      <w:pPr>
        <w:pStyle w:val="2"/>
        <w:ind w:firstLine="480"/>
        <w:rPr>
          <w:rFonts w:hint="default"/>
          <w:color w:val="000000"/>
        </w:rPr>
      </w:pPr>
    </w:p>
    <w:p>
      <w:pPr>
        <w:widowControl w:val="0"/>
        <w:ind w:firstLine="640" w:firstLineChars="200"/>
        <w:jc w:val="both"/>
        <w:rPr>
          <w:rFonts w:hint="default" w:ascii="Times New Roman" w:hAnsi="Times New Roman" w:eastAsia="方正仿宋_GBK"/>
          <w:color w:val="000000"/>
          <w:kern w:val="2"/>
          <w:sz w:val="32"/>
          <w:szCs w:val="32"/>
        </w:rPr>
      </w:pPr>
    </w:p>
    <w:p>
      <w:pPr>
        <w:widowControl w:val="0"/>
        <w:ind w:firstLine="640" w:firstLineChars="200"/>
        <w:jc w:val="both"/>
        <w:rPr>
          <w:rFonts w:hint="default" w:ascii="Times New Roman" w:hAnsi="Times New Roman" w:eastAsia="方正仿宋_GBK"/>
          <w:color w:val="000000"/>
          <w:kern w:val="2"/>
          <w:sz w:val="32"/>
          <w:szCs w:val="32"/>
        </w:rPr>
        <w:sectPr>
          <w:footerReference r:id="rId3" w:type="default"/>
          <w:pgSz w:w="11915" w:h="16840"/>
          <w:pgMar w:top="1985" w:right="1446" w:bottom="1644" w:left="1446" w:header="851" w:footer="992" w:gutter="0"/>
          <w:pgNumType w:fmt="numberInDash"/>
          <w:cols w:space="720" w:num="1"/>
          <w:docGrid w:type="linesAndChars" w:linePitch="312" w:charSpace="0"/>
        </w:sectPr>
      </w:pPr>
    </w:p>
    <w:p>
      <w:pPr>
        <w:widowControl w:val="0"/>
        <w:ind w:firstLine="640" w:firstLineChars="200"/>
        <w:jc w:val="both"/>
        <w:rPr>
          <w:rFonts w:hint="default" w:ascii="方正楷体_GBK" w:hAnsi="Times New Roman" w:eastAsia="方正楷体_GBK"/>
          <w:color w:val="000000"/>
          <w:kern w:val="2"/>
          <w:sz w:val="32"/>
          <w:szCs w:val="32"/>
        </w:rPr>
      </w:pPr>
      <w:r>
        <w:rPr>
          <w:rFonts w:ascii="方正楷体_GBK" w:hAnsi="Times New Roman" w:eastAsia="方正楷体_GBK"/>
          <w:color w:val="000000"/>
          <w:kern w:val="2"/>
          <w:sz w:val="32"/>
          <w:szCs w:val="32"/>
        </w:rPr>
        <w:t>（二）单位绩效评价情况</w:t>
      </w:r>
    </w:p>
    <w:p>
      <w:pPr>
        <w:widowControl w:val="0"/>
        <w:ind w:firstLine="640" w:firstLineChars="200"/>
        <w:jc w:val="both"/>
        <w:rPr>
          <w:rFonts w:hint="default"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本单位未组织开展绩效评价。</w:t>
      </w:r>
    </w:p>
    <w:p>
      <w:pPr>
        <w:widowControl w:val="0"/>
        <w:ind w:firstLine="640" w:firstLineChars="200"/>
        <w:jc w:val="both"/>
        <w:rPr>
          <w:rFonts w:hint="default" w:ascii="方正楷体_GBK" w:hAnsi="Times New Roman" w:eastAsia="方正楷体_GBK"/>
          <w:color w:val="000000"/>
          <w:kern w:val="2"/>
          <w:sz w:val="32"/>
          <w:szCs w:val="32"/>
        </w:rPr>
      </w:pPr>
      <w:r>
        <w:rPr>
          <w:rFonts w:ascii="方正楷体_GBK" w:hAnsi="Times New Roman" w:eastAsia="方正楷体_GBK"/>
          <w:color w:val="000000"/>
          <w:kern w:val="2"/>
          <w:sz w:val="32"/>
          <w:szCs w:val="32"/>
        </w:rPr>
        <w:t>（三）财政绩效评价情况</w:t>
      </w:r>
    </w:p>
    <w:p>
      <w:pPr>
        <w:widowControl w:val="0"/>
        <w:ind w:firstLine="640" w:firstLineChars="200"/>
        <w:jc w:val="both"/>
        <w:rPr>
          <w:rFonts w:hint="default" w:ascii="方正楷体_GBK" w:hAnsi="Times New Roman" w:eastAsia="方正楷体_GBK"/>
          <w:color w:val="000000"/>
          <w:kern w:val="2"/>
          <w:sz w:val="32"/>
          <w:szCs w:val="32"/>
        </w:rPr>
      </w:pPr>
      <w:r>
        <w:rPr>
          <w:rFonts w:ascii="方正仿宋_GBK" w:hAnsi="方正仿宋_GBK" w:eastAsia="方正仿宋_GBK" w:cs="方正仿宋_GBK"/>
          <w:color w:val="000000"/>
          <w:kern w:val="2"/>
          <w:sz w:val="32"/>
          <w:szCs w:val="32"/>
        </w:rPr>
        <w:t>县财政局未委托第三方对本单位开展绩效评价。</w:t>
      </w:r>
    </w:p>
    <w:p>
      <w:pPr>
        <w:widowControl w:val="0"/>
        <w:ind w:firstLine="640" w:firstLineChars="200"/>
        <w:jc w:val="both"/>
        <w:rPr>
          <w:rFonts w:hint="default" w:ascii="方正黑体_GBK" w:hAnsi="Times New Roman" w:eastAsia="方正黑体_GBK"/>
          <w:color w:val="000000"/>
          <w:kern w:val="2"/>
          <w:sz w:val="32"/>
          <w:szCs w:val="32"/>
        </w:rPr>
      </w:pPr>
      <w:r>
        <w:rPr>
          <w:rFonts w:ascii="方正黑体_GBK" w:hAnsi="Times New Roman" w:eastAsia="方正黑体_GBK"/>
          <w:color w:val="000000"/>
          <w:kern w:val="2"/>
          <w:sz w:val="32"/>
          <w:szCs w:val="32"/>
        </w:rPr>
        <w:t>六、专业名词解释</w:t>
      </w:r>
    </w:p>
    <w:p>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（一）财政拨款收入：</w:t>
      </w:r>
      <w:r>
        <w:rPr>
          <w:rFonts w:ascii="Times New Roman" w:hAnsi="Times New Roman" w:eastAsia="方正仿宋_GBK"/>
          <w:color w:val="000000"/>
          <w:kern w:val="2"/>
          <w:sz w:val="32"/>
          <w:szCs w:val="32"/>
        </w:rPr>
        <w:t>指本年度从本级财政部门取得的财政拨款，包括一般公共预算财政拨款和政府性基金预算财政拨款。</w:t>
      </w:r>
    </w:p>
    <w:p>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（二）事业收入：</w:t>
      </w:r>
      <w:r>
        <w:rPr>
          <w:rFonts w:ascii="Times New Roman" w:hAnsi="Times New Roman" w:eastAsia="方正仿宋_GBK"/>
          <w:color w:val="000000"/>
          <w:kern w:val="2"/>
          <w:sz w:val="32"/>
          <w:szCs w:val="32"/>
        </w:rPr>
        <w:t>指事业单位开展专业业务活动及其辅助活动取得的现金流入；事业单位收到的财政专户实际核拨的教育收费等资金在此反映。</w:t>
      </w:r>
    </w:p>
    <w:p>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（三）经营收入：</w:t>
      </w:r>
      <w:r>
        <w:rPr>
          <w:rFonts w:ascii="Times New Roman" w:hAnsi="Times New Roman" w:eastAsia="方正仿宋_GBK"/>
          <w:color w:val="000000"/>
          <w:kern w:val="2"/>
          <w:sz w:val="32"/>
          <w:szCs w:val="32"/>
        </w:rPr>
        <w:t>指事业单位在专业业务活动及其辅助活动之外开展非独立核算经营活动取得的现金流入。</w:t>
      </w:r>
    </w:p>
    <w:p>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（四）其他收入：</w:t>
      </w:r>
      <w:r>
        <w:rPr>
          <w:rFonts w:ascii="Times New Roman" w:hAnsi="Times New Roman" w:eastAsia="方正仿宋_GBK"/>
          <w:color w:val="000000"/>
          <w:kern w:val="2"/>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（五）使用非财政拨款结余：指</w:t>
      </w:r>
      <w:r>
        <w:rPr>
          <w:rFonts w:ascii="Times New Roman" w:hAnsi="Times New Roman" w:eastAsia="方正仿宋_GBK"/>
          <w:color w:val="000000"/>
          <w:kern w:val="2"/>
          <w:sz w:val="32"/>
          <w:szCs w:val="32"/>
        </w:rPr>
        <w:t>单位在当年的“财政拨款收入”、“事业收入”、“经营收入”、“其他收入”等不足以安排当年支出的情况下，使用以前年度积累的非财政拨款结余弥补本年度收支缺口的资金。</w:t>
      </w:r>
    </w:p>
    <w:p>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（六）年初结转和结余：指</w:t>
      </w:r>
      <w:r>
        <w:rPr>
          <w:rFonts w:ascii="Times New Roman" w:hAnsi="Times New Roman" w:eastAsia="方正仿宋_GBK"/>
          <w:color w:val="000000"/>
          <w:kern w:val="2"/>
          <w:sz w:val="32"/>
          <w:szCs w:val="32"/>
        </w:rPr>
        <w:t>单位上年结转本年使用的基本支出结转、项目支出结转和结余、经营结余。</w:t>
      </w:r>
    </w:p>
    <w:p>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（七）结余分配：</w:t>
      </w:r>
      <w:r>
        <w:rPr>
          <w:rFonts w:ascii="Times New Roman" w:hAnsi="Times New Roman" w:eastAsia="方正仿宋_GBK"/>
          <w:color w:val="000000"/>
          <w:kern w:val="2"/>
          <w:sz w:val="32"/>
          <w:szCs w:val="32"/>
        </w:rPr>
        <w:t>指单位按照国家有关规定，缴纳所得税、提取专用基金、转入非财政拨款结余等当年结余的分配情况。</w:t>
      </w:r>
    </w:p>
    <w:p>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（八）年末结转和结余：</w:t>
      </w:r>
      <w:r>
        <w:rPr>
          <w:rFonts w:ascii="Times New Roman" w:hAnsi="Times New Roman" w:eastAsia="方正仿宋_GBK"/>
          <w:color w:val="000000"/>
          <w:kern w:val="2"/>
          <w:sz w:val="32"/>
          <w:szCs w:val="32"/>
        </w:rPr>
        <w:t>指单位结转下年的基本支出结转、项目支出结转和结余、经营结余。</w:t>
      </w:r>
    </w:p>
    <w:p>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（九）基本支出：</w:t>
      </w:r>
      <w:r>
        <w:rPr>
          <w:rFonts w:ascii="Times New Roman" w:hAnsi="Times New Roman" w:eastAsia="方正仿宋_GBK"/>
          <w:color w:val="000000"/>
          <w:kern w:val="2"/>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（十）项目支出：</w:t>
      </w:r>
      <w:r>
        <w:rPr>
          <w:rFonts w:ascii="Times New Roman" w:hAnsi="Times New Roman" w:eastAsia="方正仿宋_GBK"/>
          <w:color w:val="000000"/>
          <w:kern w:val="2"/>
          <w:sz w:val="32"/>
          <w:szCs w:val="32"/>
        </w:rPr>
        <w:t>指在基本支出之外为完成特定行政任务和事业发展目标所发生的支出。</w:t>
      </w:r>
    </w:p>
    <w:p>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（十一）经营支出：</w:t>
      </w:r>
      <w:r>
        <w:rPr>
          <w:rFonts w:ascii="Times New Roman" w:hAnsi="Times New Roman" w:eastAsia="方正仿宋_GBK"/>
          <w:color w:val="000000"/>
          <w:kern w:val="2"/>
          <w:sz w:val="32"/>
          <w:szCs w:val="32"/>
        </w:rPr>
        <w:t>指事业单位在专业业务活动及其辅助活动之外开展非独立核算经营活动发生的支出。</w:t>
      </w:r>
    </w:p>
    <w:p>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（十二）“三公”经费：</w:t>
      </w:r>
      <w:r>
        <w:rPr>
          <w:rFonts w:ascii="Times New Roman" w:hAnsi="Times New Roman" w:eastAsia="方正仿宋_GBK"/>
          <w:color w:val="000000"/>
          <w:kern w:val="2"/>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（十三）机关运行经费：</w:t>
      </w:r>
      <w:r>
        <w:rPr>
          <w:rFonts w:ascii="Times New Roman" w:hAnsi="Times New Roman" w:eastAsia="方正仿宋_GBK"/>
          <w:color w:val="000000"/>
          <w:kern w:val="2"/>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（十四）工资福利支出（支出经济分类科目类级）：</w:t>
      </w:r>
      <w:r>
        <w:rPr>
          <w:rFonts w:ascii="Times New Roman" w:hAnsi="Times New Roman" w:eastAsia="方正仿宋_GBK"/>
          <w:color w:val="000000"/>
          <w:kern w:val="2"/>
          <w:sz w:val="32"/>
          <w:szCs w:val="32"/>
        </w:rPr>
        <w:t>反映单位开支的在职职工和编制外长期聘用人员的各类劳动报酬，以及为上述人员缴纳的各项社会保险费等。</w:t>
      </w:r>
    </w:p>
    <w:p>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（十五）商品和服务支出（支出经济分类科目类级）：</w:t>
      </w:r>
      <w:r>
        <w:rPr>
          <w:rFonts w:ascii="Times New Roman" w:hAnsi="Times New Roman" w:eastAsia="方正仿宋_GBK"/>
          <w:color w:val="000000"/>
          <w:kern w:val="2"/>
          <w:sz w:val="32"/>
          <w:szCs w:val="32"/>
        </w:rPr>
        <w:t>反映单位购买商品和服务的支出（不包括用于购置固定资产的支出、战略性和应急储备支出）。</w:t>
      </w:r>
    </w:p>
    <w:p>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（十六）对个人和家庭的补助（支出经济分类科目类级）：</w:t>
      </w:r>
      <w:r>
        <w:rPr>
          <w:rFonts w:ascii="Times New Roman" w:hAnsi="Times New Roman" w:eastAsia="方正仿宋_GBK"/>
          <w:color w:val="000000"/>
          <w:kern w:val="2"/>
          <w:sz w:val="32"/>
          <w:szCs w:val="32"/>
        </w:rPr>
        <w:t>反映用于对个人和家庭的补助支出。</w:t>
      </w:r>
    </w:p>
    <w:p>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（十七）其他资本性支出（支出经济分类科目类级）：</w:t>
      </w:r>
      <w:r>
        <w:rPr>
          <w:rFonts w:ascii="Times New Roman" w:hAnsi="Times New Roman" w:eastAsia="方正仿宋_GBK"/>
          <w:color w:val="000000"/>
          <w:kern w:val="2"/>
          <w:sz w:val="32"/>
          <w:szCs w:val="32"/>
        </w:rPr>
        <w:t>反映非各级发展与改革部门集中安排的用于购置固定资产、战略性和应急性储备、土地和无形资产，以及构建基础设施、大型修缮和财政支持企业更新改造所发生的支出。</w:t>
      </w:r>
    </w:p>
    <w:p>
      <w:pPr>
        <w:widowControl w:val="0"/>
        <w:ind w:firstLine="640" w:firstLineChars="200"/>
        <w:jc w:val="both"/>
        <w:rPr>
          <w:rFonts w:hint="default" w:ascii="方正黑体_GBK" w:hAnsi="Times New Roman" w:eastAsia="方正黑体_GBK"/>
          <w:color w:val="000000"/>
          <w:kern w:val="2"/>
          <w:sz w:val="32"/>
          <w:szCs w:val="32"/>
        </w:rPr>
      </w:pPr>
      <w:r>
        <w:rPr>
          <w:rFonts w:ascii="方正黑体_GBK" w:hAnsi="Times New Roman" w:eastAsia="方正黑体_GBK"/>
          <w:color w:val="000000"/>
          <w:kern w:val="2"/>
          <w:sz w:val="32"/>
          <w:szCs w:val="32"/>
        </w:rPr>
        <w:t>七、决算公开联系方式及信息反馈渠道</w:t>
      </w:r>
    </w:p>
    <w:p>
      <w:pPr>
        <w:widowControl w:val="0"/>
        <w:ind w:firstLine="640" w:firstLineChars="200"/>
        <w:jc w:val="both"/>
        <w:rPr>
          <w:rFonts w:hint="default"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本单位决算公开信息反馈和联系方式：023-74691235。</w:t>
      </w:r>
    </w:p>
    <w:p>
      <w:pPr>
        <w:widowControl w:val="0"/>
        <w:ind w:firstLine="640" w:firstLineChars="200"/>
        <w:jc w:val="both"/>
        <w:rPr>
          <w:rFonts w:hint="default" w:ascii="Times New Roman" w:hAnsi="Times New Roman" w:eastAsia="方正仿宋_GBK"/>
          <w:color w:val="000000"/>
          <w:kern w:val="2"/>
          <w:sz w:val="32"/>
          <w:szCs w:val="32"/>
        </w:rPr>
      </w:pPr>
    </w:p>
    <w:p>
      <w:pPr>
        <w:widowControl w:val="0"/>
        <w:ind w:firstLine="640" w:firstLineChars="200"/>
        <w:jc w:val="both"/>
        <w:rPr>
          <w:rFonts w:hint="default" w:ascii="Times New Roman" w:hAnsi="Times New Roman" w:eastAsia="方正仿宋_GBK"/>
          <w:color w:val="000000"/>
          <w:kern w:val="2"/>
          <w:sz w:val="32"/>
          <w:szCs w:val="32"/>
        </w:rPr>
      </w:pPr>
    </w:p>
    <w:p>
      <w:pPr>
        <w:pStyle w:val="12"/>
        <w:autoSpaceDE w:val="0"/>
        <w:ind w:firstLine="0" w:firstLineChars="0"/>
        <w:rPr>
          <w:rStyle w:val="11"/>
          <w:rFonts w:ascii="方正仿宋_GBK" w:hAnsi="方正仿宋_GBK" w:eastAsia="方正仿宋_GBK" w:cs="方正仿宋_GBK"/>
          <w:color w:val="000000"/>
          <w:sz w:val="32"/>
          <w:szCs w:val="32"/>
          <w:shd w:val="clear" w:color="auto" w:fill="FFFF00"/>
        </w:rPr>
      </w:pPr>
    </w:p>
    <w:p>
      <w:pPr>
        <w:pStyle w:val="12"/>
        <w:autoSpaceDE w:val="0"/>
        <w:ind w:firstLine="0" w:firstLineChars="0"/>
        <w:rPr>
          <w:rStyle w:val="11"/>
          <w:rFonts w:ascii="方正仿宋_GBK" w:hAnsi="方正仿宋_GBK" w:eastAsia="方正仿宋_GBK" w:cs="方正仿宋_GBK"/>
          <w:color w:val="000000"/>
          <w:sz w:val="32"/>
          <w:szCs w:val="32"/>
          <w:shd w:val="clear" w:color="auto" w:fill="FFFF00"/>
        </w:rPr>
        <w:sectPr>
          <w:pgSz w:w="11915" w:h="16840"/>
          <w:pgMar w:top="1985" w:right="1446" w:bottom="1644" w:left="1446"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147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309"/>
        <w:gridCol w:w="3571"/>
        <w:gridCol w:w="4059"/>
        <w:gridCol w:w="2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2" w:hRule="atLeast"/>
        </w:trPr>
        <w:tc>
          <w:tcPr>
            <w:tcW w:w="4309" w:type="dxa"/>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2"/>
                <w:szCs w:val="22"/>
              </w:rPr>
            </w:pPr>
            <w:r>
              <w:rPr>
                <w:rFonts w:cs="宋体"/>
                <w:color w:val="000000"/>
                <w:sz w:val="20"/>
                <w:szCs w:val="20"/>
              </w:rPr>
              <w:t>单位：</w:t>
            </w:r>
            <w:r>
              <w:rPr>
                <w:color w:val="000000"/>
                <w:sz w:val="20"/>
              </w:rPr>
              <w:t>垫江县人民政府桂溪街道办事处（本级）</w:t>
            </w:r>
          </w:p>
        </w:tc>
        <w:tc>
          <w:tcPr>
            <w:tcW w:w="4059" w:type="dxa"/>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9,100.57</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1,850.19</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158.26</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13.82</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388.92</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66.69</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99.88</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202.15</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1,479.33</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465.11</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4,610.77</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92.32</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47.49</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5.27</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9,258.82</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9,349.65</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90.82</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9,349.65</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9,349.65</w:t>
            </w:r>
            <w:r>
              <w:rPr>
                <w:rFonts w:ascii="Times New Roman" w:hAnsi="Times New Roman"/>
                <w:color w:val="000000"/>
                <w:sz w:val="20"/>
              </w:rPr>
              <w:t xml:space="preserve"> </w:t>
            </w:r>
          </w:p>
        </w:tc>
      </w:tr>
    </w:tbl>
    <w:p>
      <w:pPr>
        <w:rPr>
          <w:rFonts w:hint="default" w:cs="宋体"/>
          <w:color w:val="000000"/>
          <w:sz w:val="21"/>
          <w:szCs w:val="21"/>
        </w:rPr>
      </w:pPr>
    </w:p>
    <w:p>
      <w:pPr>
        <w:spacing w:line="240" w:lineRule="exact"/>
        <w:rPr>
          <w:rFonts w:hint="default" w:cs="宋体"/>
          <w:color w:val="000000"/>
          <w:sz w:val="20"/>
          <w:szCs w:val="20"/>
        </w:rPr>
      </w:pPr>
      <w:r>
        <w:rPr>
          <w:rFonts w:cs="宋体"/>
          <w:color w:val="000000"/>
          <w:sz w:val="20"/>
          <w:szCs w:val="20"/>
        </w:rPr>
        <w:t>备注：1.本表反映单位本年度的总收支和年末结转结余情况。</w:t>
      </w:r>
      <w:r>
        <w:rPr>
          <w:rFonts w:cs="宋体"/>
          <w:color w:val="000000"/>
          <w:sz w:val="20"/>
          <w:szCs w:val="20"/>
        </w:rPr>
        <w:br w:type="textWrapping"/>
      </w:r>
      <w:r>
        <w:rPr>
          <w:rFonts w:cs="宋体"/>
          <w:color w:val="000000"/>
          <w:sz w:val="20"/>
          <w:szCs w:val="20"/>
        </w:rPr>
        <w:t xml:space="preserve">      2.本套报表金额单位转换时可能存在尾数误差。</w:t>
      </w:r>
      <w:r>
        <w:rPr>
          <w:rFonts w:cs="宋体"/>
          <w:color w:val="000000"/>
          <w:sz w:val="20"/>
          <w:szCs w:val="20"/>
        </w:rPr>
        <w:br w:type="textWrapping"/>
      </w:r>
      <w:r>
        <w:rPr>
          <w:rFonts w:cs="宋体"/>
          <w:color w:val="000000"/>
          <w:sz w:val="20"/>
          <w:szCs w:val="20"/>
        </w:rPr>
        <w:br w:type="textWrapping"/>
      </w:r>
    </w:p>
    <w:tbl>
      <w:tblPr>
        <w:tblStyle w:val="8"/>
        <w:tblW w:w="155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637"/>
        <w:gridCol w:w="3089"/>
        <w:gridCol w:w="1316"/>
        <w:gridCol w:w="1376"/>
        <w:gridCol w:w="1257"/>
        <w:gridCol w:w="1257"/>
        <w:gridCol w:w="1329"/>
        <w:gridCol w:w="1267"/>
        <w:gridCol w:w="1401"/>
        <w:gridCol w:w="1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6042"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color w:val="000000"/>
                <w:sz w:val="20"/>
                <w:szCs w:val="20"/>
              </w:rPr>
              <w:t>单位：</w:t>
            </w:r>
            <w:r>
              <w:rPr>
                <w:color w:val="000000"/>
                <w:sz w:val="20"/>
              </w:rPr>
              <w:t>垫江县人民政府桂溪街道办事处（本级）</w:t>
            </w:r>
          </w:p>
        </w:tc>
        <w:tc>
          <w:tcPr>
            <w:tcW w:w="137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30"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6042"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137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30"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1" w:hRule="atLeast"/>
        </w:trPr>
        <w:tc>
          <w:tcPr>
            <w:tcW w:w="47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89" w:type="dxa"/>
            <w:vMerge w:val="restart"/>
            <w:tcBorders>
              <w:top w:val="nil"/>
              <w:left w:val="nil"/>
              <w:bottom w:val="single" w:color="000000" w:sz="4" w:space="0"/>
              <w:right w:val="nil"/>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47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9,258.82</w:t>
            </w:r>
            <w:r>
              <w:rPr>
                <w:rFonts w:ascii="Times New Roman" w:hAnsi="Times New Roman"/>
                <w:b/>
                <w:color w:val="000000"/>
                <w:sz w:val="20"/>
              </w:rPr>
              <w:t xml:space="preserve"> </w:t>
            </w:r>
          </w:p>
        </w:tc>
        <w:tc>
          <w:tcPr>
            <w:tcW w:w="137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9,258.82</w:t>
            </w:r>
            <w:r>
              <w:rPr>
                <w:rFonts w:ascii="Times New Roman" w:hAnsi="Times New Roman"/>
                <w:b/>
                <w:color w:val="000000"/>
                <w:sz w:val="20"/>
              </w:rPr>
              <w:t xml:space="preserve"> </w:t>
            </w:r>
          </w:p>
        </w:tc>
        <w:tc>
          <w:tcPr>
            <w:tcW w:w="125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5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6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3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1,850.19</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1,850.19</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27.91</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27.91</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2010107</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人大代表履职能力提升</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23.66</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23.66</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1,766.80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1,766.80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1,062.61</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1,062.61</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704.19</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704.19</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16.09</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16.09</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16.09</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16.09</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17.66</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17.66</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13.82</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13.82</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388.92</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388.92</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249.68</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249.68</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88.75</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88.75</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44.56</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44.56</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116.37</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116.37</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36.88</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36.88</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25.15</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25.15</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11.74</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11.74</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8.21</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8.21</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2081106</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残疾人体育</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9.76</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9.76</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66.69</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66.69</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2100410</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突发公共卫生事件应急处置</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10.61</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10.61</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10.61</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10.61</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46.54</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46.54</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46.54</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46.54</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99.88</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99.88</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98.38</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98.38</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大气</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98.38</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98.38</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152.99</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152.99</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152.99</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152.99</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58.83</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58.83</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28.41</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28.41</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62.75</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62.75</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1,449.33</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1,449.33</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61.66</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61.66</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15.82</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15.82</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39.84</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39.84</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35.33</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35.33</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35.33</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35.33</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35.93</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35.93</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35.93</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35.93</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1,311.25</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1,311.25</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1,230.25</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1,230.25</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453.44</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453.44</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453.44</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453.44</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452.67</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452.67</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0.77</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0.77</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4,610.77</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4,610.77</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4,610.77</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4,610.77</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4,610.77</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4,610.77</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92.32</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92.32</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92.32</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92.32</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92.32</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92.32</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47.49</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47.49</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47.49</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47.49</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47.49</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47.49</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16.54</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16.54</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16.51</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16.51</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color w:val="000000"/>
          <w:sz w:val="20"/>
          <w:szCs w:val="20"/>
        </w:rPr>
      </w:pPr>
      <w:r>
        <w:rPr>
          <w:rFonts w:cs="宋体"/>
          <w:color w:val="000000"/>
          <w:sz w:val="20"/>
          <w:szCs w:val="20"/>
        </w:rPr>
        <w:t>备注：1.本表反映单位本年度取得的各项收入情况。</w:t>
      </w:r>
      <w:r>
        <w:rPr>
          <w:rFonts w:cs="宋体"/>
          <w:color w:val="000000"/>
          <w:sz w:val="20"/>
          <w:szCs w:val="20"/>
        </w:rPr>
        <w:br w:type="textWrapping"/>
      </w:r>
      <w:r>
        <w:rPr>
          <w:rFonts w:cs="宋体"/>
          <w:color w:val="000000"/>
          <w:sz w:val="20"/>
          <w:szCs w:val="20"/>
        </w:rPr>
        <w:t>2.本套报表金额单位转换时可能存在尾数误差。</w:t>
      </w:r>
      <w:r>
        <w:rPr>
          <w:rFonts w:cs="宋体"/>
          <w:color w:val="000000"/>
          <w:sz w:val="20"/>
          <w:szCs w:val="20"/>
        </w:rPr>
        <w:br w:type="textWrapping"/>
      </w:r>
      <w:r>
        <w:rPr>
          <w:rFonts w:cs="宋体"/>
          <w:color w:val="000000"/>
          <w:sz w:val="20"/>
          <w:szCs w:val="20"/>
        </w:rPr>
        <w:br w:type="textWrapping"/>
      </w:r>
    </w:p>
    <w:p>
      <w:pPr>
        <w:rPr>
          <w:rFonts w:hint="default" w:cs="宋体"/>
          <w:color w:val="000000"/>
          <w:sz w:val="20"/>
          <w:szCs w:val="20"/>
        </w:rPr>
      </w:pPr>
      <w:r>
        <w:rPr>
          <w:rFonts w:cs="宋体"/>
          <w:color w:val="000000"/>
          <w:sz w:val="20"/>
          <w:szCs w:val="20"/>
        </w:rPr>
        <w:br w:type="page"/>
      </w:r>
    </w:p>
    <w:tbl>
      <w:tblPr>
        <w:tblStyle w:val="8"/>
        <w:tblW w:w="153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color w:val="000000"/>
                <w:sz w:val="20"/>
                <w:szCs w:val="20"/>
              </w:rPr>
              <w:t>单位：</w:t>
            </w:r>
            <w:r>
              <w:rPr>
                <w:color w:val="000000"/>
                <w:sz w:val="20"/>
              </w:rPr>
              <w:t xml:space="preserve">垫江县人民政府桂溪街道办事处（本级） </w:t>
            </w: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9,349.65</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2,173.03</w:t>
            </w:r>
            <w:r>
              <w:rPr>
                <w:rFonts w:ascii="Times New Roman" w:hAnsi="Times New Roman"/>
                <w:b/>
                <w:color w:val="000000"/>
                <w:sz w:val="20"/>
              </w:rPr>
              <w:t xml:space="preserve"> </w:t>
            </w:r>
          </w:p>
        </w:tc>
        <w:tc>
          <w:tcPr>
            <w:tcW w:w="1634"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7,176.62</w:t>
            </w:r>
            <w:r>
              <w:rPr>
                <w:rFonts w:ascii="Times New Roman" w:hAnsi="Times New Roman"/>
                <w:b/>
                <w:color w:val="000000"/>
                <w:sz w:val="20"/>
              </w:rPr>
              <w:t xml:space="preserve"> </w:t>
            </w:r>
          </w:p>
        </w:tc>
        <w:tc>
          <w:tcPr>
            <w:tcW w:w="156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4"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1,850.19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1,062.61</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787.58</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27.91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27.91</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2010107</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人大代表履职能力提升</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23.66</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1,766.80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1,062.61</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704.19</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1,062.61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1,062.61</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704.19</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704.19</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16.09</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16.09</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16.09</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17.66</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13.82</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388.92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269.80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119.12</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249.68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244.66</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5.02</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88.75</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44.56</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116.37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111.35</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5.02</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25.15</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11.74</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25.15</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11.74</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8.21</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2081106</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残疾人体育</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9.76</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66.69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46.54</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20.15</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2100410</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突发公共卫生事件应急处置</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10.61</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10.61</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46.54</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46.54</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99.88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99.88</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98.38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98.38</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大气</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98.38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98.38</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202.15</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202.15</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49.16</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49.16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49.16</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152.99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152.99</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58.83</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58.83</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28.41</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62.75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62.75</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1,479.33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746.59</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732.74</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35.16</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32.38</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61.66</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15.82</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39.84</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35.33</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35.33</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35.33</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35.93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35.93</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35.93</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35.93</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1,311.25</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746.59</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564.66</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1,230.25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746.59</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483.66</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465.11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465.11</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465.11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465.11</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452.67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452.67</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12.43</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12.43</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4,610.77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4,610.77</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4,610.77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4,610.77</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4,610.77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4,610.77</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92.32</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92.32</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92.32</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47.49</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47.49</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47.49</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47.49</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16.54</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16.51</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color w:val="000000"/>
          <w:sz w:val="20"/>
          <w:szCs w:val="20"/>
        </w:rPr>
      </w:pPr>
      <w:r>
        <w:rPr>
          <w:rFonts w:cs="宋体"/>
          <w:color w:val="000000"/>
          <w:sz w:val="20"/>
          <w:szCs w:val="20"/>
        </w:rPr>
        <w:t>备注：1.本表反映单位本年度各项支出情况。</w:t>
      </w:r>
      <w:r>
        <w:rPr>
          <w:rFonts w:cs="宋体"/>
          <w:color w:val="000000"/>
          <w:sz w:val="20"/>
          <w:szCs w:val="20"/>
        </w:rPr>
        <w:br w:type="textWrapping"/>
      </w:r>
      <w:r>
        <w:rPr>
          <w:rFonts w:cs="宋体"/>
          <w:color w:val="000000"/>
          <w:sz w:val="20"/>
          <w:szCs w:val="20"/>
        </w:rPr>
        <w:t xml:space="preserve">      2.本套报表金额单位转换时可能存在尾数误差。</w:t>
      </w:r>
      <w:r>
        <w:rPr>
          <w:rFonts w:cs="宋体"/>
          <w:color w:val="000000"/>
          <w:sz w:val="20"/>
          <w:szCs w:val="20"/>
        </w:rPr>
        <w:br w:type="textWrapping"/>
      </w:r>
      <w:r>
        <w:rPr>
          <w:rFonts w:cs="宋体"/>
          <w:color w:val="000000"/>
          <w:sz w:val="20"/>
          <w:szCs w:val="20"/>
        </w:rPr>
        <w:br w:type="textWrapping"/>
      </w:r>
    </w:p>
    <w:p>
      <w:pPr>
        <w:rPr>
          <w:rFonts w:hint="default" w:cs="宋体"/>
          <w:color w:val="000000"/>
          <w:sz w:val="21"/>
          <w:szCs w:val="21"/>
        </w:rPr>
      </w:pPr>
      <w:r>
        <w:rPr>
          <w:rFonts w:cs="宋体"/>
          <w:color w:val="000000"/>
          <w:sz w:val="21"/>
          <w:szCs w:val="21"/>
        </w:rPr>
        <w:br w:type="page"/>
      </w:r>
    </w:p>
    <w:p>
      <w:pPr>
        <w:rPr>
          <w:rFonts w:hint="default" w:cs="宋体"/>
          <w:color w:val="000000"/>
          <w:sz w:val="21"/>
          <w:szCs w:val="21"/>
        </w:rPr>
      </w:pPr>
    </w:p>
    <w:tbl>
      <w:tblPr>
        <w:tblStyle w:val="8"/>
        <w:tblW w:w="147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979"/>
        <w:gridCol w:w="1526"/>
        <w:gridCol w:w="3191"/>
        <w:gridCol w:w="1700"/>
        <w:gridCol w:w="1700"/>
        <w:gridCol w:w="1700"/>
        <w:gridCol w:w="1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tcMar>
              <w:top w:w="15" w:type="dxa"/>
              <w:left w:w="15" w:type="dxa"/>
              <w:right w:w="15" w:type="dxa"/>
            </w:tcMar>
            <w:vAlign w:val="bottom"/>
          </w:tcPr>
          <w:p>
            <w:pPr>
              <w:spacing w:line="200" w:lineRule="exact"/>
              <w:rPr>
                <w:rFonts w:hint="default" w:cs="宋体"/>
                <w:color w:val="000000"/>
                <w:sz w:val="18"/>
                <w:szCs w:val="18"/>
              </w:rPr>
            </w:pPr>
            <w:r>
              <w:rPr>
                <w:rFonts w:cs="宋体"/>
                <w:color w:val="000000"/>
                <w:sz w:val="20"/>
                <w:szCs w:val="20"/>
              </w:rPr>
              <w:t>单位：</w:t>
            </w:r>
            <w:r>
              <w:rPr>
                <w:color w:val="000000"/>
                <w:sz w:val="20"/>
              </w:rPr>
              <w:t>垫江县人民政府桂溪街道办事处（本级）</w:t>
            </w: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9,100.57</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1,850.19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1,850.19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158.26</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388.92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388.92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66.69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66.69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99.88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99.88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202.15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49.16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152.99</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1,479.33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1,479.33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465.11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465.11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4,610.77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4,610.77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92.32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92.32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47.49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47.49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5.27</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9,258.82</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9,349.65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9,191.39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158.26</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90.82</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90.82</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9,349.65</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9,349.65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9,191.39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158.26</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color w:val="000000"/>
          <w:sz w:val="20"/>
          <w:szCs w:val="20"/>
        </w:rPr>
      </w:pPr>
      <w:r>
        <w:rPr>
          <w:rFonts w:cs="宋体"/>
          <w:color w:val="000000"/>
          <w:sz w:val="20"/>
          <w:szCs w:val="20"/>
        </w:rPr>
        <w:t>备注：1.本表反映单位本年度一般公共预算财政拨款、政府性基金预算财政拨款及国有资本经营预算财政拨款的总收支和年末结转结余情况。</w:t>
      </w:r>
      <w:r>
        <w:rPr>
          <w:rFonts w:cs="宋体"/>
          <w:color w:val="000000"/>
          <w:sz w:val="20"/>
          <w:szCs w:val="20"/>
        </w:rPr>
        <w:br w:type="textWrapping"/>
      </w:r>
      <w:r>
        <w:rPr>
          <w:rFonts w:cs="宋体"/>
          <w:color w:val="000000"/>
          <w:sz w:val="20"/>
          <w:szCs w:val="20"/>
        </w:rPr>
        <w:t xml:space="preserve">      2.本套报表金额单位转换时可能存在尾数误差。</w:t>
      </w:r>
      <w:r>
        <w:rPr>
          <w:rFonts w:cs="宋体"/>
          <w:color w:val="000000"/>
          <w:sz w:val="20"/>
          <w:szCs w:val="20"/>
        </w:rPr>
        <w:br w:type="textWrapping"/>
      </w:r>
      <w:r>
        <w:rPr>
          <w:rFonts w:cs="宋体"/>
          <w:color w:val="000000"/>
          <w:sz w:val="20"/>
          <w:szCs w:val="20"/>
        </w:rPr>
        <w:br w:type="textWrapping"/>
      </w:r>
      <w:r>
        <w:rPr>
          <w:rFonts w:cs="宋体"/>
          <w:color w:val="000000"/>
          <w:sz w:val="21"/>
          <w:szCs w:val="21"/>
        </w:rPr>
        <w:br w:type="page"/>
      </w:r>
    </w:p>
    <w:tbl>
      <w:tblPr>
        <w:tblStyle w:val="8"/>
        <w:tblW w:w="153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92"/>
        <w:gridCol w:w="3909"/>
        <w:gridCol w:w="3319"/>
        <w:gridCol w:w="3312"/>
        <w:gridCol w:w="3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color w:val="000000"/>
                <w:sz w:val="20"/>
                <w:szCs w:val="20"/>
              </w:rPr>
              <w:t>单位：</w:t>
            </w:r>
            <w:r>
              <w:rPr>
                <w:color w:val="000000"/>
                <w:sz w:val="20"/>
              </w:rPr>
              <w:t>垫江县人民政府桂溪街道办事处（本级）</w:t>
            </w:r>
          </w:p>
        </w:tc>
        <w:tc>
          <w:tcPr>
            <w:tcW w:w="331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9,191.39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2,173.03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7,018.36</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1,850.19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1,062.61</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787.58</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27.91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27.91</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2010107</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人大代表履职能力提升</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4.25</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23.66</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1,766.80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1,062.61</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704.19</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1,062.61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1,062.61</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704.19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704.19</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16.09</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16.09</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17.66</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9.17</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13.82</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388.92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269.80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119.12</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249.68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244.66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5.02</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88.75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88.75</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44.56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44.56</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116.37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111.35</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5.02</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25.15</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11.74</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25.15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25.15</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11.74</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8.21</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8.21</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76.30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76.30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76.30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76.30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2081106</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残疾人体育</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9.76</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66.69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20.15</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5.11</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2100410</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突发公共卫生事件应急处置</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5.11</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10.61</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10.61</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0.67</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3.76</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99.88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99.88</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98.38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98.38</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大气</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98.38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98.38</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49.16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49.16</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49.16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49.16</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49.16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49.16</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1,479.33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746.59</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732.74</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35.16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35.16</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32.38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32.38</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61.66</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15.82</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39.84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39.84</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35.33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35.33</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35.33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35.33</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35.93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35.93</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35.93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35.93</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1,311.25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746.59</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564.66</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81.00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1,230.25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746.59</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483.66</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465.11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465.11</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465.11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465.11</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452.67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452.67</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12.43</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4,610.77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4,610.77</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4,610.77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4,610.77</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4,610.77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4,610.77</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92.32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92.32</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92.32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92.32</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92.32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92.32</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47.49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47.49</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47.49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47.49</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47.49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47.49</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16.54</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16.51</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7.36</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7.36</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bl>
    <w:p>
      <w:pPr>
        <w:rPr>
          <w:rFonts w:hint="default" w:cs="宋体"/>
          <w:color w:val="000000"/>
          <w:sz w:val="21"/>
          <w:szCs w:val="21"/>
        </w:rPr>
      </w:pPr>
      <w:r>
        <w:rPr>
          <w:rFonts w:cs="宋体"/>
          <w:color w:val="000000"/>
          <w:sz w:val="20"/>
          <w:szCs w:val="20"/>
        </w:rPr>
        <w:t>备注：1.本表反映单位本年度一般公共预算财政拨款支出情况。</w:t>
      </w:r>
      <w:r>
        <w:rPr>
          <w:rFonts w:cs="宋体"/>
          <w:color w:val="000000"/>
          <w:sz w:val="20"/>
          <w:szCs w:val="20"/>
        </w:rPr>
        <w:br w:type="textWrapping"/>
      </w:r>
      <w:r>
        <w:rPr>
          <w:rFonts w:cs="宋体"/>
          <w:color w:val="000000"/>
          <w:sz w:val="20"/>
          <w:szCs w:val="20"/>
        </w:rPr>
        <w:t xml:space="preserve">      2.本套报表金额单位转换时可能存在尾数误差。</w:t>
      </w:r>
      <w:r>
        <w:rPr>
          <w:rFonts w:cs="宋体"/>
          <w:color w:val="000000"/>
          <w:sz w:val="20"/>
          <w:szCs w:val="20"/>
        </w:rPr>
        <w:br w:type="textWrapping"/>
      </w:r>
      <w:r>
        <w:rPr>
          <w:rFonts w:cs="宋体"/>
          <w:color w:val="000000"/>
          <w:sz w:val="20"/>
          <w:szCs w:val="20"/>
        </w:rPr>
        <w:br w:type="textWrapping"/>
      </w:r>
    </w:p>
    <w:p>
      <w:pPr>
        <w:ind w:firstLine="630" w:firstLineChars="300"/>
        <w:rPr>
          <w:rFonts w:hint="default" w:cs="宋体"/>
          <w:color w:val="000000"/>
          <w:sz w:val="21"/>
          <w:szCs w:val="21"/>
        </w:rPr>
      </w:pPr>
      <w:r>
        <w:rPr>
          <w:rFonts w:cs="宋体"/>
          <w:color w:val="000000"/>
          <w:sz w:val="21"/>
          <w:szCs w:val="21"/>
        </w:rPr>
        <w:br w:type="page"/>
      </w:r>
    </w:p>
    <w:tbl>
      <w:tblPr>
        <w:tblStyle w:val="8"/>
        <w:tblW w:w="153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5360" w:type="dxa"/>
            <w:gridSpan w:val="9"/>
            <w:tcBorders>
              <w:top w:val="nil"/>
              <w:left w:val="nil"/>
              <w:bottom w:val="nil"/>
              <w:right w:val="nil"/>
            </w:tcBorders>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480" w:type="dxa"/>
            <w:gridSpan w:val="5"/>
            <w:vMerge w:val="restart"/>
            <w:tcBorders>
              <w:top w:val="nil"/>
              <w:left w:val="nil"/>
              <w:right w:val="nil"/>
            </w:tcBorders>
            <w:tcMar>
              <w:top w:w="15" w:type="dxa"/>
              <w:left w:w="15" w:type="dxa"/>
              <w:right w:w="15" w:type="dxa"/>
            </w:tcMar>
            <w:vAlign w:val="bottom"/>
          </w:tcPr>
          <w:p>
            <w:pPr>
              <w:spacing w:line="200" w:lineRule="exact"/>
              <w:rPr>
                <w:rFonts w:hint="default" w:cs="宋体"/>
                <w:color w:val="000000"/>
                <w:sz w:val="18"/>
                <w:szCs w:val="18"/>
              </w:rPr>
            </w:pPr>
            <w:r>
              <w:rPr>
                <w:rFonts w:cs="宋体"/>
                <w:color w:val="000000"/>
                <w:sz w:val="20"/>
                <w:szCs w:val="20"/>
              </w:rPr>
              <w:t>单位：</w:t>
            </w:r>
            <w:r>
              <w:rPr>
                <w:color w:val="000000"/>
                <w:sz w:val="20"/>
              </w:rPr>
              <w:t>垫江县人民政府桂溪街道办事处（本级）</w:t>
            </w:r>
          </w:p>
        </w:tc>
        <w:tc>
          <w:tcPr>
            <w:tcW w:w="1656"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480" w:type="dxa"/>
            <w:gridSpan w:val="5"/>
            <w:vMerge w:val="continue"/>
            <w:tcBorders>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472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605"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60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859.68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416.59</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13.66</w:t>
            </w: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176.64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30.54</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125.24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41.85</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13.66</w:t>
            </w: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253.22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62.11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8.17</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88.75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25.35</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44.56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51.64</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51.44</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47.49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14.62</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0.49</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883.09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0.21</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10.45</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841.14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99.41</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13.25</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33.15</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9.12</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jc w:val="center"/>
        </w:trPr>
        <w:tc>
          <w:tcPr>
            <w:tcW w:w="3345"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1,742.77</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430.26</w:t>
            </w:r>
            <w:r>
              <w:rPr>
                <w:rFonts w:ascii="Times New Roman" w:hAnsi="Times New Roman"/>
                <w:color w:val="000000"/>
                <w:sz w:val="18"/>
              </w:rPr>
              <w:t xml:space="preserve"> </w:t>
            </w:r>
          </w:p>
        </w:tc>
      </w:tr>
    </w:tbl>
    <w:p>
      <w:pPr>
        <w:spacing w:line="280" w:lineRule="exact"/>
        <w:rPr>
          <w:rFonts w:hint="default" w:cs="宋体"/>
          <w:color w:val="000000"/>
          <w:sz w:val="20"/>
          <w:szCs w:val="20"/>
        </w:rPr>
      </w:pPr>
      <w:r>
        <w:rPr>
          <w:rFonts w:cs="宋体"/>
          <w:color w:val="000000"/>
          <w:sz w:val="20"/>
          <w:szCs w:val="20"/>
        </w:rPr>
        <w:t>备注：1.本表反映单位本年度一般公共预算财政拨款基本支出明细情况。</w:t>
      </w:r>
      <w:r>
        <w:rPr>
          <w:rFonts w:cs="宋体"/>
          <w:color w:val="000000"/>
          <w:sz w:val="20"/>
          <w:szCs w:val="20"/>
        </w:rPr>
        <w:br w:type="textWrapping"/>
      </w:r>
      <w:r>
        <w:rPr>
          <w:rFonts w:cs="宋体"/>
          <w:color w:val="000000"/>
          <w:sz w:val="20"/>
          <w:szCs w:val="20"/>
        </w:rPr>
        <w:t xml:space="preserve">      2.本套报表金额单位转换时可能存在尾数误差。</w:t>
      </w:r>
      <w:r>
        <w:rPr>
          <w:rFonts w:cs="宋体"/>
          <w:color w:val="000000"/>
          <w:sz w:val="20"/>
          <w:szCs w:val="20"/>
        </w:rPr>
        <w:br w:type="textWrapping"/>
      </w:r>
      <w:r>
        <w:rPr>
          <w:rFonts w:cs="宋体"/>
          <w:color w:val="000000"/>
          <w:sz w:val="21"/>
          <w:szCs w:val="21"/>
        </w:rPr>
        <w:br w:type="page"/>
      </w:r>
    </w:p>
    <w:tbl>
      <w:tblPr>
        <w:tblStyle w:val="8"/>
        <w:tblW w:w="153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jc w:val="center"/>
        </w:trPr>
        <w:tc>
          <w:tcPr>
            <w:tcW w:w="15378" w:type="dxa"/>
            <w:gridSpan w:val="8"/>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jc w:val="center"/>
        </w:trPr>
        <w:tc>
          <w:tcPr>
            <w:tcW w:w="6646"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color w:val="000000"/>
                <w:sz w:val="20"/>
                <w:szCs w:val="20"/>
              </w:rPr>
              <w:t>单位：</w:t>
            </w:r>
            <w:r>
              <w:rPr>
                <w:color w:val="000000"/>
                <w:sz w:val="20"/>
              </w:rPr>
              <w:t>垫江县人民政府桂溪街道办事处（本级）</w:t>
            </w: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jc w:val="center"/>
        </w:trPr>
        <w:tc>
          <w:tcPr>
            <w:tcW w:w="6646"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jc w:val="center"/>
        </w:trPr>
        <w:tc>
          <w:tcPr>
            <w:tcW w:w="49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jc w:val="center"/>
        </w:trPr>
        <w:tc>
          <w:tcPr>
            <w:tcW w:w="164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jc w:val="center"/>
        </w:trPr>
        <w:tc>
          <w:tcPr>
            <w:tcW w:w="16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16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jc w:val="center"/>
        </w:trPr>
        <w:tc>
          <w:tcPr>
            <w:tcW w:w="4939"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158.26</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158.26</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158.26</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jc w:val="center"/>
        </w:trPr>
        <w:tc>
          <w:tcPr>
            <w:tcW w:w="164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152.99</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152.99</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152.99</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jc w:val="center"/>
        </w:trPr>
        <w:tc>
          <w:tcPr>
            <w:tcW w:w="164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152.99</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152.99</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152.99</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jc w:val="center"/>
        </w:trPr>
        <w:tc>
          <w:tcPr>
            <w:tcW w:w="164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2120801</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征地和拆迁补偿支出</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58.83</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58.83</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58.83</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jc w:val="center"/>
        </w:trPr>
        <w:tc>
          <w:tcPr>
            <w:tcW w:w="164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2120804</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农村基础设施建设支出</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jc w:val="center"/>
        </w:trPr>
        <w:tc>
          <w:tcPr>
            <w:tcW w:w="164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2120814</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农业生产发展支出</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28.41</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28.41</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28.41</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jc w:val="center"/>
        </w:trPr>
        <w:tc>
          <w:tcPr>
            <w:tcW w:w="164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62.75</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62.75</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62.75</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jc w:val="center"/>
        </w:trPr>
        <w:tc>
          <w:tcPr>
            <w:tcW w:w="164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jc w:val="center"/>
        </w:trPr>
        <w:tc>
          <w:tcPr>
            <w:tcW w:w="164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jc w:val="center"/>
        </w:trPr>
        <w:tc>
          <w:tcPr>
            <w:tcW w:w="164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jc w:val="center"/>
        </w:trPr>
        <w:tc>
          <w:tcPr>
            <w:tcW w:w="164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2296099</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color w:val="000000"/>
          <w:sz w:val="21"/>
          <w:szCs w:val="21"/>
        </w:rPr>
      </w:pPr>
      <w:r>
        <w:rPr>
          <w:rFonts w:cs="宋体"/>
          <w:color w:val="000000"/>
          <w:sz w:val="20"/>
          <w:szCs w:val="20"/>
        </w:rPr>
        <w:t>备注：1.本表反映单位本年度政府性基金预算财政拨款收入支出及结转和结余情况。</w:t>
      </w:r>
      <w:r>
        <w:rPr>
          <w:rFonts w:cs="宋体"/>
          <w:color w:val="000000"/>
          <w:sz w:val="20"/>
          <w:szCs w:val="20"/>
        </w:rPr>
        <w:br w:type="textWrapping"/>
      </w:r>
      <w:r>
        <w:rPr>
          <w:rFonts w:cs="宋体"/>
          <w:color w:val="000000"/>
          <w:sz w:val="20"/>
          <w:szCs w:val="20"/>
        </w:rPr>
        <w:t xml:space="preserve">      2.本套报表金额单位转换时可能存在尾数误差。</w:t>
      </w:r>
      <w:r>
        <w:rPr>
          <w:rFonts w:cs="宋体"/>
          <w:color w:val="000000"/>
          <w:sz w:val="20"/>
          <w:szCs w:val="20"/>
        </w:rPr>
        <w:br w:type="textWrapping"/>
      </w:r>
      <w:r>
        <w:rPr>
          <w:rFonts w:cs="宋体"/>
          <w:color w:val="000000"/>
          <w:sz w:val="20"/>
          <w:szCs w:val="20"/>
        </w:rPr>
        <w:br w:type="textWrapping"/>
      </w:r>
    </w:p>
    <w:p>
      <w:pPr>
        <w:rPr>
          <w:rFonts w:hint="default" w:cs="宋体"/>
          <w:color w:val="000000"/>
          <w:sz w:val="21"/>
          <w:szCs w:val="21"/>
        </w:rPr>
      </w:pPr>
      <w:r>
        <w:rPr>
          <w:rFonts w:cs="宋体"/>
          <w:color w:val="000000"/>
          <w:sz w:val="21"/>
          <w:szCs w:val="21"/>
        </w:rPr>
        <w:br w:type="page"/>
      </w:r>
    </w:p>
    <w:tbl>
      <w:tblPr>
        <w:tblStyle w:val="8"/>
        <w:tblW w:w="153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08"/>
        <w:gridCol w:w="2928"/>
        <w:gridCol w:w="3276"/>
        <w:gridCol w:w="200"/>
        <w:gridCol w:w="3475"/>
        <w:gridCol w:w="77"/>
        <w:gridCol w:w="34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color w:val="000000"/>
                <w:sz w:val="20"/>
                <w:szCs w:val="20"/>
              </w:rPr>
              <w:t>单位：</w:t>
            </w:r>
            <w:r>
              <w:rPr>
                <w:color w:val="000000"/>
                <w:sz w:val="20"/>
              </w:rPr>
              <w:t>垫江县人民政府桂溪街道办事处（本级）</w:t>
            </w:r>
          </w:p>
        </w:tc>
        <w:tc>
          <w:tcPr>
            <w:tcW w:w="3752" w:type="dxa"/>
            <w:gridSpan w:val="3"/>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color w:val="000000"/>
          <w:sz w:val="21"/>
          <w:szCs w:val="21"/>
        </w:rPr>
      </w:pPr>
      <w:r>
        <w:rPr>
          <w:rFonts w:cs="宋体"/>
          <w:color w:val="000000"/>
          <w:sz w:val="20"/>
          <w:szCs w:val="20"/>
        </w:rPr>
        <w:t>备注：本表反映单位本年度国有资本经营预算财政拨款支出情况。本单位无国有资本经营收支，故本表无数据。</w:t>
      </w:r>
      <w:r>
        <w:rPr>
          <w:rFonts w:cs="宋体"/>
          <w:color w:val="000000"/>
          <w:sz w:val="20"/>
          <w:szCs w:val="20"/>
        </w:rPr>
        <w:br w:type="textWrapping"/>
      </w:r>
      <w:r>
        <w:rPr>
          <w:rFonts w:cs="宋体"/>
          <w:color w:val="000000"/>
          <w:sz w:val="20"/>
          <w:szCs w:val="20"/>
        </w:rPr>
        <w:br w:type="textWrapping"/>
      </w:r>
    </w:p>
    <w:p>
      <w:pPr>
        <w:rPr>
          <w:rFonts w:hint="default" w:cs="宋体"/>
          <w:color w:val="000000"/>
          <w:sz w:val="21"/>
          <w:szCs w:val="21"/>
        </w:rPr>
      </w:pPr>
      <w:r>
        <w:rPr>
          <w:rFonts w:hint="default" w:cs="宋体"/>
          <w:color w:val="000000"/>
          <w:sz w:val="21"/>
          <w:szCs w:val="21"/>
        </w:rPr>
        <w:br w:type="page"/>
      </w:r>
    </w:p>
    <w:tbl>
      <w:tblPr>
        <w:tblStyle w:val="8"/>
        <w:tblW w:w="153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70" w:type="dxa"/>
          <w:bottom w:w="0" w:type="dxa"/>
          <w:right w:w="170" w:type="dxa"/>
        </w:tblCellMar>
      </w:tblPr>
      <w:tblGrid>
        <w:gridCol w:w="3190"/>
        <w:gridCol w:w="2425"/>
        <w:gridCol w:w="3189"/>
        <w:gridCol w:w="4394"/>
        <w:gridCol w:w="2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343" w:hRule="atLeast"/>
        </w:trPr>
        <w:tc>
          <w:tcPr>
            <w:tcW w:w="15324" w:type="dxa"/>
            <w:gridSpan w:val="5"/>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44" w:hRule="atLeast"/>
        </w:trPr>
        <w:tc>
          <w:tcPr>
            <w:tcW w:w="3190" w:type="dxa"/>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3189" w:type="dxa"/>
            <w:tcMar>
              <w:top w:w="15" w:type="dxa"/>
              <w:left w:w="15" w:type="dxa"/>
              <w:right w:w="15" w:type="dxa"/>
            </w:tcMar>
            <w:vAlign w:val="bottom"/>
          </w:tcPr>
          <w:p>
            <w:pPr>
              <w:spacing w:line="280" w:lineRule="exact"/>
              <w:jc w:val="right"/>
              <w:rPr>
                <w:rFonts w:hint="default" w:cs="宋体"/>
                <w:color w:val="000000"/>
                <w:kern w:val="2"/>
                <w:sz w:val="20"/>
                <w:szCs w:val="20"/>
              </w:rPr>
            </w:pPr>
          </w:p>
        </w:tc>
        <w:tc>
          <w:tcPr>
            <w:tcW w:w="4394" w:type="dxa"/>
            <w:tcMar>
              <w:top w:w="15" w:type="dxa"/>
              <w:left w:w="15" w:type="dxa"/>
              <w:right w:w="15" w:type="dxa"/>
            </w:tcMar>
            <w:vAlign w:val="bottom"/>
          </w:tcPr>
          <w:p>
            <w:pPr>
              <w:spacing w:line="280" w:lineRule="exact"/>
              <w:rPr>
                <w:rFonts w:hint="default" w:cs="宋体"/>
                <w:color w:val="000000"/>
                <w:kern w:val="2"/>
                <w:sz w:val="20"/>
                <w:szCs w:val="20"/>
              </w:rPr>
            </w:pPr>
          </w:p>
        </w:tc>
        <w:tc>
          <w:tcPr>
            <w:tcW w:w="2126" w:type="dxa"/>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tcMar>
              <w:top w:w="15" w:type="dxa"/>
              <w:left w:w="15" w:type="dxa"/>
              <w:right w:w="15" w:type="dxa"/>
            </w:tcMar>
            <w:vAlign w:val="bottom"/>
          </w:tcPr>
          <w:p>
            <w:pPr>
              <w:spacing w:line="280" w:lineRule="exact"/>
              <w:rPr>
                <w:rFonts w:hint="default" w:cs="宋体"/>
                <w:color w:val="000000"/>
                <w:kern w:val="2"/>
                <w:sz w:val="20"/>
                <w:szCs w:val="20"/>
              </w:rPr>
            </w:pPr>
            <w:r>
              <w:rPr>
                <w:rFonts w:cs="宋体"/>
                <w:color w:val="000000"/>
                <w:kern w:val="2"/>
                <w:sz w:val="20"/>
                <w:szCs w:val="20"/>
              </w:rPr>
              <w:t>单位：</w:t>
            </w:r>
            <w:r>
              <w:rPr>
                <w:color w:val="000000"/>
                <w:sz w:val="20"/>
              </w:rPr>
              <w:t>垫江县人民政府桂溪街道办事处（本级）</w:t>
            </w:r>
          </w:p>
        </w:tc>
        <w:tc>
          <w:tcPr>
            <w:tcW w:w="3189" w:type="dxa"/>
            <w:tcBorders>
              <w:top w:val="nil"/>
              <w:left w:val="nil"/>
              <w:bottom w:val="single" w:color="auto" w:sz="4" w:space="0"/>
              <w:right w:val="nil"/>
            </w:tcBorders>
            <w:tcMar>
              <w:top w:w="15" w:type="dxa"/>
              <w:left w:w="15" w:type="dxa"/>
              <w:right w:w="15" w:type="dxa"/>
            </w:tcMar>
            <w:vAlign w:val="bottom"/>
          </w:tcPr>
          <w:p>
            <w:pPr>
              <w:spacing w:line="280" w:lineRule="exact"/>
              <w:jc w:val="right"/>
              <w:rPr>
                <w:rFonts w:hint="default" w:cs="宋体"/>
                <w:color w:val="000000"/>
                <w:kern w:val="2"/>
                <w:sz w:val="20"/>
                <w:szCs w:val="20"/>
              </w:rPr>
            </w:pPr>
          </w:p>
        </w:tc>
        <w:tc>
          <w:tcPr>
            <w:tcW w:w="4394" w:type="dxa"/>
            <w:tcBorders>
              <w:top w:val="nil"/>
              <w:left w:val="nil"/>
              <w:bottom w:val="single" w:color="auto" w:sz="4" w:space="0"/>
              <w:right w:val="nil"/>
            </w:tcBorders>
            <w:tcMar>
              <w:top w:w="15" w:type="dxa"/>
              <w:left w:w="15" w:type="dxa"/>
              <w:right w:w="15" w:type="dxa"/>
            </w:tcMar>
            <w:vAlign w:val="bottom"/>
          </w:tcPr>
          <w:p>
            <w:pPr>
              <w:spacing w:line="280" w:lineRule="exact"/>
              <w:rPr>
                <w:rFonts w:hint="default" w:cs="宋体"/>
                <w:color w:val="000000"/>
                <w:kern w:val="2"/>
                <w:sz w:val="20"/>
                <w:szCs w:val="20"/>
              </w:rPr>
            </w:pPr>
          </w:p>
        </w:tc>
        <w:tc>
          <w:tcPr>
            <w:tcW w:w="2126" w:type="dxa"/>
            <w:tcBorders>
              <w:top w:val="nil"/>
              <w:left w:val="nil"/>
              <w:bottom w:val="single" w:color="auto" w:sz="4" w:space="0"/>
              <w:right w:val="nil"/>
            </w:tcBorders>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430.26</w:t>
            </w: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18.49</w:t>
            </w:r>
            <w:r>
              <w:rPr>
                <w:rFonts w:ascii="Times New Roman" w:hAnsi="Times New Roman"/>
                <w:color w:val="000000"/>
                <w:sz w:val="18"/>
              </w:rPr>
              <w:t xml:space="preserve"> </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18.49</w:t>
            </w: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430.26</w:t>
            </w: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13.25</w:t>
            </w:r>
            <w:r>
              <w:rPr>
                <w:rFonts w:ascii="Times New Roman" w:hAnsi="Times New Roman"/>
                <w:color w:val="000000"/>
                <w:sz w:val="18"/>
              </w:rPr>
              <w:t xml:space="preserve"> </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13.25</w:t>
            </w: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13.25</w:t>
            </w:r>
            <w:r>
              <w:rPr>
                <w:rFonts w:ascii="Times New Roman" w:hAnsi="Times New Roman"/>
                <w:color w:val="000000"/>
                <w:sz w:val="18"/>
              </w:rPr>
              <w:t xml:space="preserve"> </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13.25</w:t>
            </w: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5.25</w:t>
            </w:r>
            <w:r>
              <w:rPr>
                <w:rFonts w:ascii="Times New Roman" w:hAnsi="Times New Roman"/>
                <w:color w:val="000000"/>
                <w:sz w:val="18"/>
              </w:rPr>
              <w:t xml:space="preserve"> </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5.25</w:t>
            </w: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5.25</w:t>
            </w: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138</w:t>
            </w: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2.33</w:t>
            </w: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2.33</w:t>
            </w: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832</w:t>
            </w: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2.33</w:t>
            </w: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2.33</w:t>
            </w: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1.38</w:t>
            </w: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cs="宋体"/>
                <w:color w:val="000000"/>
                <w:kern w:val="2"/>
                <w:sz w:val="16"/>
                <w:szCs w:val="16"/>
              </w:rPr>
            </w:pP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2.57</w:t>
            </w: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cs="宋体"/>
                <w:color w:val="000000"/>
                <w:kern w:val="2"/>
                <w:sz w:val="16"/>
                <w:szCs w:val="16"/>
              </w:rPr>
            </w:pP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55.64</w:t>
            </w: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cs="宋体"/>
                <w:color w:val="000000"/>
                <w:sz w:val="16"/>
                <w:szCs w:val="16"/>
              </w:rPr>
            </w:pP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color w:val="000000"/>
          <w:sz w:val="21"/>
          <w:szCs w:val="21"/>
        </w:rPr>
      </w:pPr>
      <w:r>
        <w:rPr>
          <w:rFonts w:cs="宋体"/>
          <w:color w:val="000000"/>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color w:val="000000"/>
          <w:sz w:val="18"/>
          <w:szCs w:val="18"/>
        </w:rPr>
        <w:br w:type="textWrapping"/>
      </w:r>
      <w:r>
        <w:rPr>
          <w:rFonts w:cs="宋体"/>
          <w:color w:val="000000"/>
          <w:sz w:val="18"/>
          <w:szCs w:val="18"/>
        </w:rPr>
        <w:t xml:space="preserve">      2.本套报表金额单位转换时可能存在尾数误差。</w:t>
      </w:r>
      <w:r>
        <w:rPr>
          <w:rFonts w:cs="宋体"/>
          <w:color w:val="000000"/>
          <w:sz w:val="18"/>
          <w:szCs w:val="18"/>
        </w:rPr>
        <w:br w:type="textWrapping"/>
      </w:r>
      <w:r>
        <w:rPr>
          <w:rFonts w:cs="宋体"/>
          <w:color w:val="000000"/>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方正黑体_GBK">
    <w:altName w:val="微软雅黑"/>
    <w:panose1 w:val="03000509000000000000"/>
    <w:charset w:val="86"/>
    <w:family w:val="auto"/>
    <w:pitch w:val="default"/>
    <w:sig w:usb0="00000000" w:usb1="00000000" w:usb2="00000010" w:usb3="00000000" w:csb0="00040000" w:csb1="00000000"/>
  </w:font>
  <w:font w:name="方正楷体_GBK">
    <w:altName w:val="微软雅黑"/>
    <w:panose1 w:val="03000509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ascii="宋体" w:hAnsi="宋体" w:eastAsia="宋体" w:cs="Times New Roman"/>
        <w:sz w:val="18"/>
        <w:szCs w:val="18"/>
        <w:lang w:val="en-US" w:eastAsia="zh-CN" w:bidi="ar-SA"/>
      </w:rPr>
      <w:pict>
        <v:rect id="文本框 1" o:spid="_x0000_s2049" o:spt="1"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4"/>
                  <w:rPr>
                    <w:rFonts w:hint="default"/>
                    <w:sz w:val="24"/>
                    <w:szCs w:val="24"/>
                  </w:rPr>
                </w:pPr>
                <w:r>
                  <w:rPr>
                    <w:sz w:val="24"/>
                    <w:szCs w:val="24"/>
                  </w:rPr>
                  <w:fldChar w:fldCharType="begin"/>
                </w:r>
                <w:r>
                  <w:rPr>
                    <w:sz w:val="24"/>
                    <w:szCs w:val="24"/>
                  </w:rPr>
                  <w:instrText xml:space="preserve"> PAGE  \* MERGEFORMAT </w:instrText>
                </w:r>
                <w:r>
                  <w:rPr>
                    <w:sz w:val="24"/>
                    <w:szCs w:val="24"/>
                  </w:rPr>
                  <w:fldChar w:fldCharType="separate"/>
                </w:r>
                <w:r>
                  <w:rPr>
                    <w:rFonts w:hint="default"/>
                    <w:sz w:val="24"/>
                    <w:szCs w:val="24"/>
                  </w:rPr>
                  <w:t>- 13 -</w:t>
                </w:r>
                <w:r>
                  <w:rPr>
                    <w:sz w:val="24"/>
                    <w:szCs w:val="24"/>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ascii="宋体" w:hAnsi="宋体" w:eastAsia="宋体" w:cs="Times New Roman"/>
        <w:sz w:val="18"/>
        <w:szCs w:val="18"/>
        <w:lang w:val="en-US" w:eastAsia="zh-CN" w:bidi="ar-SA"/>
      </w:rPr>
      <w:pict>
        <v:rect id="文本框 127" o:spid="_x0000_s2050" o:spt="1" style="position:absolute;left:0pt;margin-top:0pt;height:144pt;width:144pt;mso-position-horizontal:center;mso-position-horizontal-relative:margin;mso-wrap-style:none;z-index:251660288;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style="mso-fit-shape-to-text:t;">
            <w:txbxContent>
              <w:p>
                <w:pPr>
                  <w:pStyle w:val="4"/>
                  <w:rPr>
                    <w:rFonts w:hint="default"/>
                    <w:sz w:val="24"/>
                    <w:szCs w:val="24"/>
                  </w:rPr>
                </w:pPr>
                <w:r>
                  <w:rPr>
                    <w:sz w:val="24"/>
                    <w:szCs w:val="24"/>
                  </w:rPr>
                  <w:t xml:space="preserve"> </w:t>
                </w:r>
                <w:r>
                  <w:rPr>
                    <w:sz w:val="24"/>
                    <w:szCs w:val="24"/>
                  </w:rPr>
                  <w:fldChar w:fldCharType="begin"/>
                </w:r>
                <w:r>
                  <w:rPr>
                    <w:sz w:val="24"/>
                    <w:szCs w:val="24"/>
                  </w:rPr>
                  <w:instrText xml:space="preserve">PAGE   \* MERGEFORMAT</w:instrText>
                </w:r>
                <w:r>
                  <w:rPr>
                    <w:sz w:val="24"/>
                    <w:szCs w:val="24"/>
                  </w:rPr>
                  <w:fldChar w:fldCharType="separate"/>
                </w:r>
                <w:r>
                  <w:rPr>
                    <w:rFonts w:hint="default"/>
                    <w:sz w:val="24"/>
                    <w:szCs w:val="24"/>
                    <w:lang w:val="zh-CN"/>
                  </w:rPr>
                  <w:t>-</w:t>
                </w:r>
                <w:r>
                  <w:rPr>
                    <w:rFonts w:hint="default"/>
                    <w:sz w:val="24"/>
                    <w:szCs w:val="24"/>
                  </w:rPr>
                  <w:t xml:space="preserve"> 23 -</w:t>
                </w:r>
                <w:r>
                  <w:rPr>
                    <w:sz w:val="24"/>
                    <w:szCs w:val="24"/>
                  </w:rPr>
                  <w:fldChar w:fldCharType="end"/>
                </w:r>
                <w:r>
                  <w:rPr>
                    <w:sz w:val="24"/>
                    <w:szCs w:val="24"/>
                  </w:rPr>
                  <w:t xml:space="preserve"> </w:t>
                </w:r>
              </w:p>
            </w:txbxContent>
          </v:textbox>
        </v:rect>
      </w:pict>
    </w:r>
    <w:r>
      <w:rPr>
        <w:rFonts w:hint="default" w:ascii="宋体" w:hAnsi="宋体" w:eastAsia="宋体" w:cs="Times New Roman"/>
        <w:sz w:val="18"/>
        <w:szCs w:val="18"/>
        <w:lang w:val="en-US" w:eastAsia="zh-CN" w:bidi="ar-SA"/>
      </w:rPr>
      <w:pict>
        <v:rect id="文本框 126" o:spid="_x0000_s2051" o:spt="1" style="position:absolute;left:0pt;margin-top:1160.4pt;height:17.4pt;width:144pt;mso-position-horizontal:center;mso-position-horizontal-relative:margin;mso-position-vertical-relative:page;mso-wrap-style:none;z-index:251659264;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w:txbxContent>
              <w:p>
                <w:pPr>
                  <w:pStyle w:val="4"/>
                  <w:jc w:val="both"/>
                  <w:rPr>
                    <w:rFonts w:hint="default" w:cs="宋体"/>
                  </w:rPr>
                </w:pPr>
                <w:r>
                  <w:rPr>
                    <w:rFonts w:cs="宋体"/>
                  </w:rPr>
                  <w:t>— 27.1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jg4MWM2YmFhNjI2ZjBiMzdmZDQ5YWQxZGNmMDQ4ZWEifQ=="/>
  </w:docVars>
  <w:rsids>
    <w:rsidRoot w:val="00B03CCD"/>
    <w:rsid w:val="000239C6"/>
    <w:rsid w:val="000766E0"/>
    <w:rsid w:val="00113D36"/>
    <w:rsid w:val="001D3BB7"/>
    <w:rsid w:val="002A0C03"/>
    <w:rsid w:val="002B254B"/>
    <w:rsid w:val="004006D2"/>
    <w:rsid w:val="00466C9B"/>
    <w:rsid w:val="004A6605"/>
    <w:rsid w:val="00550ABE"/>
    <w:rsid w:val="0056131D"/>
    <w:rsid w:val="00595E87"/>
    <w:rsid w:val="005D1CC9"/>
    <w:rsid w:val="00760C9D"/>
    <w:rsid w:val="00770383"/>
    <w:rsid w:val="007819D4"/>
    <w:rsid w:val="007850A1"/>
    <w:rsid w:val="007B419D"/>
    <w:rsid w:val="007B7C4B"/>
    <w:rsid w:val="007D3D39"/>
    <w:rsid w:val="008F0CAD"/>
    <w:rsid w:val="00994AF7"/>
    <w:rsid w:val="009B67B8"/>
    <w:rsid w:val="009D2B67"/>
    <w:rsid w:val="00A566F9"/>
    <w:rsid w:val="00AF2751"/>
    <w:rsid w:val="00B03CCD"/>
    <w:rsid w:val="00B76CE7"/>
    <w:rsid w:val="00BD58A4"/>
    <w:rsid w:val="00BE2B89"/>
    <w:rsid w:val="00C10E9E"/>
    <w:rsid w:val="00C20C3E"/>
    <w:rsid w:val="00CF2ACF"/>
    <w:rsid w:val="00E44B42"/>
    <w:rsid w:val="00E8267F"/>
    <w:rsid w:val="00F73F90"/>
    <w:rsid w:val="00FB4B3B"/>
    <w:rsid w:val="01474EBF"/>
    <w:rsid w:val="01F3521E"/>
    <w:rsid w:val="03B87EA0"/>
    <w:rsid w:val="03E3214F"/>
    <w:rsid w:val="044C50BA"/>
    <w:rsid w:val="05BC6D49"/>
    <w:rsid w:val="06194FF1"/>
    <w:rsid w:val="069C62CC"/>
    <w:rsid w:val="06A2550B"/>
    <w:rsid w:val="06D307B5"/>
    <w:rsid w:val="06F80EE2"/>
    <w:rsid w:val="07001CCA"/>
    <w:rsid w:val="075678DB"/>
    <w:rsid w:val="079D7CC7"/>
    <w:rsid w:val="08051BCA"/>
    <w:rsid w:val="086C12F4"/>
    <w:rsid w:val="08705944"/>
    <w:rsid w:val="08BA052C"/>
    <w:rsid w:val="08DB07BA"/>
    <w:rsid w:val="09621F31"/>
    <w:rsid w:val="0969353F"/>
    <w:rsid w:val="098305D0"/>
    <w:rsid w:val="0A3317EA"/>
    <w:rsid w:val="0A5C4B69"/>
    <w:rsid w:val="0A86124A"/>
    <w:rsid w:val="0A961DC5"/>
    <w:rsid w:val="0AB54CC0"/>
    <w:rsid w:val="0B044837"/>
    <w:rsid w:val="0B156E0E"/>
    <w:rsid w:val="0B9335CE"/>
    <w:rsid w:val="0BF2311A"/>
    <w:rsid w:val="0C2A5909"/>
    <w:rsid w:val="0C3929FF"/>
    <w:rsid w:val="0C7927C4"/>
    <w:rsid w:val="0C9B098C"/>
    <w:rsid w:val="0D673E11"/>
    <w:rsid w:val="0DDA54E4"/>
    <w:rsid w:val="0E3A5F83"/>
    <w:rsid w:val="0E4119B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6B7824"/>
    <w:rsid w:val="15767DBB"/>
    <w:rsid w:val="157C5C07"/>
    <w:rsid w:val="163A6CEE"/>
    <w:rsid w:val="173708E3"/>
    <w:rsid w:val="17C374FC"/>
    <w:rsid w:val="17F82F6C"/>
    <w:rsid w:val="182E4AB6"/>
    <w:rsid w:val="189079DC"/>
    <w:rsid w:val="189B0D0B"/>
    <w:rsid w:val="18B43F7C"/>
    <w:rsid w:val="194A1770"/>
    <w:rsid w:val="19B906A4"/>
    <w:rsid w:val="19CB1A98"/>
    <w:rsid w:val="1B6F15B6"/>
    <w:rsid w:val="1BAA2EDC"/>
    <w:rsid w:val="1CA55E64"/>
    <w:rsid w:val="1D014A01"/>
    <w:rsid w:val="1D022362"/>
    <w:rsid w:val="1D1B04B0"/>
    <w:rsid w:val="1DA52501"/>
    <w:rsid w:val="1DBD6767"/>
    <w:rsid w:val="1DC52125"/>
    <w:rsid w:val="1DD26311"/>
    <w:rsid w:val="1E1C58F4"/>
    <w:rsid w:val="1E374ACB"/>
    <w:rsid w:val="1ECF0A66"/>
    <w:rsid w:val="1EF67CA4"/>
    <w:rsid w:val="1F020D3A"/>
    <w:rsid w:val="1F2C5189"/>
    <w:rsid w:val="1F4B0B02"/>
    <w:rsid w:val="1F835BDA"/>
    <w:rsid w:val="1FBB35CD"/>
    <w:rsid w:val="1FCD26AF"/>
    <w:rsid w:val="20642787"/>
    <w:rsid w:val="21556F04"/>
    <w:rsid w:val="21ED48DB"/>
    <w:rsid w:val="22403BD3"/>
    <w:rsid w:val="24B92327"/>
    <w:rsid w:val="24C14514"/>
    <w:rsid w:val="2533755C"/>
    <w:rsid w:val="25791755"/>
    <w:rsid w:val="26396DF4"/>
    <w:rsid w:val="27167136"/>
    <w:rsid w:val="271B442C"/>
    <w:rsid w:val="27966DC8"/>
    <w:rsid w:val="27B23302"/>
    <w:rsid w:val="2860637F"/>
    <w:rsid w:val="29310A5F"/>
    <w:rsid w:val="29C37A35"/>
    <w:rsid w:val="2A076083"/>
    <w:rsid w:val="2A73162E"/>
    <w:rsid w:val="2B167953"/>
    <w:rsid w:val="2B200583"/>
    <w:rsid w:val="2B8209DE"/>
    <w:rsid w:val="2C636760"/>
    <w:rsid w:val="2C6762A3"/>
    <w:rsid w:val="2D373E0A"/>
    <w:rsid w:val="2E2E4F9D"/>
    <w:rsid w:val="2FCA4B37"/>
    <w:rsid w:val="2FE029D7"/>
    <w:rsid w:val="2FF06E00"/>
    <w:rsid w:val="30586FEC"/>
    <w:rsid w:val="315F0B22"/>
    <w:rsid w:val="31D84415"/>
    <w:rsid w:val="32285F6F"/>
    <w:rsid w:val="32770556"/>
    <w:rsid w:val="329C0913"/>
    <w:rsid w:val="32AA0460"/>
    <w:rsid w:val="3337290D"/>
    <w:rsid w:val="33E31118"/>
    <w:rsid w:val="33EF7674"/>
    <w:rsid w:val="342D7BC6"/>
    <w:rsid w:val="342E7023"/>
    <w:rsid w:val="352930DB"/>
    <w:rsid w:val="35573069"/>
    <w:rsid w:val="355F6038"/>
    <w:rsid w:val="358C217E"/>
    <w:rsid w:val="36C9128A"/>
    <w:rsid w:val="372843FF"/>
    <w:rsid w:val="377444CA"/>
    <w:rsid w:val="37841E99"/>
    <w:rsid w:val="37BF1123"/>
    <w:rsid w:val="37DF2CF0"/>
    <w:rsid w:val="383C3F15"/>
    <w:rsid w:val="38BE4696"/>
    <w:rsid w:val="3939115E"/>
    <w:rsid w:val="3958273F"/>
    <w:rsid w:val="39B82A39"/>
    <w:rsid w:val="39C42CA8"/>
    <w:rsid w:val="39DC4FD6"/>
    <w:rsid w:val="39F03D7A"/>
    <w:rsid w:val="39F33306"/>
    <w:rsid w:val="3A2C1C67"/>
    <w:rsid w:val="3A9E09A8"/>
    <w:rsid w:val="3ADD7F09"/>
    <w:rsid w:val="3B1705E5"/>
    <w:rsid w:val="3B18334B"/>
    <w:rsid w:val="3B36794F"/>
    <w:rsid w:val="3B6F6EE0"/>
    <w:rsid w:val="3C566AD6"/>
    <w:rsid w:val="3C594871"/>
    <w:rsid w:val="3C6A5B02"/>
    <w:rsid w:val="3D2757A1"/>
    <w:rsid w:val="3D3D4FC4"/>
    <w:rsid w:val="3D7AD7D6"/>
    <w:rsid w:val="3D7F130B"/>
    <w:rsid w:val="3DDF3AB1"/>
    <w:rsid w:val="3E1D0952"/>
    <w:rsid w:val="3E42660A"/>
    <w:rsid w:val="3E7555B1"/>
    <w:rsid w:val="3E787ED9"/>
    <w:rsid w:val="3F032E93"/>
    <w:rsid w:val="3F0527E5"/>
    <w:rsid w:val="3F694D83"/>
    <w:rsid w:val="3F885DCC"/>
    <w:rsid w:val="3FCD675E"/>
    <w:rsid w:val="3FFFEB07"/>
    <w:rsid w:val="4004000C"/>
    <w:rsid w:val="40BD5482"/>
    <w:rsid w:val="411B6CE5"/>
    <w:rsid w:val="412070D7"/>
    <w:rsid w:val="41314E40"/>
    <w:rsid w:val="41E0734B"/>
    <w:rsid w:val="42631D0A"/>
    <w:rsid w:val="426C1EA8"/>
    <w:rsid w:val="42736402"/>
    <w:rsid w:val="42E86A87"/>
    <w:rsid w:val="43307B09"/>
    <w:rsid w:val="439A3EB9"/>
    <w:rsid w:val="43BB152F"/>
    <w:rsid w:val="44445080"/>
    <w:rsid w:val="44C37687"/>
    <w:rsid w:val="45CB699A"/>
    <w:rsid w:val="45E2495B"/>
    <w:rsid w:val="465B470D"/>
    <w:rsid w:val="469D6AD4"/>
    <w:rsid w:val="46F74807"/>
    <w:rsid w:val="471E6C84"/>
    <w:rsid w:val="4748792B"/>
    <w:rsid w:val="47543636"/>
    <w:rsid w:val="475D719D"/>
    <w:rsid w:val="47674801"/>
    <w:rsid w:val="48225EF7"/>
    <w:rsid w:val="488F422B"/>
    <w:rsid w:val="48D77AA7"/>
    <w:rsid w:val="48E36915"/>
    <w:rsid w:val="48EB6572"/>
    <w:rsid w:val="495C4A24"/>
    <w:rsid w:val="497135DF"/>
    <w:rsid w:val="49FA00FF"/>
    <w:rsid w:val="4A263DF2"/>
    <w:rsid w:val="4A6F6675"/>
    <w:rsid w:val="4B135857"/>
    <w:rsid w:val="4B7951CB"/>
    <w:rsid w:val="4B7C315C"/>
    <w:rsid w:val="4BDE438B"/>
    <w:rsid w:val="4BEA222D"/>
    <w:rsid w:val="4DAC4ACA"/>
    <w:rsid w:val="4DBE01D2"/>
    <w:rsid w:val="4E4D2983"/>
    <w:rsid w:val="4F0C6BA3"/>
    <w:rsid w:val="4F0E2126"/>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3B6958"/>
    <w:rsid w:val="578867FC"/>
    <w:rsid w:val="582C3295"/>
    <w:rsid w:val="5842572D"/>
    <w:rsid w:val="58B42A6A"/>
    <w:rsid w:val="58F87231"/>
    <w:rsid w:val="59DA2FA3"/>
    <w:rsid w:val="5A3B59D6"/>
    <w:rsid w:val="5AD134D8"/>
    <w:rsid w:val="5B9A01F8"/>
    <w:rsid w:val="5BB705C3"/>
    <w:rsid w:val="5C263CE4"/>
    <w:rsid w:val="5C483383"/>
    <w:rsid w:val="5C5D2777"/>
    <w:rsid w:val="5CF66BF3"/>
    <w:rsid w:val="5D290C69"/>
    <w:rsid w:val="5EE96215"/>
    <w:rsid w:val="5F2D4A41"/>
    <w:rsid w:val="5F3D6B85"/>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8484B"/>
    <w:rsid w:val="65CE6852"/>
    <w:rsid w:val="66267C04"/>
    <w:rsid w:val="663F505A"/>
    <w:rsid w:val="66AE198F"/>
    <w:rsid w:val="66EE5541"/>
    <w:rsid w:val="67924660"/>
    <w:rsid w:val="67A12877"/>
    <w:rsid w:val="67E51BE3"/>
    <w:rsid w:val="67F557BB"/>
    <w:rsid w:val="68407834"/>
    <w:rsid w:val="6883293E"/>
    <w:rsid w:val="688412AD"/>
    <w:rsid w:val="68EB1B71"/>
    <w:rsid w:val="692D53DD"/>
    <w:rsid w:val="6A6C7940"/>
    <w:rsid w:val="6AA60D58"/>
    <w:rsid w:val="6AAD2300"/>
    <w:rsid w:val="6B474EF5"/>
    <w:rsid w:val="6C0A5AC5"/>
    <w:rsid w:val="6C560CAE"/>
    <w:rsid w:val="6C576495"/>
    <w:rsid w:val="6D0C293A"/>
    <w:rsid w:val="6D903FF5"/>
    <w:rsid w:val="6DA955B8"/>
    <w:rsid w:val="6DE346AB"/>
    <w:rsid w:val="6DE5391A"/>
    <w:rsid w:val="6EFD1324"/>
    <w:rsid w:val="6F1E1805"/>
    <w:rsid w:val="6F421083"/>
    <w:rsid w:val="6F5A53AC"/>
    <w:rsid w:val="6FAC003D"/>
    <w:rsid w:val="6FE55E12"/>
    <w:rsid w:val="6FFB2E76"/>
    <w:rsid w:val="708F6F7F"/>
    <w:rsid w:val="70D94BD3"/>
    <w:rsid w:val="71C34D91"/>
    <w:rsid w:val="72DB435C"/>
    <w:rsid w:val="72E2613A"/>
    <w:rsid w:val="72F771F4"/>
    <w:rsid w:val="73934AD2"/>
    <w:rsid w:val="73F221C9"/>
    <w:rsid w:val="74B24E35"/>
    <w:rsid w:val="750837F0"/>
    <w:rsid w:val="754758CF"/>
    <w:rsid w:val="75607F3D"/>
    <w:rsid w:val="764F62AB"/>
    <w:rsid w:val="765C45EC"/>
    <w:rsid w:val="768A7619"/>
    <w:rsid w:val="772E1EBA"/>
    <w:rsid w:val="77FE7486"/>
    <w:rsid w:val="781926BC"/>
    <w:rsid w:val="786C3639"/>
    <w:rsid w:val="796D60A4"/>
    <w:rsid w:val="79A031D5"/>
    <w:rsid w:val="7A1525F7"/>
    <w:rsid w:val="7B420052"/>
    <w:rsid w:val="7B5633A4"/>
    <w:rsid w:val="7BD06A28"/>
    <w:rsid w:val="7C3A7C0B"/>
    <w:rsid w:val="7C482D37"/>
    <w:rsid w:val="7C5248E4"/>
    <w:rsid w:val="7C566698"/>
    <w:rsid w:val="7C5866A3"/>
    <w:rsid w:val="7D7406BB"/>
    <w:rsid w:val="7DE94331"/>
    <w:rsid w:val="7E2A1A8F"/>
    <w:rsid w:val="7EBD961D"/>
    <w:rsid w:val="7F446A19"/>
    <w:rsid w:val="7F7452B9"/>
    <w:rsid w:val="7FFB9A5C"/>
    <w:rsid w:val="FB783C8A"/>
    <w:rsid w:val="FD2D119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uiPriority w:val="1"/>
  </w:style>
  <w:style w:type="table" w:default="1" w:styleId="8">
    <w:name w:val="Normal Table"/>
    <w:unhideWhenUsed/>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firstLineChars="200"/>
    </w:pPr>
    <w:rPr>
      <w:rFonts w:cs="Calibri"/>
      <w:szCs w:val="21"/>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autoRedefine/>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4">
    <w:name w:val="列出段落2"/>
    <w:autoRedefine/>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character" w:customStyle="1" w:styleId="16">
    <w:name w:val="批注框文本 字符"/>
    <w:basedOn w:val="10"/>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5239</Words>
  <Characters>29863</Characters>
  <Lines>248</Lines>
  <Paragraphs>70</Paragraphs>
  <TotalTime>1</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WPS_1664260647</cp:lastModifiedBy>
  <dcterms:modified xsi:type="dcterms:W3CDTF">2025-09-24T07:05:44Z</dcterms:modified>
  <dc:title>垫江县人民政府桂溪街道办事处（本级）2024年度决算公开说明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