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after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根据《中华人民共和国政府信息公开条例》（以下简称《条例》）要求，并结合工作实际，编制本报告。本报告由总体情况，主动公开政府信息情况，收到和处理政府信息公开申请情况，政府信息公开行政复议、行政诉讼情况，存在的主要问题及改进情况五个部分组成。本报告中所列数据的统计期限自2020年1月1日起至2020年12月31日止。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一、总体情况</w:t>
      </w:r>
    </w:p>
    <w:p>
      <w:pPr>
        <w:widowControl w:val="0"/>
        <w:snapToGrid/>
        <w:spacing w:after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2020年，我街道严格贯彻落实《条例》，坚持以公开为常态，不公开为例外原则，持续规范和深化政府信息公开工作，不断扩大公开范围，有效保障了人民群众的知情权、监督权、参与权。全年主动公开政府信息总数106条：公开“六稳”“六保”信息23条、优化营商环境信息1条，疫情防控信息4条，环境保护信息6条，脱贫攻坚信息17条，成渝地区双城经济圈建设信息2条，其他政府信息23条，重大项目建设领域信息11条，公共资源配置领域信息15条。</w:t>
      </w:r>
    </w:p>
    <w:p>
      <w:pPr>
        <w:widowControl w:val="0"/>
        <w:snapToGrid/>
        <w:spacing w:after="0" w:line="580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（一）主动公开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1、围绕贯彻落实党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十九届四中全会精神加强用权公开</w:t>
      </w:r>
    </w:p>
    <w:p>
      <w:pPr>
        <w:widowControl w:val="0"/>
        <w:snapToGrid/>
        <w:spacing w:after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全面贯彻党的十九大精神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，坚持和完善政务公开体系，强化对权力运行的制约和监督，形成决策科学、执行坚决、监督有力的权运行机制。完善以渝快办等群众沟通渠道，及时更新政府部门信息、运作机制等。依法保障公众合法权益，保障知情权，提高治理实效。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2、围绕“六稳”“六保”加强政策发布解读</w:t>
      </w:r>
    </w:p>
    <w:p>
      <w:pPr>
        <w:widowControl w:val="0"/>
        <w:snapToGrid/>
        <w:spacing w:after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落实“六稳”“六保”工作，加强政策信息公开。街道去年发布相关信息23条，为公众全面阐释稳就业、稳投资、稳预期等各项政策举措及其效果，以及实时发布保居民就业、保基本民生、保市场主体、保粮食能源安全、保产业链供应链稳定、保基层运转等相关政策信息。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3、加强疫情防控政府信息宣传</w:t>
      </w:r>
    </w:p>
    <w:p>
      <w:pPr>
        <w:widowControl w:val="0"/>
        <w:snapToGrid/>
        <w:spacing w:after="0" w:line="580" w:lineRule="exact"/>
        <w:ind w:firstLine="640" w:firstLineChars="200"/>
        <w:jc w:val="both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以政府信息公开条例为规制基础，及时发布疫情变化、防疫措施等信息，迅速以权威信息消除群众质疑情绪，安抚公众的恐慌心理，澄清流言杂音。疫情政策信息助力于消除群众不安，维护社会的安定团结，便于形成街道社区上下一盘棋，共同构建抗疫阵线。坚持疫情防控中的自信、开放与透明，及时发布权威消息，实现正能量信息的充分供应，让信息跑过病毒，增信释疑，形成抗击疫情的钢铁长城。</w:t>
      </w:r>
    </w:p>
    <w:p>
      <w:pPr>
        <w:widowControl w:val="0"/>
        <w:snapToGrid/>
        <w:spacing w:after="0" w:line="580" w:lineRule="exact"/>
        <w:jc w:val="both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（二）依申请公开政府信息情况</w:t>
      </w:r>
    </w:p>
    <w:p>
      <w:pPr>
        <w:widowControl w:val="0"/>
        <w:snapToGrid/>
        <w:spacing w:after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深化政府公开。落实政府信息公开工作要求，发布了《垫江县人民政府桂溪街道办事处政府信息公开指南》，设置专栏及时更新政务动态，重点公开脱贫攻坚、征地拆迁、社会救助和社会福利等领域与群众切身利益相关的事项。</w:t>
      </w:r>
    </w:p>
    <w:p>
      <w:pPr>
        <w:widowControl w:val="0"/>
        <w:snapToGrid/>
        <w:spacing w:after="0" w:line="580" w:lineRule="exact"/>
        <w:jc w:val="both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（三）政务公开平台建设</w:t>
      </w:r>
    </w:p>
    <w:p>
      <w:pPr>
        <w:widowControl w:val="0"/>
        <w:snapToGrid/>
        <w:spacing w:after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围绕落实新修订的《政府信息公开条例》加强制度执行，加大公开力度。积极推进政策执行和落实情况公开。 扩宽公开渠道，有效利用宣传栏、LED屏、公共服务中心电视及公开指南，让人民群众在办理业务、游玩散步时也能了解所关心的政务信息。</w:t>
      </w:r>
    </w:p>
    <w:p>
      <w:pPr>
        <w:widowControl w:val="0"/>
        <w:snapToGrid/>
        <w:spacing w:after="0" w:line="580" w:lineRule="exact"/>
        <w:jc w:val="both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（四）落实政府信息公开的监督保障工作　</w:t>
      </w:r>
    </w:p>
    <w:p>
      <w:pPr>
        <w:widowControl w:val="0"/>
        <w:snapToGrid/>
        <w:spacing w:after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强化做好政务公开工作的各项保障措施，完善监督体系。成立了政府信息公开领导小组，街道由办事处主任担任组长，分管副书记任副组长，由街道党政办具体负责落实，并安排2名专人负责信息公开工作。同时由街道人大工委、纪工委建立信息公开监督小组，并在公开网站、便民服务大厅等显著位置公布监督方式，有效保障人民群众监督权。</w:t>
      </w:r>
    </w:p>
    <w:p>
      <w:pPr>
        <w:adjustRightInd/>
        <w:snapToGrid/>
        <w:spacing w:before="100" w:beforeAutospacing="1" w:after="100" w:afterAutospacing="1" w:line="360" w:lineRule="atLeast"/>
        <w:rPr>
          <w:rFonts w:ascii="宋体" w:hAnsi="宋体" w:eastAsia="宋体" w:cs="Arial"/>
          <w:b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 xml:space="preserve">二、主动公开政府信息情况 </w:t>
      </w:r>
      <w:r>
        <w:rPr>
          <w:rFonts w:hint="eastAsia" w:ascii="宋体" w:hAnsi="宋体" w:eastAsia="宋体" w:cs="Arial"/>
          <w:b/>
          <w:bCs/>
          <w:sz w:val="24"/>
          <w:szCs w:val="24"/>
        </w:rPr>
        <w:t xml:space="preserve">　　 </w:t>
      </w:r>
    </w:p>
    <w:tbl>
      <w:tblPr>
        <w:tblStyle w:val="5"/>
        <w:tblW w:w="8606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291"/>
        <w:gridCol w:w="1982"/>
        <w:gridCol w:w="6"/>
        <w:gridCol w:w="1337"/>
        <w:gridCol w:w="199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606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C0C0C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信息内容</w:t>
            </w:r>
          </w:p>
        </w:tc>
        <w:tc>
          <w:tcPr>
            <w:tcW w:w="19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本年新</w:t>
            </w:r>
            <w:r>
              <w:rPr>
                <w:rFonts w:ascii="Times New Roman" w:hAnsi="Times New Roman"/>
                <w:color w:val="0C0C0C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制作数量</w:t>
            </w:r>
          </w:p>
        </w:tc>
        <w:tc>
          <w:tcPr>
            <w:tcW w:w="13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本年新</w:t>
            </w:r>
            <w:r>
              <w:rPr>
                <w:rFonts w:ascii="Times New Roman" w:hAnsi="Times New Roman"/>
                <w:color w:val="0C0C0C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公开数量</w:t>
            </w:r>
          </w:p>
        </w:tc>
        <w:tc>
          <w:tcPr>
            <w:tcW w:w="1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规章</w:t>
            </w:r>
          </w:p>
        </w:tc>
        <w:tc>
          <w:tcPr>
            <w:tcW w:w="19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规范性文件</w:t>
            </w:r>
          </w:p>
        </w:tc>
        <w:tc>
          <w:tcPr>
            <w:tcW w:w="19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afterAutospacing="1" w:line="30" w:lineRule="atLeast"/>
              <w:jc w:val="center"/>
              <w:rPr>
                <w:rFonts w:ascii="Times New Roman" w:hAnsi="Times New Roman" w:eastAsia="宋体"/>
                <w:color w:val="0C0C0C"/>
              </w:rPr>
            </w:pPr>
            <w:r>
              <w:rPr>
                <w:rFonts w:hint="eastAsia" w:ascii="Times New Roman" w:hAnsi="Times New Roman" w:eastAsia="宋体"/>
                <w:color w:val="0C0C0C"/>
              </w:rPr>
              <w:t>0</w:t>
            </w:r>
          </w:p>
        </w:tc>
        <w:tc>
          <w:tcPr>
            <w:tcW w:w="1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afterAutospacing="1" w:line="30" w:lineRule="atLeast"/>
              <w:jc w:val="center"/>
              <w:rPr>
                <w:rFonts w:ascii="Times New Roman" w:hAnsi="Times New Roman" w:eastAsia="宋体"/>
                <w:color w:val="0C0C0C"/>
              </w:rPr>
            </w:pPr>
            <w:r>
              <w:rPr>
                <w:rFonts w:hint="eastAsia" w:ascii="Times New Roman" w:hAnsi="Times New Roman" w:eastAsia="宋体"/>
                <w:color w:val="0C0C0C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606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信息内容</w:t>
            </w:r>
          </w:p>
        </w:tc>
        <w:tc>
          <w:tcPr>
            <w:tcW w:w="19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上一年项目数量</w:t>
            </w:r>
          </w:p>
        </w:tc>
        <w:tc>
          <w:tcPr>
            <w:tcW w:w="13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本年增/减</w:t>
            </w:r>
          </w:p>
        </w:tc>
        <w:tc>
          <w:tcPr>
            <w:tcW w:w="1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行政许可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</w:rPr>
              <w:t>-2</w:t>
            </w:r>
          </w:p>
        </w:tc>
        <w:tc>
          <w:tcPr>
            <w:tcW w:w="1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42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其他对外管理服务事项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</w:rPr>
              <w:t>93</w:t>
            </w:r>
          </w:p>
        </w:tc>
        <w:tc>
          <w:tcPr>
            <w:tcW w:w="13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</w:rPr>
              <w:t>+10</w:t>
            </w:r>
          </w:p>
        </w:tc>
        <w:tc>
          <w:tcPr>
            <w:tcW w:w="1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</w:rPr>
              <w:t>253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606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信息内容</w:t>
            </w:r>
          </w:p>
        </w:tc>
        <w:tc>
          <w:tcPr>
            <w:tcW w:w="19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上一年项目数量</w:t>
            </w:r>
          </w:p>
        </w:tc>
        <w:tc>
          <w:tcPr>
            <w:tcW w:w="13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本年增/减</w:t>
            </w:r>
          </w:p>
        </w:tc>
        <w:tc>
          <w:tcPr>
            <w:tcW w:w="1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行政处罚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  <w:sz w:val="20"/>
                <w:szCs w:val="20"/>
              </w:rPr>
              <w:t>18</w:t>
            </w:r>
          </w:p>
        </w:tc>
        <w:tc>
          <w:tcPr>
            <w:tcW w:w="13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</w:rPr>
              <w:t>0</w:t>
            </w:r>
          </w:p>
        </w:tc>
        <w:tc>
          <w:tcPr>
            <w:tcW w:w="1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  <w:sz w:val="20"/>
                <w:szCs w:val="20"/>
              </w:rPr>
              <w:t>37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行政强制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</w:rPr>
              <w:t>-2</w:t>
            </w:r>
          </w:p>
        </w:tc>
        <w:tc>
          <w:tcPr>
            <w:tcW w:w="1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C0C0C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606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信息内容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上一年项目数量</w:t>
            </w:r>
          </w:p>
        </w:tc>
        <w:tc>
          <w:tcPr>
            <w:tcW w:w="332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行政事业性收费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32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606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信息内容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采购项目数量</w:t>
            </w:r>
          </w:p>
        </w:tc>
        <w:tc>
          <w:tcPr>
            <w:tcW w:w="332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政府集中采购</w:t>
            </w:r>
          </w:p>
        </w:tc>
        <w:tc>
          <w:tcPr>
            <w:tcW w:w="19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C0C0C"/>
                <w:sz w:val="20"/>
                <w:szCs w:val="20"/>
              </w:rPr>
              <w:t>3</w:t>
            </w:r>
          </w:p>
        </w:tc>
        <w:tc>
          <w:tcPr>
            <w:tcW w:w="332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C0C0C"/>
                <w:sz w:val="20"/>
                <w:szCs w:val="20"/>
              </w:rPr>
              <w:t>75.058万元</w:t>
            </w:r>
          </w:p>
        </w:tc>
      </w:tr>
    </w:tbl>
    <w:p>
      <w:pPr>
        <w:adjustRightInd/>
        <w:snapToGrid/>
        <w:spacing w:before="100" w:beforeAutospacing="1" w:after="100" w:afterAutospacing="1" w:line="360" w:lineRule="atLeast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三、收到和处理政府信息公开申请情况</w:t>
      </w:r>
    </w:p>
    <w:tbl>
      <w:tblPr>
        <w:tblStyle w:val="5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47"/>
        <w:gridCol w:w="2116"/>
        <w:gridCol w:w="818"/>
        <w:gridCol w:w="758"/>
        <w:gridCol w:w="758"/>
        <w:gridCol w:w="818"/>
        <w:gridCol w:w="982"/>
        <w:gridCol w:w="357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4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自然人</w:t>
            </w:r>
          </w:p>
        </w:tc>
        <w:tc>
          <w:tcPr>
            <w:tcW w:w="3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商业企业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科研机构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社会公益组织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法律服务机构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hint="eastAsia"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hint="eastAsia"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三、本年度办理结果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（一）予以公开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（三）不予公开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（四）无法提供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 w:val="20"/>
                <w:szCs w:val="20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（五）不予处理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（六）其他处理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（七）总计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hint="eastAsia"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四、结转下年度继续办理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 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Cs w:val="21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</w:tr>
    </w:tbl>
    <w:p>
      <w:pPr>
        <w:adjustRightInd/>
        <w:snapToGrid/>
        <w:spacing w:before="100" w:beforeAutospacing="1" w:after="100" w:afterAutospacing="1" w:line="360" w:lineRule="atLeast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C0C0C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Autospacing="1" w:line="30" w:lineRule="atLeast"/>
              <w:jc w:val="center"/>
              <w:rPr>
                <w:rFonts w:ascii="Times New Roman" w:hAnsi="Times New Roman"/>
                <w:color w:val="0C0C0C"/>
                <w:szCs w:val="21"/>
              </w:rPr>
            </w:pPr>
            <w:r>
              <w:rPr>
                <w:rFonts w:ascii="Times New Roman" w:hAnsi="Times New Roman"/>
                <w:color w:val="0C0C0C"/>
                <w:sz w:val="20"/>
                <w:szCs w:val="20"/>
              </w:rPr>
              <w:t> 0</w:t>
            </w:r>
          </w:p>
        </w:tc>
      </w:tr>
    </w:tbl>
    <w:p>
      <w:pPr>
        <w:widowControl w:val="0"/>
        <w:snapToGrid/>
        <w:spacing w:after="0" w:line="580" w:lineRule="exact"/>
        <w:jc w:val="both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五、存在的主要问题及改进情况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（一）工作存在的主要问题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1、主动意识不强。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政务公开已成为政府的法定义务，各站所室在工作的连续性上抓得不够，主动开展工作的意识不够，政务信息公开还存在一定滞后性。    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2、全员公开不够。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一些干部职工仍抱有事不关己的工作心态，没有真正树立政府信息以公开为原则，不公开为例外的意识，造成政务公开制度落实不到位。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3、队伍建设不强。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抓好政务公开离不开一支业务熟练的政务公开队伍，但从目前的情况来看，很多工作人员在对制度和规定灵活运用上还有一定差距。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（二）改进情况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1、落实工作责任。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进一步增强政务公开工作责任心，对政府信息公开及时、主动。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2、加强日常管理。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进一步加大对政府信息以公开为原则，不公开为例外意识培养，严格落实政务公开各项制度，使政务公开化为日常行为准则。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3、加强业务学习。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认真学习信息公开相关法规、制度，重点学习《条例》等规章制度，进一步提高政务公开人员工作能力。</w:t>
      </w:r>
    </w:p>
    <w:p>
      <w:pPr>
        <w:widowControl w:val="0"/>
        <w:snapToGrid/>
        <w:spacing w:after="0" w:line="580" w:lineRule="exact"/>
        <w:ind w:firstLine="642" w:firstLineChars="200"/>
        <w:jc w:val="both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</w:rPr>
        <w:t>六、其他需要报告的事项</w:t>
      </w:r>
    </w:p>
    <w:p>
      <w:pPr>
        <w:pStyle w:val="4"/>
        <w:spacing w:line="580" w:lineRule="exact"/>
        <w:ind w:firstLine="640" w:firstLineChars="200"/>
        <w:rPr>
          <w:rFonts w:ascii="Times New Roman" w:hAnsi="Times New Roman" w:eastAsia="方正仿宋_GBK"/>
          <w:bCs/>
          <w:color w:val="0C0C0C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C0C0C"/>
          <w:sz w:val="32"/>
          <w:szCs w:val="32"/>
        </w:rPr>
        <w:t>无。</w:t>
      </w:r>
    </w:p>
    <w:p>
      <w:pPr>
        <w:pStyle w:val="4"/>
        <w:spacing w:line="580" w:lineRule="exact"/>
        <w:ind w:firstLine="640" w:firstLineChars="200"/>
        <w:rPr>
          <w:rFonts w:ascii="Times New Roman" w:hAnsi="Times New Roman" w:eastAsia="方正仿宋_GBK"/>
          <w:bCs/>
          <w:color w:val="0C0C0C"/>
          <w:sz w:val="32"/>
          <w:szCs w:val="32"/>
          <w:shd w:val="clear" w:color="auto" w:fill="FFFFFF"/>
        </w:rPr>
      </w:pPr>
    </w:p>
    <w:p>
      <w:pPr>
        <w:jc w:val="right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C0C0C"/>
          <w:sz w:val="32"/>
          <w:szCs w:val="32"/>
        </w:rPr>
        <w:t xml:space="preserve">              </w:t>
      </w:r>
    </w:p>
    <w:p>
      <w:pPr>
        <w:widowControl w:val="0"/>
        <w:snapToGrid/>
        <w:spacing w:after="0" w:line="580" w:lineRule="exact"/>
        <w:ind w:firstLine="5760" w:firstLineChars="18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135F"/>
    <w:rsid w:val="00607D46"/>
    <w:rsid w:val="0075743C"/>
    <w:rsid w:val="0095475B"/>
    <w:rsid w:val="00A8426A"/>
    <w:rsid w:val="00C47B80"/>
    <w:rsid w:val="00D4367F"/>
    <w:rsid w:val="00FC135F"/>
    <w:rsid w:val="02E35784"/>
    <w:rsid w:val="04493A54"/>
    <w:rsid w:val="09EB36C2"/>
    <w:rsid w:val="0A0C057C"/>
    <w:rsid w:val="0DF506B8"/>
    <w:rsid w:val="0F3F3F88"/>
    <w:rsid w:val="106E61BE"/>
    <w:rsid w:val="11AE0CE5"/>
    <w:rsid w:val="19D95056"/>
    <w:rsid w:val="1C5315D7"/>
    <w:rsid w:val="1ED049C1"/>
    <w:rsid w:val="2A4C4083"/>
    <w:rsid w:val="2CD80516"/>
    <w:rsid w:val="2E0A7D9A"/>
    <w:rsid w:val="2F804108"/>
    <w:rsid w:val="34F2364A"/>
    <w:rsid w:val="392C019C"/>
    <w:rsid w:val="3A6C23A5"/>
    <w:rsid w:val="3AED3E97"/>
    <w:rsid w:val="3CA02206"/>
    <w:rsid w:val="3D510BDC"/>
    <w:rsid w:val="3EA14FE0"/>
    <w:rsid w:val="42AD7A4C"/>
    <w:rsid w:val="442A4755"/>
    <w:rsid w:val="469F3EE1"/>
    <w:rsid w:val="49000455"/>
    <w:rsid w:val="49541432"/>
    <w:rsid w:val="4ED56CDE"/>
    <w:rsid w:val="51007680"/>
    <w:rsid w:val="51965A3C"/>
    <w:rsid w:val="52182C18"/>
    <w:rsid w:val="53DD6C96"/>
    <w:rsid w:val="563012D1"/>
    <w:rsid w:val="569916BE"/>
    <w:rsid w:val="58D91473"/>
    <w:rsid w:val="592B26B7"/>
    <w:rsid w:val="5A9431F8"/>
    <w:rsid w:val="67044AA8"/>
    <w:rsid w:val="6C612E05"/>
    <w:rsid w:val="6EAC592E"/>
    <w:rsid w:val="6F711CB1"/>
    <w:rsid w:val="72D55E0B"/>
    <w:rsid w:val="7362497A"/>
    <w:rsid w:val="74E27E56"/>
    <w:rsid w:val="7ECB571B"/>
    <w:rsid w:val="7FBA0D92"/>
    <w:rsid w:val="DD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0"/>
    </w:pPr>
    <w:rPr>
      <w:rFonts w:cs="Times New Roman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428</Words>
  <Characters>2446</Characters>
  <Lines>20</Lines>
  <Paragraphs>5</Paragraphs>
  <TotalTime>31</TotalTime>
  <ScaleCrop>false</ScaleCrop>
  <LinksUpToDate>false</LinksUpToDate>
  <CharactersWithSpaces>2869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2024-10-31T16:47:57Z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