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垫江县桂阳街道综合行政执法大队</w:t>
      </w:r>
    </w:p>
    <w:p w14:paraId="5BC515BD">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7767A7C">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2F62B8C3">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FBBE3F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垫江县桂阳街道综合行政执法大队的主要职责：负责配合综合行政执法办公室做好有关农林水利、规划建设、卫生健康、市容环卫、环境保护、文化旅游、民政管理、消防等方面的执法工作。</w:t>
      </w:r>
    </w:p>
    <w:p w14:paraId="6A906F5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9918E77">
      <w:pPr>
        <w:pStyle w:val="6"/>
        <w:shd w:val="clear" w:color="auto" w:fill="FFFFFF"/>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本单位无内部机构设置，</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年年末实在职职工</w:t>
      </w:r>
      <w:r>
        <w:rPr>
          <w:rFonts w:ascii="方正仿宋_GBK" w:hAnsi="方正仿宋_GBK" w:eastAsia="方正仿宋_GBK" w:cs="方正仿宋_GBK"/>
          <w:sz w:val="32"/>
          <w:szCs w:val="32"/>
          <w:shd w:val="clear" w:color="auto" w:fill="FFFFFF"/>
        </w:rPr>
        <w:t>11</w:t>
      </w:r>
      <w:r>
        <w:rPr>
          <w:rFonts w:hint="default" w:ascii="方正仿宋_GBK" w:hAnsi="方正仿宋_GBK" w:eastAsia="方正仿宋_GBK" w:cs="方正仿宋_GBK"/>
          <w:sz w:val="32"/>
          <w:szCs w:val="32"/>
          <w:shd w:val="clear" w:color="auto" w:fill="FFFFFF"/>
        </w:rPr>
        <w:t>人，事业编制</w:t>
      </w:r>
      <w:r>
        <w:rPr>
          <w:rFonts w:ascii="方正仿宋_GBK" w:hAnsi="方正仿宋_GBK" w:eastAsia="方正仿宋_GBK" w:cs="方正仿宋_GBK"/>
          <w:sz w:val="32"/>
          <w:szCs w:val="32"/>
          <w:shd w:val="clear" w:color="auto" w:fill="FFFFFF"/>
        </w:rPr>
        <w:t>11</w:t>
      </w:r>
      <w:r>
        <w:rPr>
          <w:rFonts w:hint="default" w:ascii="方正仿宋_GBK" w:hAnsi="方正仿宋_GBK" w:eastAsia="方正仿宋_GBK" w:cs="方正仿宋_GBK"/>
          <w:sz w:val="32"/>
          <w:szCs w:val="32"/>
          <w:shd w:val="clear" w:color="auto" w:fill="FFFFFF"/>
        </w:rPr>
        <w:t>人。</w:t>
      </w:r>
    </w:p>
    <w:p w14:paraId="05EA084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7AECA9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bookmarkStart w:id="0" w:name="_GoBack"/>
      <w:bookmarkEnd w:id="0"/>
    </w:p>
    <w:p w14:paraId="720A1E6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2024年度收入总计203.70万元，支出总计</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万元。收、支与2023年度相比，增加34.19万元，增长20.17%，主要原因是本年度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人员增加3人，相应增加人员经费。</w:t>
      </w:r>
    </w:p>
    <w:p w14:paraId="5DF1CC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2024年度收入合计203.70万元，与2023年度相比，增加34.19万元，增长20.17%，主要原因是人员经费增加。其中：财政拨款收入</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FDA3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万元，与2023年度相比，增加34.19万元，增长20.17%，主要原因是本年度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3人，相应增加人员经费</w:t>
      </w:r>
      <w:r>
        <w:rPr>
          <w:rFonts w:ascii="方正仿宋_GBK" w:hAnsi="方正仿宋_GBK" w:eastAsia="方正仿宋_GBK" w:cs="方正仿宋_GBK"/>
          <w:sz w:val="32"/>
          <w:szCs w:val="32"/>
          <w:shd w:val="clear" w:color="auto" w:fill="FFFFFF"/>
        </w:rPr>
        <w:t>支出</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F7E56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5AD5FDE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E5A97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2024年度财政拨款收、支总计203.70万元。与2023年相比，财政拨款收、支总计各增加34.19万元，增长20.17%。主要原因是本年度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3人，相应增加人员经费。</w:t>
      </w:r>
    </w:p>
    <w:p w14:paraId="64E2A6B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063369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万元，与2023年度相比，增加34.19万元，增长20.17%。主要原因是本年度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3人，相应增加人员经费。</w:t>
      </w:r>
      <w:r>
        <w:rPr>
          <w:rFonts w:ascii="方正仿宋_GBK" w:hAnsi="方正仿宋_GBK" w:eastAsia="方正仿宋_GBK" w:cs="方正仿宋_GBK"/>
          <w:sz w:val="32"/>
          <w:szCs w:val="32"/>
          <w:shd w:val="clear" w:color="auto" w:fill="FFFFFF"/>
        </w:rPr>
        <w:t>较年初预算数增加43.22万元，增长26.93%。主要原因是增人增资。此外，年初财政拨款结转和结余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A948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万元，与2023年度相比，增加34.19万元，增长20.17%。主要原因是本年度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3人，相应增加人员经费</w:t>
      </w:r>
      <w:r>
        <w:rPr>
          <w:rFonts w:ascii="方正仿宋_GBK" w:hAnsi="方正仿宋_GBK" w:eastAsia="方正仿宋_GBK" w:cs="方正仿宋_GBK"/>
          <w:sz w:val="32"/>
          <w:szCs w:val="32"/>
          <w:shd w:val="clear" w:color="auto" w:fill="FFFFFF"/>
        </w:rPr>
        <w:t>支出</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较年初预算数增加43.22万元，增长26.93%。主要原因是本年度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3人，相应增加人员经费支出。</w:t>
      </w:r>
    </w:p>
    <w:p w14:paraId="0CD12D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089217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6D72DA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37.44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18.38</w:t>
      </w:r>
      <w:r>
        <w:rPr>
          <w:rFonts w:ascii="方正仿宋_GBK" w:hAnsi="方正仿宋_GBK" w:eastAsia="方正仿宋_GBK" w:cs="方正仿宋_GBK"/>
          <w:sz w:val="32"/>
          <w:szCs w:val="32"/>
          <w:shd w:val="clear" w:color="auto" w:fill="FFFFFF"/>
        </w:rPr>
        <w:t>%，较年初预算数增加22.46万元，增长149.93%，主要原因是人员养老保险和职业年金支出增加。</w:t>
      </w:r>
    </w:p>
    <w:p w14:paraId="076FAA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10.92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5.36</w:t>
      </w:r>
      <w:r>
        <w:rPr>
          <w:rFonts w:ascii="方正仿宋_GBK" w:hAnsi="方正仿宋_GBK" w:eastAsia="方正仿宋_GBK" w:cs="方正仿宋_GBK"/>
          <w:sz w:val="32"/>
          <w:szCs w:val="32"/>
          <w:shd w:val="clear" w:color="auto" w:fill="FFFFFF"/>
        </w:rPr>
        <w:t>%，较年初预算数增加4.68万元，增长75.00%，主要原因是医疗保险费支出增加。</w:t>
      </w:r>
    </w:p>
    <w:p w14:paraId="213B27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（3）城乡社区支出</w:t>
      </w:r>
      <w:r>
        <w:rPr>
          <w:rFonts w:ascii="方正仿宋_GBK" w:hAnsi="方正仿宋_GBK" w:eastAsia="方正仿宋_GBK" w:cs="方正仿宋_GBK"/>
          <w:sz w:val="32"/>
          <w:szCs w:val="32"/>
        </w:rPr>
        <w:t>147.52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72.42</w:t>
      </w:r>
      <w:r>
        <w:rPr>
          <w:rFonts w:ascii="方正仿宋_GBK" w:hAnsi="方正仿宋_GBK" w:eastAsia="方正仿宋_GBK" w:cs="方正仿宋_GBK"/>
          <w:sz w:val="32"/>
          <w:szCs w:val="32"/>
          <w:shd w:val="clear" w:color="auto" w:fill="FFFFFF"/>
        </w:rPr>
        <w:t>%，较年初预算数增加15.75万元，增长11.95%，主要原因是本年度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人员增加</w:t>
      </w:r>
      <w:r>
        <w:rPr>
          <w:rFonts w:hint="default" w:ascii="方正仿宋_GBK" w:hAnsi="方正仿宋_GBK" w:eastAsia="方正仿宋_GBK" w:cs="方正仿宋_GBK"/>
          <w:sz w:val="32"/>
          <w:szCs w:val="32"/>
          <w:shd w:val="clear" w:color="auto" w:fill="FFFFFF"/>
        </w:rPr>
        <w:t>3人</w:t>
      </w:r>
      <w:r>
        <w:rPr>
          <w:rFonts w:ascii="方正仿宋_GBK" w:hAnsi="方正仿宋_GBK" w:eastAsia="方正仿宋_GBK" w:cs="方正仿宋_GBK"/>
          <w:sz w:val="32"/>
          <w:szCs w:val="32"/>
          <w:shd w:val="clear" w:color="auto" w:fill="FFFFFF"/>
        </w:rPr>
        <w:t>，工资、绩效等支出增加。</w:t>
      </w:r>
    </w:p>
    <w:p w14:paraId="4B1D2DD3">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3.84</w:t>
      </w:r>
      <w:r>
        <w:rPr>
          <w:rFonts w:ascii="方正仿宋_GBK" w:hAnsi="方正仿宋_GBK" w:eastAsia="方正仿宋_GBK" w:cs="方正仿宋_GBK"/>
          <w:sz w:val="32"/>
          <w:szCs w:val="32"/>
          <w:shd w:val="clear" w:color="auto" w:fill="FFFFFF"/>
        </w:rPr>
        <w:t>%，较年初预算数增加0.33万元，增长4.41%，主要原因是人员增加，住房保障支出增加。</w:t>
      </w:r>
    </w:p>
    <w:p w14:paraId="331E00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451A828">
      <w:pPr>
        <w:pStyle w:val="6"/>
        <w:snapToGrid w:val="0"/>
        <w:spacing w:before="0" w:beforeAutospacing="0" w:after="0" w:afterAutospacing="0" w:line="600" w:lineRule="exact"/>
        <w:ind w:firstLine="800" w:firstLineChars="25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203.70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185.66</w:t>
      </w:r>
      <w:r>
        <w:rPr>
          <w:rFonts w:ascii="方正仿宋_GBK" w:hAnsi="方正仿宋_GBK" w:eastAsia="方正仿宋_GBK" w:cs="方正仿宋_GBK"/>
          <w:sz w:val="32"/>
          <w:szCs w:val="32"/>
          <w:shd w:val="clear" w:color="auto" w:fill="FFFFFF"/>
        </w:rPr>
        <w:t>万元，与2023年度相比，增加36.94万元，增长24.84%，主要原因是人员增加，人员经费支出相应增加。人员经费用途主要包括基</w:t>
      </w:r>
      <w:r>
        <w:rPr>
          <w:rFonts w:ascii="方正仿宋_GBK" w:hAnsi="方正仿宋_GBK" w:eastAsia="方正仿宋_GBK" w:cs="方正仿宋_GBK"/>
          <w:sz w:val="32"/>
          <w:szCs w:val="32"/>
        </w:rPr>
        <w:t>本工资、津贴、补贴、基础绩效、超额绩效、社会保障费、住房公积金等。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18.04</w:t>
      </w:r>
      <w:r>
        <w:rPr>
          <w:rFonts w:ascii="方正仿宋_GBK" w:hAnsi="方正仿宋_GBK" w:eastAsia="方正仿宋_GBK" w:cs="方正仿宋_GBK"/>
          <w:sz w:val="32"/>
          <w:szCs w:val="32"/>
          <w:shd w:val="clear" w:color="auto" w:fill="FFFFFF"/>
        </w:rPr>
        <w:t>万元，与2023年度相比，减少2.74万元，下降13.19%，主要原因是落实过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要求，减少本年度日常公用经费支出。公用经费用途主要包括差旅费、办公费、工会经费、印刷费等。</w:t>
      </w:r>
    </w:p>
    <w:p w14:paraId="7A02DF3F">
      <w:pPr>
        <w:pStyle w:val="6"/>
        <w:snapToGrid w:val="0"/>
        <w:spacing w:before="0" w:beforeAutospacing="0" w:after="0" w:afterAutospacing="0" w:line="600" w:lineRule="exact"/>
        <w:ind w:firstLine="482" w:firstLineChars="15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78BE82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2024年度无政府性基金预算财政拨款支出。</w:t>
      </w:r>
    </w:p>
    <w:p w14:paraId="57C4BCCC">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CB635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2024年度无国有资本经营预算财政拨款支出。</w:t>
      </w:r>
    </w:p>
    <w:p w14:paraId="0F1E695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121AD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257D1E4">
      <w:pPr>
        <w:pStyle w:val="11"/>
        <w:autoSpaceDE w:val="0"/>
        <w:ind w:firstLine="64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2024年度“三公”经费支出共计0.00万元，较年初预算数无增减，主要原因是我单位2024年未发生“三公”经费支出。较上年支出数无增减，主要原因是我单位本年及上年均未发生“三公”经费支出。</w:t>
      </w:r>
    </w:p>
    <w:p w14:paraId="173A11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EB6CE4C">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万元，费用支出较年初预算数无增减，主要原因是年初预算数未安排因公出国（境）费用，本年度也未发生因公出国（境）费用。较上年支出数无增减，主要原因是上年和本年均未发生因公出国（境）费用。</w:t>
      </w:r>
    </w:p>
    <w:p w14:paraId="1906E1C8">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5BEF006E">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5BF2EC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6BD7C7AF">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1E54E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BE7246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78D2AE8">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0DDA1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0.00万元，与2023年度相比，无增减，主要原因是本单位无大型会议，无会议费用；本年度培训费支出0.00万元，与2023年度相比，无变化，主要原因是本单位未举行业务培训无费用支出。</w:t>
      </w:r>
    </w:p>
    <w:p w14:paraId="19E68C1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8994B3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3AFCF23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47D51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4FF6FC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0D83A80">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48F1688A">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6C7597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1D6D1B30">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本年无项目支出，</w:t>
      </w:r>
      <w:r>
        <w:rPr>
          <w:rFonts w:ascii="方正仿宋_GBK" w:hAnsi="方正仿宋_GBK" w:eastAsia="方正仿宋_GBK" w:cs="方正仿宋_GBK"/>
          <w:sz w:val="32"/>
          <w:szCs w:val="32"/>
          <w:shd w:val="clear" w:color="auto" w:fill="FFFFFF"/>
        </w:rPr>
        <w:t>未组织开展绩效自评。</w:t>
      </w:r>
    </w:p>
    <w:p w14:paraId="01F4CC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181F150A">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我单位本年</w:t>
      </w:r>
      <w:r>
        <w:rPr>
          <w:rFonts w:ascii="方正仿宋_GBK" w:hAnsi="方正仿宋_GBK" w:eastAsia="方正仿宋_GBK" w:cs="方正仿宋_GBK"/>
          <w:sz w:val="32"/>
          <w:szCs w:val="32"/>
          <w:shd w:val="clear" w:color="auto" w:fill="FFFFFF"/>
        </w:rPr>
        <w:t>未组织开展绩效评价。</w:t>
      </w:r>
    </w:p>
    <w:p w14:paraId="3CE28C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CB380DE">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开展绩效评价。</w:t>
      </w:r>
    </w:p>
    <w:p w14:paraId="1FE38454">
      <w:pPr>
        <w:pStyle w:val="6"/>
        <w:shd w:val="clear" w:color="auto" w:fill="FFFFFF"/>
        <w:ind w:firstLine="803" w:firstLineChars="25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36FAF6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D19A9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14D36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8B4B5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AA5BBD">
      <w:pPr>
        <w:pStyle w:val="6"/>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C0BC1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37E6E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3A821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26F4F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516D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FBE0D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2CC4A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25AA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6C09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5ACE11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F74E0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45EDF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62774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0E94B57">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48443679">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77CDB2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垫江县桂阳街道综合行政执法大队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37.44</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203.70</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203.70</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垫江县桂阳街道综合行政执法大队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3776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A00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0C69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3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7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3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6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A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9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C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A2FF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D312">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FF4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6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1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0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C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B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9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F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0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937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844A">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722A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A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8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5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F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1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1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8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B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114C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96B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3172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6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F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0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C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5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8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1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C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C5CF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294A">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47A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6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6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3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A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D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F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9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983C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3449">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93A9">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7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5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7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C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1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7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D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A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1952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0920">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D0D2">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1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7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B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5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5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D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A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B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33DE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383C">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0647">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D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B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6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4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E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7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0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3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99FC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DE81">
            <w:pPr>
              <w:textAlignment w:val="center"/>
              <w:rPr>
                <w:rFonts w:hint="default" w:cs="宋体"/>
                <w:color w:val="000000"/>
                <w:sz w:val="20"/>
                <w:szCs w:val="20"/>
              </w:rPr>
            </w:pPr>
            <w:r>
              <w:rPr>
                <w:rFonts w:cs="宋体"/>
                <w:color w:val="000000"/>
                <w:sz w:val="20"/>
                <w:szCs w:val="20"/>
              </w:rPr>
              <w:t>2120104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63C9">
            <w:pPr>
              <w:textAlignment w:val="center"/>
              <w:rPr>
                <w:rFonts w:hint="default" w:cs="宋体"/>
                <w:color w:val="000000"/>
                <w:sz w:val="20"/>
                <w:szCs w:val="20"/>
              </w:rPr>
            </w:pPr>
            <w:r>
              <w:rPr>
                <w:rFonts w:cs="宋体"/>
                <w:color w:val="000000"/>
                <w:sz w:val="20"/>
                <w:szCs w:val="20"/>
              </w:rPr>
              <w:t>城管执法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4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D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8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1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C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2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0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5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E85F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CF9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6CB6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4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A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3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A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4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C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F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9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9248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452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F33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5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8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C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1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0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DB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7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E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CBEB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EBE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CCD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C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3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B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B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2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A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4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垫江县桂阳街道综合行政执法大队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9E3E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637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2B2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D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0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4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5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2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A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4213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1EFE">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100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0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7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C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4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3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4633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617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92A8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C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7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9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0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B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B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D16F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441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2F47">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E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C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1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0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8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6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2B9A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7802">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E938">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4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4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3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2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6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3A93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AE7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DE31">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0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7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8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4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8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0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E81A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46B3">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C0C8E">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7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8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0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6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4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9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9D73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EB6B">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575E">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3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B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D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4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6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F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AE77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F491">
            <w:pPr>
              <w:textAlignment w:val="center"/>
              <w:rPr>
                <w:rFonts w:hint="default" w:cs="宋体"/>
                <w:color w:val="000000"/>
                <w:sz w:val="20"/>
                <w:szCs w:val="20"/>
              </w:rPr>
            </w:pPr>
            <w:r>
              <w:rPr>
                <w:rFonts w:cs="宋体"/>
                <w:color w:val="000000"/>
                <w:sz w:val="20"/>
                <w:szCs w:val="20"/>
              </w:rPr>
              <w:t>2120104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002C">
            <w:pPr>
              <w:textAlignment w:val="center"/>
              <w:rPr>
                <w:rFonts w:hint="default" w:cs="宋体"/>
                <w:color w:val="000000"/>
                <w:sz w:val="20"/>
                <w:szCs w:val="20"/>
              </w:rPr>
            </w:pPr>
            <w:r>
              <w:rPr>
                <w:rFonts w:cs="宋体"/>
                <w:color w:val="000000"/>
                <w:sz w:val="20"/>
                <w:szCs w:val="20"/>
              </w:rPr>
              <w:t>城管执法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7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E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C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9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9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D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1538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3BA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0F229">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0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4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6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2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6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F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F993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570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F483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A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9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E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3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D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6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B1D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065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71A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9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5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B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8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5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7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E1A2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C52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89B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0A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3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68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5A24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95F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427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20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F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68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C0C5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2FB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5F9F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B0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70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77B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51E5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F9A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CCE4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F1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6E7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9D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1D92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24A9">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C48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D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243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CF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D00A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7FC2">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8E8B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446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3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2E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58A2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8454">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84B99">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D1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A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6C5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0565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E4B3">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6044">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3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1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A52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8AD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B168">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6C603">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9E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F2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A9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06BE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716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794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114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B1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7E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D237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173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C098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E2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AE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AB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EB06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B10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16D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54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31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A78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185.66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18.04</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垫江县桂阳街道综合行政执法大队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0C33CDA">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E74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6A23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16A23B">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832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3D88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93D885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1E4BBE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1E4BBE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339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2F7600"/>
    <w:rsid w:val="0032196C"/>
    <w:rsid w:val="00390A19"/>
    <w:rsid w:val="00495DDE"/>
    <w:rsid w:val="004C12FF"/>
    <w:rsid w:val="00550ABE"/>
    <w:rsid w:val="005B023C"/>
    <w:rsid w:val="005E037B"/>
    <w:rsid w:val="00600322"/>
    <w:rsid w:val="006137D7"/>
    <w:rsid w:val="00634FA8"/>
    <w:rsid w:val="0063613A"/>
    <w:rsid w:val="00640C31"/>
    <w:rsid w:val="006E2034"/>
    <w:rsid w:val="006F3EE9"/>
    <w:rsid w:val="00732392"/>
    <w:rsid w:val="00792285"/>
    <w:rsid w:val="007A0D2E"/>
    <w:rsid w:val="007A3314"/>
    <w:rsid w:val="007B419D"/>
    <w:rsid w:val="00810F13"/>
    <w:rsid w:val="00817928"/>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352599"/>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915A64"/>
    <w:rsid w:val="36C9128A"/>
    <w:rsid w:val="372E3953"/>
    <w:rsid w:val="37841E99"/>
    <w:rsid w:val="37BF1123"/>
    <w:rsid w:val="383C3F15"/>
    <w:rsid w:val="38BE4696"/>
    <w:rsid w:val="38CF5D27"/>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BBA208F"/>
    <w:rsid w:val="5C263CE4"/>
    <w:rsid w:val="5C5D2777"/>
    <w:rsid w:val="5CF66BF3"/>
    <w:rsid w:val="5D290C69"/>
    <w:rsid w:val="5D927498"/>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4776</Words>
  <Characters>5311</Characters>
  <Lines>92</Lines>
  <Paragraphs>25</Paragraphs>
  <TotalTime>1</TotalTime>
  <ScaleCrop>false</ScaleCrop>
  <LinksUpToDate>false</LinksUpToDate>
  <CharactersWithSpaces>5357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聊鸭鼗陈本</cp:lastModifiedBy>
  <dcterms:modified xsi:type="dcterms:W3CDTF">2025-09-18T06:04:26Z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