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垫江县鹤游镇劳动就业和社会保障服务所</w:t>
      </w:r>
    </w:p>
    <w:p>
      <w:pPr>
        <w:pStyle w:val="6"/>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3" w:firstLineChars="200"/>
        <w:textAlignment w:val="auto"/>
        <w:rPr>
          <w:rFonts w:hint="default" w:ascii="Times New Roman" w:hAnsi="Times New Roman" w:eastAsia="黑体" w:cs="Times New Roman"/>
          <w:sz w:val="32"/>
          <w:szCs w:val="32"/>
        </w:rPr>
      </w:pPr>
      <w:r>
        <w:rPr>
          <w:rStyle w:val="10"/>
          <w:rFonts w:hint="default" w:ascii="Times New Roman" w:hAnsi="Times New Roman" w:eastAsia="黑体" w:cs="Times New Roman"/>
          <w:sz w:val="32"/>
          <w:szCs w:val="32"/>
          <w:shd w:val="clear" w:color="auto" w:fill="FFFFFF"/>
        </w:rPr>
        <w:t>一、单位基本情况</w:t>
      </w:r>
    </w:p>
    <w:p>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94" w:lineRule="exact"/>
        <w:ind w:firstLine="643" w:firstLineChars="200"/>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（一）职能职责</w:t>
      </w:r>
    </w:p>
    <w:p>
      <w:pPr>
        <w:widowControl w:val="0"/>
        <w:adjustRightInd w:val="0"/>
        <w:snapToGrid w:val="0"/>
        <w:spacing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宗旨：为辖区劳动就业和社会保障提供服务。主要职责：负责劳动就业和社会保障、农村劳务开发管理等具体工作。负责就业培训、职业指导、就业失业登记等相关工作。负责养老、医疗、工伤、生育、失业保险具体办理工作。负责劳动关系协调、离退休人员社会管理服务等工作。</w:t>
      </w:r>
    </w:p>
    <w:p>
      <w:pPr>
        <w:keepNext w:val="0"/>
        <w:keepLines w:val="0"/>
        <w:pageBreakBefore w:val="0"/>
        <w:widowControl/>
        <w:shd w:val="clear" w:color="auto" w:fill="FFFFFF"/>
        <w:kinsoku/>
        <w:overflowPunct/>
        <w:topLinePunct w:val="0"/>
        <w:autoSpaceDN/>
        <w:bidi w:val="0"/>
        <w:adjustRightInd/>
        <w:spacing w:before="100" w:beforeAutospacing="0" w:after="0" w:afterAutospacing="0" w:line="594" w:lineRule="exact"/>
        <w:ind w:left="0" w:firstLine="643" w:firstLineChars="200"/>
        <w:rPr>
          <w:rFonts w:hint="default" w:ascii="Times New Roman" w:hAnsi="Times New Roman" w:eastAsia="楷体" w:cs="Times New Roman"/>
          <w:sz w:val="32"/>
          <w:szCs w:val="32"/>
          <w:lang w:val="en-US" w:eastAsia="zh-CN" w:bidi="ar-SA"/>
        </w:rPr>
      </w:pPr>
      <w:r>
        <w:rPr>
          <w:rStyle w:val="10"/>
          <w:rFonts w:hint="default" w:ascii="Times New Roman" w:hAnsi="Times New Roman" w:eastAsia="楷体" w:cs="Times New Roman"/>
          <w:sz w:val="32"/>
          <w:szCs w:val="32"/>
          <w:shd w:val="clear" w:color="auto" w:fill="FFFFFF"/>
          <w:lang w:val="en-US" w:eastAsia="zh-CN" w:bidi="ar-SA"/>
        </w:rPr>
        <w:t>（二）机构设置</w:t>
      </w:r>
    </w:p>
    <w:p>
      <w:pPr>
        <w:keepNext w:val="0"/>
        <w:keepLines w:val="0"/>
        <w:pageBreakBefore w:val="0"/>
        <w:shd w:val="clear" w:color="auto" w:fill="FFFFFF"/>
        <w:kinsoku/>
        <w:overflowPunct/>
        <w:topLinePunct w:val="0"/>
        <w:autoSpaceDN/>
        <w:bidi w:val="0"/>
        <w:spacing w:before="0" w:beforeAutospacing="0" w:after="0" w:afterAutospacing="0" w:line="594" w:lineRule="exact"/>
        <w:ind w:left="0" w:firstLine="640" w:firstLineChars="200"/>
        <w:rPr>
          <w:rFonts w:hint="default" w:ascii="Times New Roman" w:hAnsi="Times New Roman" w:eastAsia="方正仿宋_GBK" w:cs="Times New Roman"/>
          <w:color w:val="auto"/>
          <w:sz w:val="32"/>
          <w:szCs w:val="32"/>
          <w:shd w:val="clear" w:color="auto" w:fill="FFFFFF"/>
          <w:lang w:val="en-US" w:eastAsia="zh-CN" w:bidi="ar-SA"/>
        </w:rPr>
      </w:pPr>
      <w:r>
        <w:rPr>
          <w:rFonts w:hint="default" w:ascii="Times New Roman" w:hAnsi="Times New Roman" w:eastAsia="方正仿宋_GBK" w:cs="Times New Roman"/>
          <w:color w:val="auto"/>
          <w:sz w:val="32"/>
          <w:szCs w:val="32"/>
          <w:shd w:val="clear" w:color="auto" w:fill="FFFFFF"/>
          <w:lang w:val="en-US" w:eastAsia="zh-CN" w:bidi="ar-SA"/>
        </w:rPr>
        <w:t>1.事业单位1个。劳动就业和社会保障服务所。</w:t>
      </w:r>
    </w:p>
    <w:p>
      <w:pPr>
        <w:keepNext w:val="0"/>
        <w:keepLines w:val="0"/>
        <w:pageBreakBefore w:val="0"/>
        <w:widowControl/>
        <w:shd w:val="clear" w:color="auto" w:fill="FFFFFF"/>
        <w:kinsoku/>
        <w:overflowPunct/>
        <w:topLinePunct w:val="0"/>
        <w:autoSpaceDN/>
        <w:bidi w:val="0"/>
        <w:adjustRightInd/>
        <w:spacing w:before="100" w:beforeAutospacing="0" w:after="0" w:afterAutospacing="0" w:line="594" w:lineRule="exact"/>
        <w:ind w:left="0" w:firstLine="640" w:firstLineChars="200"/>
        <w:rPr>
          <w:rFonts w:hint="default" w:ascii="Times New Roman" w:hAnsi="Times New Roman" w:eastAsia="方正仿宋_GBK" w:cs="Times New Roman"/>
          <w:color w:val="auto"/>
          <w:sz w:val="32"/>
          <w:szCs w:val="32"/>
          <w:shd w:val="clear" w:color="auto" w:fill="FFFFFF"/>
          <w:lang w:val="en-US" w:eastAsia="zh-CN" w:bidi="ar-SA"/>
        </w:rPr>
      </w:pPr>
      <w:r>
        <w:rPr>
          <w:rFonts w:hint="default" w:ascii="Times New Roman" w:hAnsi="Times New Roman" w:eastAsia="方正仿宋_GBK" w:cs="Times New Roman"/>
          <w:color w:val="auto"/>
          <w:sz w:val="32"/>
          <w:szCs w:val="32"/>
          <w:shd w:val="clear" w:color="auto" w:fill="FFFFFF"/>
          <w:lang w:val="en-US" w:eastAsia="zh-CN" w:bidi="ar-SA"/>
        </w:rPr>
        <w:t>2.人员情况：202</w:t>
      </w:r>
      <w:r>
        <w:rPr>
          <w:rFonts w:hint="eastAsia" w:ascii="Times New Roman" w:hAnsi="Times New Roman" w:eastAsia="方正仿宋_GBK" w:cs="Times New Roman"/>
          <w:color w:val="auto"/>
          <w:sz w:val="32"/>
          <w:szCs w:val="32"/>
          <w:shd w:val="clear" w:color="auto" w:fill="FFFFFF"/>
          <w:lang w:val="en-US" w:eastAsia="zh-CN" w:bidi="ar-SA"/>
        </w:rPr>
        <w:t>4</w:t>
      </w:r>
      <w:r>
        <w:rPr>
          <w:rFonts w:hint="default" w:ascii="Times New Roman" w:hAnsi="Times New Roman" w:eastAsia="方正仿宋_GBK" w:cs="Times New Roman"/>
          <w:color w:val="auto"/>
          <w:sz w:val="32"/>
          <w:szCs w:val="32"/>
          <w:shd w:val="clear" w:color="auto" w:fill="FFFFFF"/>
          <w:lang w:val="en-US" w:eastAsia="zh-CN" w:bidi="ar-SA"/>
        </w:rPr>
        <w:t>年末垫江县鹤游镇劳动就业和社会保障服务所编制5人，实有在职职工4人。</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3" w:firstLineChars="200"/>
        <w:textAlignment w:val="auto"/>
        <w:rPr>
          <w:rFonts w:hint="default" w:ascii="Times New Roman" w:hAnsi="Times New Roman" w:eastAsia="方正仿宋_GBK" w:cs="Times New Roman"/>
          <w:sz w:val="32"/>
          <w:szCs w:val="32"/>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Style w:val="10"/>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度收入总计116.32万元，支出总计</w:t>
      </w:r>
      <w:r>
        <w:rPr>
          <w:rFonts w:hint="default" w:ascii="Times New Roman" w:hAnsi="Times New Roman" w:eastAsia="方正仿宋_GBK" w:cs="Times New Roman"/>
          <w:sz w:val="32"/>
          <w:szCs w:val="32"/>
        </w:rPr>
        <w:t>116.32</w:t>
      </w:r>
      <w:r>
        <w:rPr>
          <w:rFonts w:hint="default" w:ascii="Times New Roman" w:hAnsi="Times New Roman" w:eastAsia="方正仿宋_GBK" w:cs="Times New Roman"/>
          <w:color w:val="auto"/>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eastAsia="zh-CN"/>
        </w:rPr>
        <w:t>收支</w:t>
      </w:r>
      <w:r>
        <w:rPr>
          <w:rFonts w:hint="default" w:ascii="Times New Roman" w:hAnsi="Times New Roman" w:eastAsia="方正仿宋_GBK" w:cs="Times New Roman"/>
          <w:color w:val="auto"/>
          <w:sz w:val="32"/>
          <w:szCs w:val="32"/>
          <w:shd w:val="clear" w:color="auto" w:fill="FFFFFF"/>
        </w:rPr>
        <w:t>与2023年度相比，增加17.78万元，增长18.04%，主要原因是</w:t>
      </w:r>
      <w:r>
        <w:rPr>
          <w:rFonts w:hint="default" w:ascii="Times New Roman" w:hAnsi="Times New Roman" w:eastAsia="方正仿宋_GBK" w:cs="Times New Roman"/>
          <w:color w:val="auto"/>
          <w:sz w:val="32"/>
          <w:szCs w:val="32"/>
          <w:shd w:val="clear" w:color="auto" w:fill="FFFFFF"/>
          <w:lang w:val="en-US" w:eastAsia="zh-CN"/>
        </w:rPr>
        <w:t>补缴事业人员养老保险、职业年金等费用等</w:t>
      </w:r>
      <w:r>
        <w:rPr>
          <w:rFonts w:hint="default" w:ascii="Times New Roman" w:hAnsi="Times New Roman" w:eastAsia="方正仿宋_GBK" w:cs="Times New Roman"/>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color w:val="auto"/>
          <w:sz w:val="32"/>
          <w:szCs w:val="32"/>
          <w:shd w:val="clear" w:color="auto" w:fill="FFFFFF"/>
        </w:rPr>
        <w:t>2.收入情况。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度收入合计116.32万元，与2023年度相比，增加17.78万元，增长18.04%，主要原因是</w:t>
      </w:r>
      <w:r>
        <w:rPr>
          <w:rFonts w:hint="default" w:ascii="Times New Roman" w:hAnsi="Times New Roman" w:eastAsia="方正仿宋_GBK" w:cs="Times New Roman"/>
          <w:color w:val="auto"/>
          <w:sz w:val="32"/>
          <w:szCs w:val="32"/>
          <w:shd w:val="clear" w:color="auto" w:fill="FFFFFF"/>
          <w:lang w:val="en-US" w:eastAsia="zh-CN"/>
        </w:rPr>
        <w:t>补缴事业人员养老保险、职业年金等费用等</w:t>
      </w:r>
      <w:r>
        <w:rPr>
          <w:rFonts w:hint="default" w:ascii="Times New Roman" w:hAnsi="Times New Roman" w:eastAsia="方正仿宋_GBK" w:cs="Times New Roman"/>
          <w:color w:val="auto"/>
          <w:sz w:val="32"/>
          <w:szCs w:val="32"/>
          <w:shd w:val="clear" w:color="auto" w:fill="FFFFFF"/>
        </w:rPr>
        <w:t>。其中：财政拨款收入</w:t>
      </w:r>
      <w:r>
        <w:rPr>
          <w:rFonts w:hint="default" w:ascii="Times New Roman" w:hAnsi="Times New Roman" w:eastAsia="方正仿宋_GBK" w:cs="Times New Roman"/>
          <w:color w:val="auto"/>
          <w:sz w:val="32"/>
          <w:szCs w:val="32"/>
        </w:rPr>
        <w:t>116.32</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100.00</w:t>
      </w:r>
      <w:r>
        <w:rPr>
          <w:rFonts w:hint="default" w:ascii="Times New Roman" w:hAnsi="Times New Roman" w:eastAsia="方正仿宋_GBK" w:cs="Times New Roman"/>
          <w:color w:val="auto"/>
          <w:sz w:val="32"/>
          <w:szCs w:val="32"/>
          <w:shd w:val="clear" w:color="auto" w:fill="FFFFFF"/>
        </w:rPr>
        <w:t>%；事业收入</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万元，占0.00%；经营收入</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万元，占0.00%；其他收入</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万元，占0.00%。此外，使用非财</w:t>
      </w:r>
      <w:r>
        <w:rPr>
          <w:rFonts w:hint="default" w:ascii="Times New Roman" w:hAnsi="Times New Roman" w:eastAsia="方正仿宋_GBK" w:cs="Times New Roman"/>
          <w:sz w:val="32"/>
          <w:szCs w:val="32"/>
          <w:shd w:val="clear" w:color="auto" w:fill="FFFFFF"/>
        </w:rPr>
        <w:t>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Style w:val="10"/>
          <w:rFonts w:hint="default" w:ascii="Times New Roman" w:hAnsi="Times New Roman" w:eastAsia="方正仿宋_GBK" w:cs="Times New Roman"/>
          <w:color w:val="auto"/>
          <w:sz w:val="32"/>
          <w:szCs w:val="32"/>
          <w:shd w:val="clear" w:color="auto" w:fill="FFFFFF"/>
        </w:rPr>
        <w:t>3.支出情况。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度支出合计</w:t>
      </w:r>
      <w:r>
        <w:rPr>
          <w:rFonts w:hint="default" w:ascii="Times New Roman" w:hAnsi="Times New Roman" w:eastAsia="方正仿宋_GBK" w:cs="Times New Roman"/>
          <w:color w:val="auto"/>
          <w:sz w:val="32"/>
          <w:szCs w:val="32"/>
        </w:rPr>
        <w:t>116.32</w:t>
      </w:r>
      <w:r>
        <w:rPr>
          <w:rFonts w:hint="default" w:ascii="Times New Roman" w:hAnsi="Times New Roman" w:eastAsia="方正仿宋_GBK" w:cs="Times New Roman"/>
          <w:color w:val="auto"/>
          <w:sz w:val="32"/>
          <w:szCs w:val="32"/>
          <w:shd w:val="clear" w:color="auto" w:fill="FFFFFF"/>
        </w:rPr>
        <w:t>万元，与2023年度相比，增加17.78万元，增长18.04%，主要原因是</w:t>
      </w:r>
      <w:r>
        <w:rPr>
          <w:rFonts w:hint="default" w:ascii="Times New Roman" w:hAnsi="Times New Roman" w:eastAsia="方正仿宋_GBK" w:cs="Times New Roman"/>
          <w:color w:val="auto"/>
          <w:sz w:val="32"/>
          <w:szCs w:val="32"/>
          <w:shd w:val="clear" w:color="auto" w:fill="FFFFFF"/>
          <w:lang w:val="en-US" w:eastAsia="zh-CN"/>
        </w:rPr>
        <w:t>补缴事业人员养老保险、职业年金等费用等</w:t>
      </w:r>
      <w:r>
        <w:rPr>
          <w:rFonts w:hint="default" w:ascii="Times New Roman" w:hAnsi="Times New Roman" w:eastAsia="方正仿宋_GBK" w:cs="Times New Roman"/>
          <w:color w:val="auto"/>
          <w:sz w:val="32"/>
          <w:szCs w:val="32"/>
          <w:shd w:val="clear" w:color="auto" w:fill="FFFFFF"/>
        </w:rPr>
        <w:t>。其中：基本支出</w:t>
      </w:r>
      <w:r>
        <w:rPr>
          <w:rFonts w:hint="default" w:ascii="Times New Roman" w:hAnsi="Times New Roman" w:eastAsia="方正仿宋_GBK" w:cs="Times New Roman"/>
          <w:color w:val="auto"/>
          <w:sz w:val="32"/>
          <w:szCs w:val="32"/>
        </w:rPr>
        <w:t>116.32</w:t>
      </w:r>
      <w:r>
        <w:rPr>
          <w:rFonts w:hint="default" w:ascii="Times New Roman" w:hAnsi="Times New Roman" w:eastAsia="方正仿宋_GBK" w:cs="Times New Roman"/>
          <w:color w:val="auto"/>
          <w:sz w:val="32"/>
          <w:szCs w:val="32"/>
          <w:shd w:val="clear" w:color="auto" w:fill="FFFFFF"/>
        </w:rPr>
        <w:t>万元，占100.00%；项目支出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万元，占0.00%；经营支出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万元，占0.00%。此外，结余分配</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rPr>
      </w:pPr>
      <w:r>
        <w:rPr>
          <w:rStyle w:val="10"/>
          <w:rFonts w:hint="default" w:ascii="Times New Roman" w:hAnsi="Times New Roman" w:eastAsia="方正仿宋_GBK" w:cs="Times New Roman"/>
          <w:color w:val="auto"/>
          <w:sz w:val="32"/>
          <w:szCs w:val="32"/>
          <w:shd w:val="clear" w:color="auto" w:fill="FFFFFF"/>
        </w:rPr>
        <w:t>4.结转结余情况。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度年末结转和结余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万元，与2023年度相比，无增减，主要原因是</w:t>
      </w:r>
      <w:r>
        <w:rPr>
          <w:rFonts w:hint="default" w:ascii="Times New Roman" w:hAnsi="Times New Roman" w:eastAsia="方正仿宋_GBK" w:cs="Times New Roman"/>
          <w:color w:val="auto"/>
          <w:sz w:val="32"/>
          <w:szCs w:val="32"/>
          <w:shd w:val="clear" w:color="auto" w:fill="FFFFFF"/>
          <w:lang w:eastAsia="zh-CN"/>
        </w:rPr>
        <w:t>上年和本年均无结转结余</w:t>
      </w:r>
      <w:r>
        <w:rPr>
          <w:rFonts w:hint="default" w:ascii="Times New Roman" w:hAnsi="Times New Roman" w:eastAsia="方正仿宋_GBK" w:cs="Times New Roman"/>
          <w:color w:val="auto"/>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（二）财政拨款收入支出决算总体情况说明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度财政拨款</w:t>
      </w:r>
      <w:r>
        <w:rPr>
          <w:rFonts w:hint="eastAsia" w:ascii="Times New Roman" w:hAnsi="Times New Roman" w:eastAsia="方正仿宋_GBK" w:cs="Times New Roman"/>
          <w:color w:val="auto"/>
          <w:sz w:val="32"/>
          <w:szCs w:val="32"/>
          <w:shd w:val="clear" w:color="auto" w:fill="FFFFFF"/>
          <w:lang w:eastAsia="zh-CN"/>
        </w:rPr>
        <w:t>收支</w:t>
      </w:r>
      <w:r>
        <w:rPr>
          <w:rFonts w:hint="default" w:ascii="Times New Roman" w:hAnsi="Times New Roman" w:eastAsia="方正仿宋_GBK" w:cs="Times New Roman"/>
          <w:color w:val="auto"/>
          <w:sz w:val="32"/>
          <w:szCs w:val="32"/>
          <w:shd w:val="clear" w:color="auto" w:fill="FFFFFF"/>
        </w:rPr>
        <w:t>总计116.32万元。与202</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年相比，财政拨款</w:t>
      </w:r>
      <w:r>
        <w:rPr>
          <w:rFonts w:hint="eastAsia" w:ascii="Times New Roman" w:hAnsi="Times New Roman" w:eastAsia="方正仿宋_GBK" w:cs="Times New Roman"/>
          <w:color w:val="auto"/>
          <w:sz w:val="32"/>
          <w:szCs w:val="32"/>
          <w:shd w:val="clear" w:color="auto" w:fill="FFFFFF"/>
          <w:lang w:eastAsia="zh-CN"/>
        </w:rPr>
        <w:t>收支</w:t>
      </w:r>
      <w:r>
        <w:rPr>
          <w:rFonts w:hint="default" w:ascii="Times New Roman" w:hAnsi="Times New Roman" w:eastAsia="方正仿宋_GBK" w:cs="Times New Roman"/>
          <w:color w:val="auto"/>
          <w:sz w:val="32"/>
          <w:szCs w:val="32"/>
          <w:shd w:val="clear" w:color="auto" w:fill="FFFFFF"/>
        </w:rPr>
        <w:t>总计各增加17.78万元，增长18.04%。主要原因是</w:t>
      </w:r>
      <w:r>
        <w:rPr>
          <w:rFonts w:hint="default" w:ascii="Times New Roman" w:hAnsi="Times New Roman" w:eastAsia="方正仿宋_GBK" w:cs="Times New Roman"/>
          <w:color w:val="auto"/>
          <w:sz w:val="32"/>
          <w:szCs w:val="32"/>
          <w:shd w:val="clear" w:color="auto" w:fill="FFFFFF"/>
          <w:lang w:val="en-US" w:eastAsia="zh-CN"/>
        </w:rPr>
        <w:t>补缴事业人员养老保险、职业年金等费用</w:t>
      </w:r>
      <w:r>
        <w:rPr>
          <w:rFonts w:hint="eastAsia" w:ascii="Times New Roman" w:hAnsi="Times New Roman" w:eastAsia="方正仿宋_GBK" w:cs="Times New Roman"/>
          <w:color w:val="auto"/>
          <w:sz w:val="32"/>
          <w:szCs w:val="32"/>
          <w:shd w:val="clear" w:color="auto" w:fill="FFFFFF"/>
          <w:lang w:val="en-US" w:eastAsia="zh-CN"/>
        </w:rPr>
        <w:t>等</w:t>
      </w:r>
      <w:r>
        <w:rPr>
          <w:rFonts w:hint="default" w:ascii="Times New Roman" w:hAnsi="Times New Roman" w:eastAsia="方正仿宋_GBK" w:cs="Times New Roman"/>
          <w:color w:val="auto"/>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rPr>
      </w:pPr>
      <w:r>
        <w:rPr>
          <w:rStyle w:val="10"/>
          <w:rFonts w:hint="default" w:ascii="Times New Roman" w:hAnsi="Times New Roman" w:eastAsia="方正仿宋_GBK" w:cs="Times New Roman"/>
          <w:color w:val="auto"/>
          <w:sz w:val="32"/>
          <w:szCs w:val="32"/>
          <w:shd w:val="clear" w:color="auto" w:fill="FFFFFF"/>
        </w:rPr>
        <w:t>1.收入情况。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度一般公共预算财政拨款收入</w:t>
      </w:r>
      <w:r>
        <w:rPr>
          <w:rFonts w:hint="default" w:ascii="Times New Roman" w:hAnsi="Times New Roman" w:eastAsia="方正仿宋_GBK" w:cs="Times New Roman"/>
          <w:color w:val="auto"/>
          <w:sz w:val="32"/>
          <w:szCs w:val="32"/>
        </w:rPr>
        <w:t>116.32</w:t>
      </w:r>
      <w:r>
        <w:rPr>
          <w:rFonts w:hint="default" w:ascii="Times New Roman" w:hAnsi="Times New Roman" w:eastAsia="方正仿宋_GBK" w:cs="Times New Roman"/>
          <w:color w:val="auto"/>
          <w:sz w:val="32"/>
          <w:szCs w:val="32"/>
          <w:shd w:val="clear" w:color="auto" w:fill="FFFFFF"/>
        </w:rPr>
        <w:t>万元，与2023年度相比，增加17.78万元，增长18.04%。主要原因是</w:t>
      </w:r>
      <w:r>
        <w:rPr>
          <w:rFonts w:hint="default" w:ascii="Times New Roman" w:hAnsi="Times New Roman" w:eastAsia="方正仿宋_GBK" w:cs="Times New Roman"/>
          <w:color w:val="auto"/>
          <w:sz w:val="32"/>
          <w:szCs w:val="32"/>
          <w:shd w:val="clear" w:color="auto" w:fill="FFFFFF"/>
          <w:lang w:val="en-US" w:eastAsia="zh-CN"/>
        </w:rPr>
        <w:t>补缴事业人员养老保险、职业年金等费用</w:t>
      </w:r>
      <w:r>
        <w:rPr>
          <w:rFonts w:hint="default" w:ascii="Times New Roman" w:hAnsi="Times New Roman" w:eastAsia="方正仿宋_GBK" w:cs="Times New Roman"/>
          <w:color w:val="auto"/>
          <w:sz w:val="32"/>
          <w:szCs w:val="32"/>
          <w:shd w:val="clear" w:color="auto" w:fill="FFFFFF"/>
        </w:rPr>
        <w:t>。较年初预算数增加9.87万元，增长9.27%。主要原因是</w:t>
      </w:r>
      <w:r>
        <w:rPr>
          <w:rFonts w:hint="default" w:ascii="Times New Roman" w:hAnsi="Times New Roman" w:eastAsia="方正仿宋_GBK" w:cs="Times New Roman"/>
          <w:color w:val="auto"/>
          <w:sz w:val="32"/>
          <w:szCs w:val="32"/>
          <w:shd w:val="clear" w:color="auto" w:fill="FFFFFF"/>
          <w:lang w:val="en-US" w:eastAsia="zh-CN"/>
        </w:rPr>
        <w:t>补缴事业人员养老保险、职业年金等费用</w:t>
      </w:r>
      <w:r>
        <w:rPr>
          <w:rFonts w:hint="default" w:ascii="Times New Roman" w:hAnsi="Times New Roman" w:eastAsia="方正仿宋_GBK" w:cs="Times New Roman"/>
          <w:color w:val="auto"/>
          <w:sz w:val="32"/>
          <w:szCs w:val="32"/>
          <w:shd w:val="clear" w:color="auto" w:fill="FFFFFF"/>
        </w:rPr>
        <w:t>。此外，年初财政拨款结转和结余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rPr>
      </w:pPr>
      <w:r>
        <w:rPr>
          <w:rStyle w:val="10"/>
          <w:rFonts w:hint="default" w:ascii="Times New Roman" w:hAnsi="Times New Roman" w:eastAsia="方正仿宋_GBK" w:cs="Times New Roman"/>
          <w:color w:val="auto"/>
          <w:sz w:val="32"/>
          <w:szCs w:val="32"/>
          <w:shd w:val="clear" w:color="auto" w:fill="FFFFFF"/>
        </w:rPr>
        <w:t>2.支出情况。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度一般公共预算财政拨款支出</w:t>
      </w:r>
      <w:r>
        <w:rPr>
          <w:rFonts w:hint="default" w:ascii="Times New Roman" w:hAnsi="Times New Roman" w:eastAsia="方正仿宋_GBK" w:cs="Times New Roman"/>
          <w:color w:val="auto"/>
          <w:sz w:val="32"/>
          <w:szCs w:val="32"/>
        </w:rPr>
        <w:t>116.32</w:t>
      </w:r>
      <w:r>
        <w:rPr>
          <w:rFonts w:hint="default" w:ascii="Times New Roman" w:hAnsi="Times New Roman" w:eastAsia="方正仿宋_GBK" w:cs="Times New Roman"/>
          <w:color w:val="auto"/>
          <w:sz w:val="32"/>
          <w:szCs w:val="32"/>
          <w:shd w:val="clear" w:color="auto" w:fill="FFFFFF"/>
        </w:rPr>
        <w:t>万元，与2023年度相比，增加17.78万元，增长18.04%。主要原因是</w:t>
      </w:r>
      <w:r>
        <w:rPr>
          <w:rFonts w:hint="default" w:ascii="Times New Roman" w:hAnsi="Times New Roman" w:eastAsia="方正仿宋_GBK" w:cs="Times New Roman"/>
          <w:color w:val="auto"/>
          <w:sz w:val="32"/>
          <w:szCs w:val="32"/>
          <w:shd w:val="clear" w:color="auto" w:fill="FFFFFF"/>
          <w:lang w:val="en-US" w:eastAsia="zh-CN"/>
        </w:rPr>
        <w:t>补缴事业人员养老保险、职业年金等费用</w:t>
      </w:r>
      <w:r>
        <w:rPr>
          <w:rFonts w:hint="default" w:ascii="Times New Roman" w:hAnsi="Times New Roman" w:eastAsia="方正仿宋_GBK" w:cs="Times New Roman"/>
          <w:color w:val="auto"/>
          <w:sz w:val="32"/>
          <w:szCs w:val="32"/>
          <w:shd w:val="clear" w:color="auto" w:fill="FFFFFF"/>
        </w:rPr>
        <w:t>。较年初预算数增加9.87万元，增长9.27%。主要原因是</w:t>
      </w:r>
      <w:r>
        <w:rPr>
          <w:rFonts w:hint="default" w:ascii="Times New Roman" w:hAnsi="Times New Roman" w:eastAsia="方正仿宋_GBK" w:cs="Times New Roman"/>
          <w:color w:val="auto"/>
          <w:sz w:val="32"/>
          <w:szCs w:val="32"/>
          <w:shd w:val="clear" w:color="auto" w:fill="FFFFFF"/>
          <w:lang w:val="en-US" w:eastAsia="zh-CN"/>
        </w:rPr>
        <w:t>补缴事业人员养老保险、职业年金等费用</w:t>
      </w:r>
      <w:r>
        <w:rPr>
          <w:rFonts w:hint="default" w:ascii="Times New Roman" w:hAnsi="Times New Roman" w:eastAsia="方正仿宋_GBK" w:cs="Times New Roman"/>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w:t>
      </w:r>
      <w:r>
        <w:rPr>
          <w:rFonts w:hint="default" w:ascii="Times New Roman" w:hAnsi="Times New Roman" w:eastAsia="方正仿宋_GBK" w:cs="Times New Roman"/>
          <w:color w:val="auto"/>
          <w:sz w:val="32"/>
          <w:szCs w:val="32"/>
          <w:shd w:val="clear" w:color="auto" w:fill="FFFFFF"/>
        </w:rPr>
        <w:t>相比，无增减，主要原因是</w:t>
      </w:r>
      <w:r>
        <w:rPr>
          <w:rFonts w:hint="default" w:ascii="Times New Roman" w:hAnsi="Times New Roman" w:eastAsia="方正仿宋_GBK" w:cs="Times New Roman"/>
          <w:color w:val="auto"/>
          <w:sz w:val="32"/>
          <w:szCs w:val="32"/>
          <w:shd w:val="clear" w:color="auto" w:fill="FFFFFF"/>
          <w:lang w:eastAsia="zh-CN"/>
        </w:rPr>
        <w:t>上年和本年均无结转结余。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10"/>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106.58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91.63</w:t>
      </w:r>
      <w:r>
        <w:rPr>
          <w:rFonts w:hint="default" w:ascii="Times New Roman" w:hAnsi="Times New Roman" w:eastAsia="方正仿宋_GBK" w:cs="Times New Roman"/>
          <w:sz w:val="32"/>
          <w:szCs w:val="32"/>
          <w:shd w:val="clear" w:color="auto" w:fill="FFFFFF"/>
        </w:rPr>
        <w:t>%，较年初预算数增加7.91万元，增长8.02%，主要原</w:t>
      </w:r>
      <w:r>
        <w:rPr>
          <w:rFonts w:hint="default" w:ascii="Times New Roman" w:hAnsi="Times New Roman" w:eastAsia="方正仿宋_GBK" w:cs="Times New Roman"/>
          <w:color w:val="auto"/>
          <w:sz w:val="32"/>
          <w:szCs w:val="32"/>
          <w:shd w:val="clear" w:color="auto" w:fill="FFFFFF"/>
        </w:rPr>
        <w:t>因是</w:t>
      </w:r>
      <w:r>
        <w:rPr>
          <w:rFonts w:hint="default" w:ascii="Times New Roman" w:hAnsi="Times New Roman" w:eastAsia="方正仿宋_GBK" w:cs="Times New Roman"/>
          <w:color w:val="auto"/>
          <w:sz w:val="32"/>
          <w:szCs w:val="32"/>
          <w:shd w:val="clear" w:color="auto" w:fill="FFFFFF"/>
          <w:lang w:eastAsia="zh-CN"/>
        </w:rPr>
        <w:t>补缴事业人员养老保险、职业年金等费用。</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eastAsia"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）卫生健康支出</w:t>
      </w:r>
      <w:r>
        <w:rPr>
          <w:rFonts w:hint="default" w:ascii="Times New Roman" w:hAnsi="Times New Roman" w:eastAsia="方正仿宋_GBK" w:cs="Times New Roman"/>
          <w:color w:val="auto"/>
          <w:sz w:val="32"/>
          <w:szCs w:val="32"/>
        </w:rPr>
        <w:t>3.33</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2.87</w:t>
      </w:r>
      <w:r>
        <w:rPr>
          <w:rFonts w:hint="default" w:ascii="Times New Roman" w:hAnsi="Times New Roman" w:eastAsia="方正仿宋_GBK" w:cs="Times New Roman"/>
          <w:color w:val="auto"/>
          <w:sz w:val="32"/>
          <w:szCs w:val="32"/>
          <w:shd w:val="clear" w:color="auto" w:fill="FFFFFF"/>
        </w:rPr>
        <w:t>%，较年初预算数减少0.21万元，下降5.93%，主要原因是</w:t>
      </w:r>
      <w:r>
        <w:rPr>
          <w:rFonts w:hint="default" w:ascii="Times New Roman" w:hAnsi="Times New Roman" w:eastAsia="方正仿宋_GBK" w:cs="Times New Roman"/>
          <w:color w:val="auto"/>
          <w:sz w:val="32"/>
          <w:szCs w:val="32"/>
          <w:shd w:val="clear" w:color="auto" w:fill="FFFFFF"/>
          <w:lang w:eastAsia="zh-CN"/>
        </w:rPr>
        <w:t>事业人员医疗保险费用支出减少。</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住房保障支出6.40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5.50</w:t>
      </w:r>
      <w:r>
        <w:rPr>
          <w:rFonts w:hint="default" w:ascii="Times New Roman" w:hAnsi="Times New Roman" w:eastAsia="方正仿宋_GBK" w:cs="Times New Roman"/>
          <w:sz w:val="32"/>
          <w:szCs w:val="32"/>
          <w:shd w:val="clear" w:color="auto" w:fill="FFFFFF"/>
        </w:rPr>
        <w:t>%，较年初预算数增加2.15万元，增长50.59%，主要原因</w:t>
      </w:r>
      <w:r>
        <w:rPr>
          <w:rFonts w:hint="default" w:ascii="Times New Roman" w:hAnsi="Times New Roman" w:eastAsia="方正仿宋_GBK" w:cs="Times New Roman"/>
          <w:color w:val="auto"/>
          <w:sz w:val="32"/>
          <w:szCs w:val="32"/>
          <w:shd w:val="clear" w:color="auto" w:fill="FFFFFF"/>
        </w:rPr>
        <w:t>是</w:t>
      </w:r>
      <w:r>
        <w:rPr>
          <w:rFonts w:hint="default" w:ascii="Times New Roman" w:hAnsi="Times New Roman" w:eastAsia="方正仿宋_GBK" w:cs="Times New Roman"/>
          <w:color w:val="auto"/>
          <w:sz w:val="32"/>
          <w:szCs w:val="32"/>
          <w:shd w:val="clear" w:color="auto" w:fill="FFFFFF"/>
          <w:lang w:eastAsia="zh-CN"/>
        </w:rPr>
        <w:t>对公积金基数进行了调整，住房保障支出增加。</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lang w:eastAsia="zh-CN"/>
        </w:rPr>
        <w:t>0</w:t>
      </w:r>
      <w:r>
        <w:rPr>
          <w:rFonts w:hint="default" w:ascii="Times New Roman" w:hAnsi="Times New Roman" w:eastAsia="方正仿宋_GBK" w:cs="Times New Roman"/>
          <w:color w:val="auto"/>
          <w:sz w:val="32"/>
          <w:szCs w:val="32"/>
          <w:shd w:val="clear" w:color="auto" w:fill="FFFFFF"/>
          <w:lang w:eastAsia="zh-CN"/>
        </w:rPr>
        <w:t>24年</w:t>
      </w:r>
      <w:r>
        <w:rPr>
          <w:rFonts w:hint="default" w:ascii="Times New Roman" w:hAnsi="Times New Roman" w:eastAsia="方正仿宋_GBK" w:cs="Times New Roman"/>
          <w:color w:val="auto"/>
          <w:sz w:val="32"/>
          <w:szCs w:val="32"/>
          <w:shd w:val="clear" w:color="auto" w:fill="FFFFFF"/>
        </w:rPr>
        <w:t>度一般公共财政拨款基本支出</w:t>
      </w:r>
      <w:r>
        <w:rPr>
          <w:rFonts w:hint="default" w:ascii="Times New Roman" w:hAnsi="Times New Roman" w:eastAsia="方正仿宋_GBK" w:cs="Times New Roman"/>
          <w:color w:val="auto"/>
          <w:sz w:val="32"/>
          <w:szCs w:val="32"/>
        </w:rPr>
        <w:t>116.32</w:t>
      </w:r>
      <w:r>
        <w:rPr>
          <w:rFonts w:hint="default" w:ascii="Times New Roman" w:hAnsi="Times New Roman" w:eastAsia="方正仿宋_GBK" w:cs="Times New Roman"/>
          <w:color w:val="auto"/>
          <w:sz w:val="32"/>
          <w:szCs w:val="32"/>
          <w:shd w:val="clear" w:color="auto" w:fill="FFFFFF"/>
        </w:rPr>
        <w:t>万元。其中：人员经费</w:t>
      </w:r>
      <w:r>
        <w:rPr>
          <w:rFonts w:hint="default" w:ascii="Times New Roman" w:hAnsi="Times New Roman" w:eastAsia="方正仿宋_GBK" w:cs="Times New Roman"/>
          <w:color w:val="auto"/>
          <w:sz w:val="32"/>
          <w:szCs w:val="32"/>
        </w:rPr>
        <w:t>111.12</w:t>
      </w:r>
      <w:r>
        <w:rPr>
          <w:rFonts w:hint="default" w:ascii="Times New Roman" w:hAnsi="Times New Roman" w:eastAsia="方正仿宋_GBK" w:cs="Times New Roman"/>
          <w:color w:val="auto"/>
          <w:sz w:val="32"/>
          <w:szCs w:val="32"/>
          <w:shd w:val="clear" w:color="auto" w:fill="FFFFFF"/>
        </w:rPr>
        <w:t>万元，与2023年度相比，增加19.63万元，增长21.46%，主要原因是</w:t>
      </w:r>
      <w:r>
        <w:rPr>
          <w:rFonts w:hint="default" w:ascii="Times New Roman" w:hAnsi="Times New Roman" w:eastAsia="方正仿宋_GBK" w:cs="Times New Roman"/>
          <w:color w:val="auto"/>
          <w:sz w:val="32"/>
          <w:szCs w:val="32"/>
          <w:shd w:val="clear" w:color="auto" w:fill="FFFFFF"/>
          <w:lang w:eastAsia="zh-CN"/>
        </w:rPr>
        <w:t>补缴事业人员养老保险和职业年金等</w:t>
      </w:r>
      <w:r>
        <w:rPr>
          <w:rFonts w:hint="default" w:ascii="Times New Roman" w:hAnsi="Times New Roman" w:eastAsia="方正仿宋_GBK" w:cs="Times New Roman"/>
          <w:color w:val="auto"/>
          <w:sz w:val="32"/>
          <w:szCs w:val="32"/>
          <w:shd w:val="clear" w:color="auto" w:fill="FFFFFF"/>
        </w:rPr>
        <w:t>。人员经费用途主要包括基本工资、津贴补贴、奖金、绩效工资、伙食补助费、养老保险、职业年金、医疗保障缴费、其他工资福利支出等</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公用经费</w:t>
      </w:r>
      <w:r>
        <w:rPr>
          <w:rFonts w:hint="default" w:ascii="Times New Roman" w:hAnsi="Times New Roman" w:eastAsia="方正仿宋_GBK" w:cs="Times New Roman"/>
          <w:color w:val="auto"/>
          <w:sz w:val="32"/>
          <w:szCs w:val="32"/>
        </w:rPr>
        <w:t>5.19</w:t>
      </w:r>
      <w:r>
        <w:rPr>
          <w:rFonts w:hint="default" w:ascii="Times New Roman" w:hAnsi="Times New Roman" w:eastAsia="方正仿宋_GBK" w:cs="Times New Roman"/>
          <w:color w:val="auto"/>
          <w:sz w:val="32"/>
          <w:szCs w:val="32"/>
          <w:shd w:val="clear" w:color="auto" w:fill="FFFFFF"/>
        </w:rPr>
        <w:t>万元，与2023年度相比，减少1.86万元，下降26.38%，主要原因是</w:t>
      </w:r>
      <w:r>
        <w:rPr>
          <w:rFonts w:hint="default" w:ascii="Times New Roman" w:hAnsi="Times New Roman" w:eastAsia="方正仿宋_GBK" w:cs="Times New Roman"/>
          <w:color w:val="auto"/>
          <w:sz w:val="32"/>
          <w:szCs w:val="32"/>
          <w:shd w:val="clear" w:color="auto" w:fill="FFFFFF"/>
          <w:lang w:eastAsia="zh-CN"/>
        </w:rPr>
        <w:t>厉行节约，压缩公用经费开支</w:t>
      </w:r>
      <w:r>
        <w:rPr>
          <w:rFonts w:hint="default" w:ascii="Times New Roman" w:hAnsi="Times New Roman" w:eastAsia="方正仿宋_GBK" w:cs="Times New Roman"/>
          <w:color w:val="auto"/>
          <w:sz w:val="32"/>
          <w:szCs w:val="32"/>
          <w:shd w:val="clear" w:color="auto" w:fill="FFFFFF"/>
        </w:rPr>
        <w:t>。公用经费用途主要包括办公费、印刷费、水费、 电费、差旅费、维修费、 劳务费、委托业务费、工会经费、其他商品服务支出等组成。</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（五）政府性基金预算收支决算情况说明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eastAsia="zh-CN"/>
        </w:rPr>
        <w:t>2024年度政府性基金预算财政拨款年初结转结余0.00万元，年末结转结余0.00万元。本年收入0.00万元，与2023年度相比，无增减，主要原因是本年度无政府性基金预算财政拨款收入。本年支出0.00万元，与2023年度相比，无增减，主要原因是本年度无政府性基金预算财政拨款支出。本单位</w:t>
      </w:r>
      <w:r>
        <w:rPr>
          <w:rFonts w:hint="default" w:ascii="Times New Roman" w:hAnsi="Times New Roman" w:eastAsia="方正仿宋_GBK" w:cs="Times New Roman"/>
          <w:color w:val="auto"/>
          <w:sz w:val="32"/>
          <w:szCs w:val="32"/>
          <w:shd w:val="clear" w:color="auto" w:fill="FFFFFF"/>
          <w:lang w:val="en-US" w:eastAsia="zh-CN"/>
        </w:rPr>
        <w:t>2024年度无政府性基金预算财政拨款收支。</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eastAsia"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024年度国有资本经营预算财政拨本年支出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万元。本单位2024年度无国有资本经营预算财政拨款支出。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3" w:firstLineChars="200"/>
        <w:textAlignment w:val="auto"/>
        <w:rPr>
          <w:rStyle w:val="10"/>
          <w:rFonts w:hint="default" w:ascii="Times New Roman" w:hAnsi="Times New Roman" w:eastAsia="黑体" w:cs="Times New Roman"/>
          <w:color w:val="auto"/>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（一）“三公”经费支出总体情况说明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度“三公”经费支出共计</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万元，较年初预算数无增减，主要原因是</w:t>
      </w:r>
      <w:r>
        <w:rPr>
          <w:rFonts w:hint="default" w:ascii="Times New Roman" w:hAnsi="Times New Roman" w:eastAsia="方正仿宋_GBK" w:cs="Times New Roman"/>
          <w:color w:val="auto"/>
          <w:sz w:val="32"/>
          <w:szCs w:val="32"/>
          <w:shd w:val="clear" w:color="auto" w:fill="FFFFFF"/>
          <w:lang w:eastAsia="zh-CN"/>
        </w:rPr>
        <w:t>我单位</w:t>
      </w:r>
      <w:r>
        <w:rPr>
          <w:rFonts w:hint="default" w:ascii="Times New Roman" w:hAnsi="Times New Roman" w:eastAsia="方正仿宋_GBK" w:cs="Times New Roman"/>
          <w:color w:val="auto"/>
          <w:sz w:val="32"/>
          <w:szCs w:val="32"/>
          <w:shd w:val="clear" w:color="auto" w:fill="FFFFFF"/>
          <w:lang w:val="en-US" w:eastAsia="zh-CN"/>
        </w:rPr>
        <w:t>2024年未发生“三公”经费支出</w:t>
      </w:r>
      <w:r>
        <w:rPr>
          <w:rFonts w:hint="default" w:ascii="Times New Roman" w:hAnsi="Times New Roman" w:eastAsia="方正仿宋_GBK" w:cs="Times New Roman"/>
          <w:color w:val="auto"/>
          <w:sz w:val="32"/>
          <w:szCs w:val="32"/>
          <w:shd w:val="clear" w:color="auto" w:fill="FFFFFF"/>
        </w:rPr>
        <w:t>。较上年支出数无增减，主要原因是</w:t>
      </w:r>
      <w:r>
        <w:rPr>
          <w:rFonts w:hint="default" w:ascii="Times New Roman" w:hAnsi="Times New Roman" w:eastAsia="方正仿宋_GBK" w:cs="Times New Roman"/>
          <w:color w:val="auto"/>
          <w:sz w:val="32"/>
          <w:szCs w:val="32"/>
          <w:shd w:val="clear" w:color="auto" w:fill="FFFFFF"/>
          <w:lang w:eastAsia="zh-CN"/>
        </w:rPr>
        <w:t>我单位本年及上年均未发生“三公”经费支出。</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年度本单位因公出国（境）费用0.00万元。费用支出较年初预算数无增减，主要原因是年初预算数未安排因公出国（境）费用，也未发生因公出国（境）费用。较上年支出数无增减，主要原因是上年和本年均未发生因公出国（境）费用。</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 公务车购置费0.00万元。费用支出较年初预算数无增减，主要原因是年初预算数未安排且本年未发生公务车购置费用。较上年支出数无增减，主要原因是上年和本年均未发生公务车购置费用。</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 公务车运行维护费0.00万元。费用支出较年初预算数无增减，主要原因是年初预算数未安排且本年未发生公务车运行维护费用。较上年支出数无增减，主要原因是上年和本年均未发生公务车运行维护费用。</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 公务接待费0.00万元。费用支出较年初预算数无增减，主要原因是年初预算数未安排且本年未发生公务接待费用。较上年支出数无增减，主要原因是上年和本年均未发生公务接待费用。</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四、其他需要说明的事项</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（一）财政拨款会议费和培训费情况说明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eastAsia="zh-CN"/>
        </w:rPr>
        <w:t>上年和本年均未发生会议费支出</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0.22</w:t>
      </w:r>
      <w:r>
        <w:rPr>
          <w:rFonts w:hint="default" w:ascii="Times New Roman" w:hAnsi="Times New Roman" w:eastAsia="方正仿宋_GBK" w:cs="Times New Roman"/>
          <w:sz w:val="32"/>
          <w:szCs w:val="32"/>
          <w:shd w:val="clear" w:color="auto" w:fill="FFFFFF"/>
        </w:rPr>
        <w:t>万元，与2023年度相比，增加0.22万元，增长100.00%，主要原因是</w:t>
      </w:r>
      <w:r>
        <w:rPr>
          <w:rFonts w:hint="default" w:ascii="Times New Roman" w:hAnsi="Times New Roman" w:eastAsia="方正仿宋_GBK" w:cs="Times New Roman"/>
          <w:sz w:val="32"/>
          <w:szCs w:val="32"/>
          <w:shd w:val="clear" w:color="auto" w:fill="FFFFFF"/>
          <w:lang w:eastAsia="zh-CN"/>
        </w:rPr>
        <w:t>增加专技人员公需科目培训、事业人员在岗培训费用。</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2024年度本单位机关运行经费支出0.00万元，机关运行经费较上年支出数无增减，主要原因是按照部门决算列报口径，我单位不在机关运行经费统计范围之内。</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bookmarkStart w:id="0" w:name="_GoBack"/>
      <w:bookmarkEnd w:id="0"/>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度本单位政府采购支出总额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0.00万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度我单位未发生政府采购事项，无相关经费支出。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3" w:firstLineChars="200"/>
        <w:textAlignment w:val="auto"/>
        <w:rPr>
          <w:rStyle w:val="10"/>
          <w:rFonts w:hint="default" w:ascii="Times New Roman" w:hAnsi="Times New Roman" w:eastAsia="黑体" w:cs="Times New Roman"/>
          <w:sz w:val="32"/>
          <w:szCs w:val="32"/>
          <w:shd w:val="clear" w:color="auto" w:fill="FFFFFF"/>
        </w:rPr>
      </w:pPr>
      <w:r>
        <w:rPr>
          <w:rStyle w:val="10"/>
          <w:rFonts w:hint="eastAsia" w:ascii="黑体" w:hAnsi="黑体" w:eastAsia="黑体" w:cs="黑体"/>
          <w:sz w:val="32"/>
          <w:szCs w:val="32"/>
          <w:shd w:val="clear" w:color="auto" w:fill="FFFFFF"/>
          <w:lang w:val="en-US" w:eastAsia="zh-CN" w:bidi="ar-SA"/>
        </w:rPr>
        <w:t>五、2024年度预算绩效管理情况说明</w:t>
      </w:r>
    </w:p>
    <w:p>
      <w:pPr>
        <w:keepNext w:val="0"/>
        <w:keepLines w:val="0"/>
        <w:pageBreakBefore w:val="0"/>
        <w:kinsoku/>
        <w:wordWrap/>
        <w:overflowPunct/>
        <w:topLinePunct w:val="0"/>
        <w:autoSpaceDE w:val="0"/>
        <w:autoSpaceDN/>
        <w:bidi w:val="0"/>
        <w:spacing w:beforeAutospacing="0" w:afterAutospacing="0" w:line="594" w:lineRule="exact"/>
        <w:ind w:firstLine="643" w:firstLineChars="200"/>
        <w:rPr>
          <w:rFonts w:hint="default" w:ascii="Times New Roman" w:hAnsi="Times New Roman" w:eastAsia="楷体" w:cs="Times New Roman"/>
          <w:b/>
          <w:bCs/>
          <w:sz w:val="32"/>
          <w:szCs w:val="32"/>
          <w:shd w:val="clear" w:color="auto" w:fill="FFFFFF"/>
          <w:lang w:val="en-US" w:eastAsia="zh-CN" w:bidi="ar-SA"/>
        </w:rPr>
      </w:pPr>
      <w:r>
        <w:rPr>
          <w:rFonts w:hint="default" w:ascii="Times New Roman" w:hAnsi="Times New Roman" w:eastAsia="楷体" w:cs="Times New Roman"/>
          <w:b/>
          <w:bCs/>
          <w:sz w:val="32"/>
          <w:szCs w:val="32"/>
          <w:shd w:val="clear" w:color="auto" w:fill="FFFFFF"/>
          <w:lang w:val="en-US" w:eastAsia="zh-CN" w:bidi="ar-SA"/>
        </w:rPr>
        <w:t>（一）单位自评情况</w:t>
      </w:r>
    </w:p>
    <w:p>
      <w:pPr>
        <w:keepNext w:val="0"/>
        <w:keepLines w:val="0"/>
        <w:pageBreakBefore w:val="0"/>
        <w:kinsoku/>
        <w:wordWrap/>
        <w:overflowPunct/>
        <w:topLinePunct w:val="0"/>
        <w:autoSpaceDE w:val="0"/>
        <w:autoSpaceDN/>
        <w:bidi w:val="0"/>
        <w:spacing w:before="0" w:beforeAutospacing="0" w:after="0" w:afterAutospacing="0" w:line="594" w:lineRule="exact"/>
        <w:ind w:firstLine="640" w:firstLineChars="200"/>
        <w:rPr>
          <w:rFonts w:hint="eastAsia" w:ascii="Times New Roman" w:hAnsi="Times New Roman" w:eastAsia="方正仿宋_GBK" w:cs="Times New Roman"/>
          <w:sz w:val="32"/>
          <w:szCs w:val="32"/>
          <w:highlight w:val="yellow"/>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根据预算绩效管理要求，我单位对</w:t>
      </w:r>
      <w:r>
        <w:rPr>
          <w:rFonts w:hint="eastAsia" w:ascii="Times New Roman" w:hAnsi="Times New Roman" w:eastAsia="方正仿宋_GBK" w:cs="Times New Roman"/>
          <w:sz w:val="32"/>
          <w:szCs w:val="32"/>
          <w:shd w:val="clear" w:color="auto" w:fill="FFFFFF"/>
          <w:lang w:val="en-US" w:eastAsia="zh-CN" w:bidi="ar-SA"/>
        </w:rPr>
        <w:t>0</w:t>
      </w:r>
      <w:r>
        <w:rPr>
          <w:rFonts w:hint="default" w:ascii="Times New Roman" w:hAnsi="Times New Roman" w:eastAsia="方正仿宋_GBK" w:cs="Times New Roman"/>
          <w:sz w:val="32"/>
          <w:szCs w:val="32"/>
          <w:shd w:val="clear" w:color="auto" w:fill="FFFFFF"/>
          <w:lang w:val="en-US" w:eastAsia="zh-CN" w:bidi="ar-SA"/>
        </w:rPr>
        <w:t>个二级项目开展了绩效自评，涉及财政拨款项目支出资金</w:t>
      </w:r>
      <w:r>
        <w:rPr>
          <w:rFonts w:hint="eastAsia" w:ascii="Times New Roman" w:hAnsi="Times New Roman" w:eastAsia="方正仿宋_GBK" w:cs="Times New Roman"/>
          <w:sz w:val="32"/>
          <w:szCs w:val="32"/>
          <w:shd w:val="clear" w:color="auto" w:fill="FFFFFF"/>
          <w:lang w:val="en-US" w:eastAsia="zh-CN" w:bidi="ar-SA"/>
        </w:rPr>
        <w:t>0</w:t>
      </w:r>
      <w:r>
        <w:rPr>
          <w:rFonts w:hint="default" w:ascii="Times New Roman" w:hAnsi="Times New Roman" w:eastAsia="方正仿宋_GBK" w:cs="Times New Roman"/>
          <w:sz w:val="32"/>
          <w:szCs w:val="32"/>
          <w:shd w:val="clear" w:color="auto" w:fill="FFFFFF"/>
          <w:lang w:val="en-US" w:eastAsia="zh-CN" w:bidi="ar-SA"/>
        </w:rPr>
        <w:t>万元</w:t>
      </w:r>
      <w:r>
        <w:rPr>
          <w:rFonts w:hint="eastAsia" w:ascii="Times New Roman" w:hAnsi="Times New Roman" w:eastAsia="方正仿宋_GBK" w:cs="Times New Roman"/>
          <w:sz w:val="32"/>
          <w:szCs w:val="32"/>
          <w:shd w:val="clear" w:color="auto" w:fill="FFFFFF"/>
          <w:lang w:val="en-US" w:eastAsia="zh-CN" w:bidi="ar-SA"/>
        </w:rPr>
        <w:t>。</w:t>
      </w:r>
    </w:p>
    <w:p>
      <w:pPr>
        <w:keepNext w:val="0"/>
        <w:keepLines w:val="0"/>
        <w:pageBreakBefore w:val="0"/>
        <w:kinsoku/>
        <w:wordWrap/>
        <w:overflowPunct/>
        <w:topLinePunct w:val="0"/>
        <w:autoSpaceDE w:val="0"/>
        <w:autoSpaceDN/>
        <w:bidi w:val="0"/>
        <w:spacing w:beforeAutospacing="0" w:afterAutospacing="0" w:line="594" w:lineRule="exact"/>
        <w:ind w:firstLine="643" w:firstLineChars="200"/>
        <w:rPr>
          <w:rFonts w:hint="default" w:ascii="Times New Roman" w:hAnsi="Times New Roman" w:eastAsia="楷体" w:cs="Times New Roman"/>
          <w:b/>
          <w:bCs/>
          <w:sz w:val="32"/>
          <w:szCs w:val="32"/>
          <w:shd w:val="clear" w:color="auto" w:fill="FFFFFF"/>
          <w:lang w:val="en-US" w:eastAsia="zh-CN" w:bidi="ar-SA"/>
        </w:rPr>
      </w:pPr>
      <w:r>
        <w:rPr>
          <w:rFonts w:hint="default" w:ascii="Times New Roman" w:hAnsi="Times New Roman" w:eastAsia="楷体" w:cs="Times New Roman"/>
          <w:b/>
          <w:bCs/>
          <w:sz w:val="32"/>
          <w:szCs w:val="32"/>
          <w:shd w:val="clear" w:color="auto" w:fill="FFFFFF"/>
          <w:lang w:val="en-US" w:eastAsia="zh-CN" w:bidi="ar-SA"/>
        </w:rPr>
        <w:t>（二）单位绩效评价情况</w:t>
      </w:r>
    </w:p>
    <w:p>
      <w:pPr>
        <w:keepNext w:val="0"/>
        <w:keepLines w:val="0"/>
        <w:pageBreakBefore w:val="0"/>
        <w:kinsoku/>
        <w:wordWrap/>
        <w:overflowPunct/>
        <w:topLinePunct w:val="0"/>
        <w:autoSpaceDE w:val="0"/>
        <w:autoSpaceDN/>
        <w:bidi w:val="0"/>
        <w:spacing w:beforeAutospacing="0" w:afterAutospacing="0" w:line="594" w:lineRule="exact"/>
        <w:ind w:firstLine="640" w:firstLineChars="200"/>
        <w:rPr>
          <w:rFonts w:hint="eastAsia"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我单位</w:t>
      </w:r>
      <w:r>
        <w:rPr>
          <w:rFonts w:hint="eastAsia" w:ascii="Times New Roman" w:hAnsi="Times New Roman" w:eastAsia="方正仿宋_GBK" w:cs="Times New Roman"/>
          <w:sz w:val="32"/>
          <w:szCs w:val="32"/>
          <w:shd w:val="clear" w:color="auto" w:fill="FFFFFF"/>
          <w:lang w:val="en-US" w:eastAsia="zh-CN" w:bidi="ar-SA"/>
        </w:rPr>
        <w:t>未组织</w:t>
      </w:r>
      <w:r>
        <w:rPr>
          <w:rFonts w:hint="default" w:ascii="Times New Roman" w:hAnsi="Times New Roman" w:eastAsia="方正仿宋_GBK" w:cs="Times New Roman"/>
          <w:sz w:val="32"/>
          <w:szCs w:val="32"/>
          <w:shd w:val="clear" w:color="auto" w:fill="FFFFFF"/>
          <w:lang w:val="en-US" w:eastAsia="zh-CN" w:bidi="ar-SA"/>
        </w:rPr>
        <w:t>开</w:t>
      </w:r>
      <w:r>
        <w:rPr>
          <w:rFonts w:hint="eastAsia" w:ascii="Times New Roman" w:hAnsi="Times New Roman" w:eastAsia="方正仿宋_GBK" w:cs="Times New Roman"/>
          <w:sz w:val="32"/>
          <w:szCs w:val="32"/>
          <w:shd w:val="clear" w:color="auto" w:fill="FFFFFF"/>
          <w:lang w:val="en-US" w:eastAsia="zh-CN" w:bidi="ar-SA"/>
        </w:rPr>
        <w:t>展</w:t>
      </w:r>
      <w:r>
        <w:rPr>
          <w:rFonts w:hint="default" w:ascii="Times New Roman" w:hAnsi="Times New Roman" w:eastAsia="方正仿宋_GBK" w:cs="Times New Roman"/>
          <w:sz w:val="32"/>
          <w:szCs w:val="32"/>
          <w:shd w:val="clear" w:color="auto" w:fill="FFFFFF"/>
          <w:lang w:val="en-US" w:eastAsia="zh-CN" w:bidi="ar-SA"/>
        </w:rPr>
        <w:t>绩效评价</w:t>
      </w:r>
      <w:r>
        <w:rPr>
          <w:rFonts w:hint="eastAsia" w:ascii="Times New Roman" w:hAnsi="Times New Roman" w:eastAsia="方正仿宋_GBK" w:cs="Times New Roman"/>
          <w:sz w:val="32"/>
          <w:szCs w:val="32"/>
          <w:shd w:val="clear" w:color="auto" w:fill="FFFFFF"/>
          <w:lang w:val="en-US" w:eastAsia="zh-CN" w:bidi="ar-SA"/>
        </w:rPr>
        <w:t>。</w:t>
      </w:r>
    </w:p>
    <w:p>
      <w:pPr>
        <w:keepNext w:val="0"/>
        <w:keepLines w:val="0"/>
        <w:pageBreakBefore w:val="0"/>
        <w:kinsoku/>
        <w:wordWrap/>
        <w:overflowPunct/>
        <w:topLinePunct w:val="0"/>
        <w:autoSpaceDE w:val="0"/>
        <w:autoSpaceDN/>
        <w:bidi w:val="0"/>
        <w:spacing w:beforeAutospacing="0" w:afterAutospacing="0" w:line="594" w:lineRule="exact"/>
        <w:ind w:firstLine="643" w:firstLineChars="200"/>
        <w:rPr>
          <w:rFonts w:hint="default" w:ascii="Times New Roman" w:hAnsi="Times New Roman" w:eastAsia="楷体" w:cs="Times New Roman"/>
          <w:b/>
          <w:bCs/>
          <w:sz w:val="32"/>
          <w:szCs w:val="32"/>
          <w:shd w:val="clear" w:color="auto" w:fill="FFFFFF"/>
          <w:lang w:val="en-US" w:eastAsia="zh-CN" w:bidi="ar-SA"/>
        </w:rPr>
      </w:pPr>
      <w:r>
        <w:rPr>
          <w:rFonts w:hint="default" w:ascii="Times New Roman" w:hAnsi="Times New Roman" w:eastAsia="楷体" w:cs="Times New Roman"/>
          <w:b/>
          <w:bCs/>
          <w:sz w:val="32"/>
          <w:szCs w:val="32"/>
          <w:shd w:val="clear" w:color="auto" w:fill="FFFFFF"/>
          <w:lang w:val="en-US" w:eastAsia="zh-CN" w:bidi="ar-SA"/>
        </w:rPr>
        <w:t>（三）财政绩效评价情况</w:t>
      </w:r>
    </w:p>
    <w:p>
      <w:pPr>
        <w:keepNext w:val="0"/>
        <w:keepLines w:val="0"/>
        <w:pageBreakBefore w:val="0"/>
        <w:kinsoku/>
        <w:wordWrap/>
        <w:overflowPunct/>
        <w:topLinePunct w:val="0"/>
        <w:autoSpaceDE w:val="0"/>
        <w:autoSpaceDN/>
        <w:bidi w:val="0"/>
        <w:spacing w:beforeAutospacing="0" w:afterAutospacing="0" w:line="594" w:lineRule="exact"/>
        <w:ind w:firstLine="640" w:firstLineChars="200"/>
        <w:rPr>
          <w:rFonts w:hint="eastAsia"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市财政局</w:t>
      </w:r>
      <w:r>
        <w:rPr>
          <w:rFonts w:hint="eastAsia" w:ascii="Times New Roman" w:hAnsi="Times New Roman" w:eastAsia="方正仿宋_GBK" w:cs="Times New Roman"/>
          <w:sz w:val="32"/>
          <w:szCs w:val="32"/>
          <w:shd w:val="clear" w:color="auto" w:fill="FFFFFF"/>
          <w:lang w:val="en-US" w:eastAsia="zh-CN" w:bidi="ar-SA"/>
        </w:rPr>
        <w:t>未</w:t>
      </w:r>
      <w:r>
        <w:rPr>
          <w:rFonts w:hint="default" w:ascii="Times New Roman" w:hAnsi="Times New Roman" w:eastAsia="方正仿宋_GBK" w:cs="Times New Roman"/>
          <w:sz w:val="32"/>
          <w:szCs w:val="32"/>
          <w:shd w:val="clear" w:color="auto" w:fill="FFFFFF"/>
          <w:lang w:val="en-US" w:eastAsia="zh-CN" w:bidi="ar-SA"/>
        </w:rPr>
        <w:t>委托第三方对我单位开展绩效评价</w:t>
      </w:r>
      <w:r>
        <w:rPr>
          <w:rFonts w:hint="eastAsia" w:ascii="Times New Roman" w:hAnsi="Times New Roman" w:eastAsia="方正仿宋_GBK" w:cs="Times New Roman"/>
          <w:sz w:val="32"/>
          <w:szCs w:val="32"/>
          <w:shd w:val="clear" w:color="auto" w:fill="FFFFFF"/>
          <w:lang w:val="en-US" w:eastAsia="zh-CN" w:bidi="ar-SA"/>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3" w:firstLineChars="200"/>
        <w:textAlignment w:val="auto"/>
        <w:rPr>
          <w:rStyle w:val="10"/>
          <w:rFonts w:hint="default" w:ascii="Times New Roman" w:hAnsi="Times New Roman" w:eastAsia="黑体" w:cs="Times New Roman"/>
          <w:sz w:val="32"/>
          <w:szCs w:val="32"/>
          <w:shd w:val="clear" w:color="auto" w:fill="FFFFFF"/>
          <w:lang w:val="en-US" w:eastAsia="zh-CN"/>
        </w:rPr>
      </w:pPr>
      <w:r>
        <w:rPr>
          <w:rStyle w:val="10"/>
          <w:rFonts w:hint="default" w:ascii="Times New Roman" w:hAnsi="Times New Roman" w:eastAsia="黑体" w:cs="Times New Roman"/>
          <w:sz w:val="32"/>
          <w:szCs w:val="32"/>
          <w:shd w:val="clear" w:color="auto" w:fill="FFFFFF"/>
          <w:lang w:val="en-US" w:eastAsia="zh-CN"/>
        </w:rPr>
        <w:t>  六、专业名词解释</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shd w:val="clear" w:color="auto" w:fill="FFFFFF"/>
        </w:rPr>
        <w:t> </w:t>
      </w:r>
      <w:r>
        <w:rPr>
          <w:rFonts w:hint="default" w:ascii="Times New Roman" w:hAnsi="Times New Roman" w:eastAsia="楷体" w:cs="Times New Roman"/>
          <w:b/>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（二）事业收入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（三）经营收入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（四）其他收入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（七）结余分配</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（九）基本支出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（十）项目支出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（十一）经营支出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（十二）“三公”经费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（十六）对个人和家庭的补助（支出经济分类科目类级）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94" w:lineRule="exact"/>
        <w:ind w:firstLine="643" w:firstLineChars="200"/>
        <w:textAlignment w:val="auto"/>
        <w:rPr>
          <w:rStyle w:val="10"/>
          <w:rFonts w:hint="default" w:ascii="Times New Roman" w:hAnsi="Times New Roman" w:eastAsia="方正仿宋_GBK" w:cs="Times New Roman"/>
          <w:color w:val="auto"/>
          <w:sz w:val="32"/>
          <w:szCs w:val="32"/>
          <w:shd w:val="clear" w:color="auto" w:fill="FFFFFF"/>
        </w:rPr>
      </w:pPr>
      <w:r>
        <w:rPr>
          <w:rStyle w:val="10"/>
          <w:rFonts w:hint="default" w:ascii="Times New Roman" w:hAnsi="Times New Roman" w:eastAsia="黑体" w:cs="Times New Roman"/>
          <w:sz w:val="32"/>
          <w:szCs w:val="32"/>
          <w:shd w:val="clear" w:color="auto" w:fill="FFFFFF"/>
        </w:rPr>
        <w:t>七</w:t>
      </w:r>
      <w:r>
        <w:rPr>
          <w:rStyle w:val="10"/>
          <w:rFonts w:hint="default" w:ascii="Times New Roman" w:hAnsi="Times New Roman" w:eastAsia="黑体" w:cs="Times New Roman"/>
          <w:color w:val="auto"/>
          <w:sz w:val="32"/>
          <w:szCs w:val="32"/>
          <w:shd w:val="clear" w:color="auto" w:fill="FFFFFF"/>
        </w:rPr>
        <w:t>、决算公开联系方式及信息反馈渠道</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rPr>
        <w:t>本单位决算公开信息反馈和联系方式：</w:t>
      </w:r>
      <w:r>
        <w:rPr>
          <w:rFonts w:hint="eastAsia" w:ascii="Times New Roman" w:hAnsi="Times New Roman" w:eastAsia="方正仿宋_GBK" w:cs="Times New Roman"/>
          <w:color w:val="auto"/>
          <w:sz w:val="32"/>
          <w:szCs w:val="32"/>
          <w:shd w:val="clear" w:color="auto" w:fill="FFFFFF"/>
          <w:lang w:val="en-US" w:eastAsia="zh-CN"/>
        </w:rPr>
        <w:t>023-74582700。</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Times New Roman" w:hAnsi="Times New Roman" w:eastAsia="方正仿宋_GBK" w:cs="Times New Roman"/>
          <w:color w:val="auto"/>
          <w:sz w:val="32"/>
          <w:szCs w:val="32"/>
          <w:shd w:val="clear" w:color="auto" w:fill="FFFFFF"/>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Chars="0" w:right="0" w:rightChars="0" w:firstLine="643" w:firstLineChars="200"/>
        <w:jc w:val="left"/>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垫江县鹤游镇劳动就业和社会保障服务所</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116.32</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106.58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116.32</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116.32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116.32</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116.32</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18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垫江县鹤游镇劳动就业和社会保障服务所</w:t>
            </w: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18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8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116.32</w:t>
            </w:r>
            <w:r>
              <w:rPr>
                <w:rFonts w:ascii="Times New Roman" w:hAnsi="Times New Roman"/>
                <w:b/>
                <w:color w:val="000000"/>
                <w:sz w:val="20"/>
                <w:u w:color="auto"/>
              </w:rPr>
              <w:t xml:space="preserve"> </w:t>
            </w:r>
          </w:p>
        </w:tc>
        <w:tc>
          <w:tcPr>
            <w:tcW w:w="13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116.32</w:t>
            </w:r>
            <w:r>
              <w:rPr>
                <w:rFonts w:ascii="Times New Roman" w:hAnsi="Times New Roman"/>
                <w:b/>
                <w:color w:val="000000"/>
                <w:sz w:val="20"/>
                <w:u w:color="auto"/>
              </w:rPr>
              <w:t xml:space="preserve"> </w:t>
            </w:r>
          </w:p>
        </w:tc>
        <w:tc>
          <w:tcPr>
            <w:tcW w:w="11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106.58</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106.58</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72.00</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72.00</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72.00</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72.00</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34.58</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34.58</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15.40</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15.40</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7.75</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7.75</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11.44</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11.44</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6.40</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6.40</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6.40</w:t>
            </w:r>
            <w:r>
              <w:rPr>
                <w:rFonts w:ascii="Times New Roman" w:hAnsi="Times New Roman"/>
                <w:b/>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6.40</w:t>
            </w:r>
            <w:r>
              <w:rPr>
                <w:rFonts w:ascii="Times New Roman" w:hAnsi="Times New Roman"/>
                <w:b/>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w:t>
            </w:r>
            <w:r>
              <w:rPr>
                <w:rFonts w:ascii="Times New Roman" w:hAnsi="Times New Roman"/>
                <w:color w:val="000000"/>
                <w:sz w:val="20"/>
                <w:u w:color="auto"/>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w:t>
            </w:r>
            <w:r>
              <w:rPr>
                <w:rFonts w:ascii="Times New Roman" w:hAnsi="Times New Roman"/>
                <w:color w:val="000000"/>
                <w:sz w:val="20"/>
                <w:u w:color="auto"/>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垫江县鹤游镇劳动就业和社会保障服务所 </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116.32</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116.32</w:t>
            </w:r>
            <w:r>
              <w:rPr>
                <w:rFonts w:ascii="Times New Roman" w:hAnsi="Times New Roman"/>
                <w:b/>
                <w:color w:val="000000"/>
                <w:sz w:val="20"/>
                <w:u w:color="auto"/>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106.58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106.58</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34.58</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7.75</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7.75</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11.44</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11.44</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3.33</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3.33</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6.40</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6.40</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垫江县鹤游镇劳动就业和社会保障服务所</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116.32</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106.58</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106.58</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6.40</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6.40</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116.32</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116.32</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116.32</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116.32</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116.32</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116.32</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垫江县鹤游镇劳动就业和社会保障服务所</w:t>
            </w: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116.32</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116.32</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106.58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106.58</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72.00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72.00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72.00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72.00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34.58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34.58</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7.75</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7.75</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11.44</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11.44</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3.33</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3.33</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6.40</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6.40</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6.40</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6.40</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垫江县鹤游镇劳动就业和社会保障服务所</w:t>
            </w: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99.68</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5.19</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17.69</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3.33</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44.21</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7.75</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3.33</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0.88</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0.59</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11.44</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10.64</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0.42</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111.12</w:t>
            </w:r>
            <w:r>
              <w:rPr>
                <w:rFonts w:ascii="Times New Roman" w:hAnsi="Times New Roman"/>
                <w:color w:val="000000"/>
                <w:sz w:val="18"/>
                <w:u w:color="auto"/>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5.19</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垫江县鹤游镇劳动就业和社会保障服务所</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垫江县鹤游镇劳动就业和社会保障服务所</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90"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垫江县鹤游镇劳动就业和社会保障服务所</w:t>
            </w:r>
          </w:p>
        </w:tc>
        <w:tc>
          <w:tcPr>
            <w:tcW w:w="23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0.22</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3.44</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895A28"/>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E5306FF"/>
    <w:rsid w:val="0F836721"/>
    <w:rsid w:val="0FA25D96"/>
    <w:rsid w:val="107B59E5"/>
    <w:rsid w:val="10EC0126"/>
    <w:rsid w:val="10F70B9A"/>
    <w:rsid w:val="111445C7"/>
    <w:rsid w:val="114278C6"/>
    <w:rsid w:val="1158083A"/>
    <w:rsid w:val="11643A4B"/>
    <w:rsid w:val="11ED0F98"/>
    <w:rsid w:val="11F03528"/>
    <w:rsid w:val="12B91CE7"/>
    <w:rsid w:val="12C921C4"/>
    <w:rsid w:val="12CF21EA"/>
    <w:rsid w:val="13871C70"/>
    <w:rsid w:val="13A71CB4"/>
    <w:rsid w:val="13AF1D43"/>
    <w:rsid w:val="13CE1647"/>
    <w:rsid w:val="13CF6FDF"/>
    <w:rsid w:val="13FD55AB"/>
    <w:rsid w:val="14200702"/>
    <w:rsid w:val="15BD78C1"/>
    <w:rsid w:val="163A6CEE"/>
    <w:rsid w:val="173708E3"/>
    <w:rsid w:val="17C374FC"/>
    <w:rsid w:val="182E4AB6"/>
    <w:rsid w:val="189079DC"/>
    <w:rsid w:val="189B0D0B"/>
    <w:rsid w:val="18B43F7C"/>
    <w:rsid w:val="194A1770"/>
    <w:rsid w:val="19B906A4"/>
    <w:rsid w:val="1A16754A"/>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4C42A11"/>
    <w:rsid w:val="34EE5B64"/>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124ED"/>
    <w:rsid w:val="3DDF3AB1"/>
    <w:rsid w:val="3E1D0952"/>
    <w:rsid w:val="3E42660A"/>
    <w:rsid w:val="3E7555B1"/>
    <w:rsid w:val="3E787ED9"/>
    <w:rsid w:val="3F032E93"/>
    <w:rsid w:val="3F0527E5"/>
    <w:rsid w:val="3F694D83"/>
    <w:rsid w:val="3F885DCC"/>
    <w:rsid w:val="3FCD675E"/>
    <w:rsid w:val="4004000C"/>
    <w:rsid w:val="4064322A"/>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506346"/>
    <w:rsid w:val="54861779"/>
    <w:rsid w:val="552256E1"/>
    <w:rsid w:val="554E5773"/>
    <w:rsid w:val="555829E0"/>
    <w:rsid w:val="555A3CBC"/>
    <w:rsid w:val="5582012B"/>
    <w:rsid w:val="558E4E05"/>
    <w:rsid w:val="55BE2E85"/>
    <w:rsid w:val="56530F5D"/>
    <w:rsid w:val="567700D3"/>
    <w:rsid w:val="56FF7E9E"/>
    <w:rsid w:val="578867FC"/>
    <w:rsid w:val="5842572D"/>
    <w:rsid w:val="5919721D"/>
    <w:rsid w:val="5A3B59D6"/>
    <w:rsid w:val="5AD134D8"/>
    <w:rsid w:val="5AD65639"/>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9B7C7B"/>
    <w:rsid w:val="65C031CA"/>
    <w:rsid w:val="65CE6852"/>
    <w:rsid w:val="66267C04"/>
    <w:rsid w:val="663F505A"/>
    <w:rsid w:val="66EE5541"/>
    <w:rsid w:val="672D5683"/>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ABE439B"/>
    <w:rsid w:val="7B420052"/>
    <w:rsid w:val="7B494B3C"/>
    <w:rsid w:val="7B6424B0"/>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BE9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5436</Words>
  <Characters>6357</Characters>
  <Lines>190</Lines>
  <Paragraphs>53</Paragraphs>
  <TotalTime>0</TotalTime>
  <ScaleCrop>false</ScaleCrop>
  <LinksUpToDate>false</LinksUpToDate>
  <CharactersWithSpaces>6551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汪涛</cp:lastModifiedBy>
  <dcterms:modified xsi:type="dcterms:W3CDTF">2025-09-18T02:02:46Z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