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垫江县鹤游镇农业服务中心</w:t>
      </w:r>
    </w:p>
    <w:p>
      <w:pPr>
        <w:pStyle w:val="6"/>
        <w:keepNext w:val="0"/>
        <w:keepLines w:val="0"/>
        <w:pageBreakBefore w:val="0"/>
        <w:kinsoku/>
        <w:wordWrap/>
        <w:overflowPunct/>
        <w:topLinePunct w:val="0"/>
        <w:autoSpaceDN/>
        <w:bidi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spacing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推广先进农业技术，促进农业发展。主要职责：负责农业技术的引进、示范与推广。负责动植物病虫害、农业灾情的监测、预报、防治。负责农业生态环境和农业投入品使用监测。承担农产品、水产种苗、水产品质量安全监管公共 服务等工作。依法实施行政区域内动物疫病的防疫、强制免疫和承 担动物、动物产品的检疫工作，负责实施动物疫情调查、动物疫病监测、动物疫情报告和畜禽圈舍等环境的消毒工作。负责农业公共信息服务和实用技术培训等工作。</w:t>
      </w:r>
    </w:p>
    <w:p>
      <w:pPr>
        <w:keepNext w:val="0"/>
        <w:keepLines w:val="0"/>
        <w:pageBreakBefore w:val="0"/>
        <w:shd w:val="clear" w:color="auto" w:fill="FFFFFF"/>
        <w:kinsoku/>
        <w:wordWrap/>
        <w:overflowPunct/>
        <w:topLinePunct w:val="0"/>
        <w:autoSpaceDN/>
        <w:bidi w:val="0"/>
        <w:spacing w:before="0" w:beforeAutospacing="0" w:after="0" w:afterAutospacing="0" w:line="594" w:lineRule="exact"/>
        <w:ind w:left="0" w:firstLine="643" w:firstLineChars="200"/>
        <w:rPr>
          <w:rFonts w:hint="default" w:ascii="Times New Roman" w:hAnsi="Times New Roman" w:eastAsia="楷体" w:cs="Times New Roman"/>
          <w:sz w:val="32"/>
          <w:szCs w:val="32"/>
          <w:lang w:val="en-US" w:eastAsia="zh-CN" w:bidi="ar-SA"/>
        </w:rPr>
      </w:pPr>
      <w:r>
        <w:rPr>
          <w:rStyle w:val="10"/>
          <w:rFonts w:hint="default" w:ascii="Times New Roman" w:hAnsi="Times New Roman" w:eastAsia="楷体" w:cs="Times New Roman"/>
          <w:sz w:val="32"/>
          <w:szCs w:val="32"/>
          <w:shd w:val="clear" w:color="auto" w:fill="FFFFFF"/>
          <w:lang w:val="en-US" w:eastAsia="zh-CN" w:bidi="ar-SA"/>
        </w:rPr>
        <w:t>（二）机构设置</w:t>
      </w:r>
    </w:p>
    <w:p>
      <w:pPr>
        <w:keepNext w:val="0"/>
        <w:keepLines w:val="0"/>
        <w:pageBreakBefore w:val="0"/>
        <w:shd w:val="clear" w:color="auto" w:fill="FFFFFF"/>
        <w:kinsoku/>
        <w:wordWrap/>
        <w:overflowPunct/>
        <w:topLinePunct w:val="0"/>
        <w:autoSpaceDN/>
        <w:bidi w:val="0"/>
        <w:spacing w:before="0" w:beforeAutospacing="0" w:after="0" w:afterAutospacing="0" w:line="594" w:lineRule="exact"/>
        <w:ind w:left="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1.事业单位1个。农业服务中心。</w:t>
      </w:r>
    </w:p>
    <w:p>
      <w:pPr>
        <w:keepNext w:val="0"/>
        <w:keepLines w:val="0"/>
        <w:pageBreakBefore w:val="0"/>
        <w:shd w:val="clear" w:color="auto" w:fill="FFFFFF"/>
        <w:kinsoku/>
        <w:wordWrap/>
        <w:overflowPunct/>
        <w:topLinePunct w:val="0"/>
        <w:autoSpaceDN/>
        <w:bidi w:val="0"/>
        <w:spacing w:before="0" w:beforeAutospacing="0" w:after="0" w:afterAutospacing="0" w:line="594" w:lineRule="exact"/>
        <w:ind w:left="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2.人员情况：2024年末垫江县鹤游镇农业服务中心编制6人，实有在职职工6人。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度收入总计167.43万元，支出总计</w:t>
      </w:r>
      <w:r>
        <w:rPr>
          <w:rFonts w:hint="default" w:ascii="Times New Roman" w:hAnsi="Times New Roman" w:eastAsia="方正仿宋_GBK" w:cs="Times New Roman"/>
          <w:sz w:val="32"/>
          <w:szCs w:val="32"/>
        </w:rPr>
        <w:t>167.43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与2023年度相比，减少53.96万元，下降24.37%，主要原因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本年度项目收支减少。</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度收入合计167.43万元，与2023年度相比，减少53.96万元，下降24.37%，主要原因是</w:t>
      </w:r>
      <w:r>
        <w:rPr>
          <w:rFonts w:hint="default" w:ascii="Times New Roman" w:hAnsi="Times New Roman" w:eastAsia="方正仿宋_GBK" w:cs="Times New Roman"/>
          <w:color w:val="auto"/>
          <w:sz w:val="32"/>
          <w:szCs w:val="32"/>
          <w:shd w:val="clear" w:color="auto" w:fill="FFFFFF"/>
          <w:lang w:eastAsia="zh-CN"/>
        </w:rPr>
        <w:t>本年度项目</w:t>
      </w:r>
      <w:r>
        <w:rPr>
          <w:rFonts w:hint="eastAsia"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167.43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167.43</w:t>
      </w:r>
      <w:r>
        <w:rPr>
          <w:rFonts w:hint="default" w:ascii="Times New Roman" w:hAnsi="Times New Roman" w:eastAsia="方正仿宋_GBK" w:cs="Times New Roman"/>
          <w:sz w:val="32"/>
          <w:szCs w:val="32"/>
          <w:shd w:val="clear" w:color="auto" w:fill="FFFFFF"/>
        </w:rPr>
        <w:t>万元，与2023年度相比，减少53.96万元，下降24.37%，主</w:t>
      </w:r>
      <w:r>
        <w:rPr>
          <w:rFonts w:hint="default" w:ascii="Times New Roman" w:hAnsi="Times New Roman" w:eastAsia="方正仿宋_GBK" w:cs="Times New Roman"/>
          <w:color w:val="auto"/>
          <w:sz w:val="32"/>
          <w:szCs w:val="32"/>
          <w:shd w:val="clear" w:color="auto" w:fill="FFFFFF"/>
        </w:rPr>
        <w:t>要原因是</w:t>
      </w:r>
      <w:r>
        <w:rPr>
          <w:rFonts w:hint="default" w:ascii="Times New Roman" w:hAnsi="Times New Roman" w:eastAsia="方正仿宋_GBK" w:cs="Times New Roman"/>
          <w:color w:val="auto"/>
          <w:sz w:val="32"/>
          <w:szCs w:val="32"/>
          <w:shd w:val="clear" w:color="auto" w:fill="FFFFFF"/>
          <w:lang w:eastAsia="zh-CN"/>
        </w:rPr>
        <w:t>本年度项目支出减少</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167.43</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方正仿宋_GBK" w:cs="Times New Roman"/>
          <w:color w:val="auto"/>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上年和本年均无结转结余。</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总计167.43万元。与202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总计各减少53.96万元，下降24.37%。主要原因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本年度项目</w:t>
      </w:r>
      <w:r>
        <w:rPr>
          <w:rFonts w:hint="eastAsia" w:ascii="Times New Roman" w:hAnsi="Times New Roman" w:eastAsia="方正仿宋_GBK" w:cs="Times New Roman"/>
          <w:color w:val="auto"/>
          <w:sz w:val="32"/>
          <w:szCs w:val="32"/>
          <w:shd w:val="clear" w:color="auto" w:fill="FFFFFF"/>
          <w:lang w:eastAsia="zh-CN"/>
        </w:rPr>
        <w:t>收支</w:t>
      </w:r>
      <w:r>
        <w:rPr>
          <w:rFonts w:hint="default"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167.43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，与2023年度相比，减少53.96万元，下降24.37%。主要原因是</w:t>
      </w:r>
      <w:r>
        <w:rPr>
          <w:rFonts w:hint="default" w:ascii="Times New Roman" w:hAnsi="Times New Roman" w:eastAsia="方正仿宋_GBK" w:cs="Times New Roman"/>
          <w:color w:val="auto"/>
          <w:sz w:val="32"/>
          <w:szCs w:val="32"/>
          <w:shd w:val="clear" w:color="auto" w:fill="FFFFFF"/>
          <w:lang w:eastAsia="zh-CN"/>
        </w:rPr>
        <w:t>本年度项目</w:t>
      </w:r>
      <w:r>
        <w:rPr>
          <w:rFonts w:hint="eastAsia"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较年初预算数增加21.15万元，增长14.46%。主要原因是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此</w:t>
      </w:r>
      <w:r>
        <w:rPr>
          <w:rFonts w:hint="default" w:ascii="Times New Roman" w:hAnsi="Times New Roman" w:eastAsia="方正仿宋_GBK" w:cs="Times New Roman"/>
          <w:color w:val="auto"/>
          <w:sz w:val="32"/>
          <w:szCs w:val="32"/>
          <w:shd w:val="clear" w:color="auto" w:fill="FFFFFF"/>
        </w:rPr>
        <w:t>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167.43</w:t>
      </w:r>
      <w:r>
        <w:rPr>
          <w:rFonts w:hint="default" w:ascii="Times New Roman" w:hAnsi="Times New Roman" w:eastAsia="方正仿宋_GBK" w:cs="Times New Roman"/>
          <w:color w:val="auto"/>
          <w:sz w:val="32"/>
          <w:szCs w:val="32"/>
          <w:shd w:val="clear" w:color="auto" w:fill="FFFFFF"/>
        </w:rPr>
        <w:t>万元，与2023年度相比，减少53.96万元，下降24.</w:t>
      </w:r>
      <w:r>
        <w:rPr>
          <w:rFonts w:hint="default" w:ascii="Times New Roman" w:hAnsi="Times New Roman" w:eastAsia="方正仿宋_GBK" w:cs="Times New Roman"/>
          <w:sz w:val="32"/>
          <w:szCs w:val="32"/>
          <w:shd w:val="clear" w:color="auto" w:fill="FFFFFF"/>
        </w:rPr>
        <w:t>37%。主要原因是</w:t>
      </w:r>
      <w:r>
        <w:rPr>
          <w:rFonts w:hint="eastAsia" w:ascii="Times New Roman" w:hAnsi="Times New Roman" w:eastAsia="方正仿宋_GBK" w:cs="Times New Roman"/>
          <w:sz w:val="32"/>
          <w:szCs w:val="32"/>
          <w:shd w:val="clear" w:color="auto" w:fill="FFFFFF"/>
          <w:lang w:eastAsia="zh-CN"/>
        </w:rPr>
        <w:t>本年度项目支出减少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较年初预算数增加21.15万元，增长14.46%。主要原因是</w:t>
      </w:r>
      <w:r>
        <w:rPr>
          <w:rFonts w:hint="eastAsia"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eastAsia"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Times New Roman" w:hAnsi="Times New Roman" w:eastAsia="方正仿宋_GBK" w:cs="Times New Roman"/>
          <w:sz w:val="32"/>
          <w:szCs w:val="32"/>
          <w:shd w:val="clear" w:color="auto" w:fill="FFFFFF"/>
          <w:lang w:eastAsia="zh-CN"/>
        </w:rPr>
        <w:t>上年和本年均无结转结余。</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45.81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27.36</w:t>
      </w:r>
      <w:r>
        <w:rPr>
          <w:rFonts w:hint="default" w:ascii="Times New Roman" w:hAnsi="Times New Roman" w:eastAsia="方正仿宋_GBK" w:cs="Times New Roman"/>
          <w:sz w:val="32"/>
          <w:szCs w:val="32"/>
          <w:shd w:val="clear" w:color="auto" w:fill="FFFFFF"/>
        </w:rPr>
        <w:t>%，较年初预算数增加21.01万元，增长84.72%，主要原因是</w:t>
      </w:r>
      <w:r>
        <w:rPr>
          <w:rFonts w:hint="eastAsia" w:ascii="Times New Roman" w:hAnsi="Times New Roman" w:eastAsia="方正仿宋_GBK" w:cs="Times New Roman"/>
          <w:color w:val="auto"/>
          <w:sz w:val="32"/>
          <w:szCs w:val="32"/>
          <w:shd w:val="clear" w:color="auto" w:fill="FFFFFF"/>
          <w:lang w:eastAsia="zh-CN"/>
        </w:rPr>
        <w:t>补缴事业人员养老保险、职业年金等费用。</w:t>
      </w:r>
    </w:p>
    <w:p>
      <w:pPr>
        <w:keepNext w:val="0"/>
        <w:keepLines w:val="0"/>
        <w:pageBreakBefore w:val="0"/>
        <w:kinsoku/>
        <w:wordWrap/>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5.53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3.30</w:t>
      </w:r>
      <w:r>
        <w:rPr>
          <w:rFonts w:hint="default" w:ascii="Times New Roman" w:hAnsi="Times New Roman" w:eastAsia="方正仿宋_GBK" w:cs="Times New Roman"/>
          <w:color w:val="auto"/>
          <w:sz w:val="32"/>
          <w:szCs w:val="32"/>
          <w:shd w:val="clear" w:color="auto" w:fill="FFFFFF"/>
        </w:rPr>
        <w:t>%，较年初预算数减少0.04万元，下降0.72%，主要原因是</w:t>
      </w:r>
      <w:r>
        <w:rPr>
          <w:rFonts w:hint="eastAsia" w:ascii="Times New Roman" w:hAnsi="Times New Roman" w:eastAsia="方正仿宋_GBK" w:cs="Times New Roman"/>
          <w:color w:val="auto"/>
          <w:sz w:val="32"/>
          <w:szCs w:val="32"/>
          <w:shd w:val="clear" w:color="auto" w:fill="FFFFFF"/>
          <w:lang w:eastAsia="zh-CN"/>
        </w:rPr>
        <w:t>事业人员</w:t>
      </w:r>
      <w:r>
        <w:rPr>
          <w:rFonts w:hint="default" w:ascii="Times New Roman" w:hAnsi="Times New Roman" w:eastAsia="方正仿宋_GBK" w:cs="Times New Roman"/>
          <w:color w:val="auto"/>
          <w:sz w:val="32"/>
          <w:szCs w:val="32"/>
          <w:shd w:val="clear" w:color="auto" w:fill="FFFFFF"/>
          <w:lang w:eastAsia="zh-CN"/>
        </w:rPr>
        <w:t>医疗保险</w:t>
      </w:r>
      <w:r>
        <w:rPr>
          <w:rFonts w:hint="eastAsia" w:ascii="Times New Roman" w:hAnsi="Times New Roman" w:eastAsia="方正仿宋_GBK" w:cs="Times New Roman"/>
          <w:color w:val="auto"/>
          <w:sz w:val="32"/>
          <w:szCs w:val="32"/>
          <w:shd w:val="clear" w:color="auto" w:fill="FFFFFF"/>
          <w:lang w:eastAsia="zh-CN"/>
        </w:rPr>
        <w:t>费用</w:t>
      </w:r>
      <w:r>
        <w:rPr>
          <w:rFonts w:hint="default" w:ascii="Times New Roman" w:hAnsi="Times New Roman" w:eastAsia="方正仿宋_GBK" w:cs="Times New Roman"/>
          <w:color w:val="auto"/>
          <w:sz w:val="32"/>
          <w:szCs w:val="32"/>
          <w:shd w:val="clear" w:color="auto" w:fill="FFFFFF"/>
          <w:lang w:eastAsia="zh-CN"/>
        </w:rPr>
        <w:t>支出减少</w:t>
      </w:r>
      <w:r>
        <w:rPr>
          <w:rFonts w:hint="eastAsia" w:ascii="Times New Roman" w:hAnsi="Times New Roman" w:eastAsia="方正仿宋_GBK" w:cs="Times New Roman"/>
          <w:color w:val="auto"/>
          <w:sz w:val="32"/>
          <w:szCs w:val="32"/>
          <w:shd w:val="clear" w:color="auto" w:fill="FFFFFF"/>
          <w:lang w:eastAsia="zh-CN"/>
        </w:rPr>
        <w:t>。</w:t>
      </w:r>
    </w:p>
    <w:p>
      <w:pPr>
        <w:keepNext w:val="0"/>
        <w:keepLines w:val="0"/>
        <w:pageBreakBefore w:val="0"/>
        <w:kinsoku/>
        <w:wordWrap/>
        <w:overflowPunct/>
        <w:topLinePunct w:val="0"/>
        <w:autoSpaceDN/>
        <w:bidi w:val="0"/>
        <w:spacing w:beforeAutospacing="0" w:afterAutospacing="0" w:line="594" w:lineRule="exact"/>
        <w:ind w:firstLine="640" w:firstLineChars="200"/>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106.42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63.56</w:t>
      </w:r>
      <w:r>
        <w:rPr>
          <w:rFonts w:hint="default" w:ascii="Times New Roman" w:hAnsi="Times New Roman" w:eastAsia="方正仿宋_GBK" w:cs="Times New Roman"/>
          <w:color w:val="auto"/>
          <w:sz w:val="32"/>
          <w:szCs w:val="32"/>
          <w:shd w:val="clear" w:color="auto" w:fill="FFFFFF"/>
        </w:rPr>
        <w:t>%，较年初预算数减少2.81万元，下降2.57%，主要原因是</w:t>
      </w:r>
      <w:r>
        <w:rPr>
          <w:rFonts w:hint="eastAsia" w:ascii="Times New Roman" w:hAnsi="Times New Roman" w:eastAsia="方正仿宋_GBK" w:cs="Times New Roman"/>
          <w:color w:val="auto"/>
          <w:sz w:val="32"/>
          <w:szCs w:val="32"/>
          <w:shd w:val="clear" w:color="auto" w:fill="FFFFFF"/>
          <w:lang w:eastAsia="zh-CN"/>
        </w:rPr>
        <w:t>本年度减少项目支出。</w:t>
      </w:r>
    </w:p>
    <w:p>
      <w:pPr>
        <w:pStyle w:val="11"/>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住房保障支出9.67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5.78</w:t>
      </w:r>
      <w:r>
        <w:rPr>
          <w:rFonts w:hint="default" w:ascii="Times New Roman" w:hAnsi="Times New Roman" w:eastAsia="方正仿宋_GBK" w:cs="Times New Roman"/>
          <w:color w:val="auto"/>
          <w:sz w:val="32"/>
          <w:szCs w:val="32"/>
          <w:shd w:val="clear" w:color="auto" w:fill="FFFFFF"/>
        </w:rPr>
        <w:t>%，较年初预算数增加2.99万元，增长44.76%，主要原因是</w:t>
      </w:r>
      <w:r>
        <w:rPr>
          <w:rFonts w:hint="eastAsia" w:ascii="Times New Roman" w:hAnsi="Times New Roman" w:eastAsia="方正仿宋_GBK" w:cs="Times New Roman"/>
          <w:color w:val="auto"/>
          <w:sz w:val="32"/>
          <w:szCs w:val="32"/>
          <w:shd w:val="clear" w:color="auto" w:fill="FFFFFF"/>
          <w:lang w:eastAsia="zh-CN"/>
        </w:rPr>
        <w:t>对公积金基数进行了调整，住房保障支出增加。</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167.43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160.</w:t>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shd w:val="clear" w:color="auto" w:fill="FFFFFF"/>
        </w:rPr>
        <w:t>万元，与2023年度相比，增加11.11万元，增长7.45%，主要原因是</w:t>
      </w:r>
      <w:r>
        <w:rPr>
          <w:rFonts w:hint="eastAsia" w:ascii="Times New Roman" w:hAnsi="Times New Roman" w:eastAsia="方正仿宋_GBK" w:cs="Times New Roman"/>
          <w:color w:val="auto"/>
          <w:sz w:val="32"/>
          <w:szCs w:val="32"/>
          <w:shd w:val="clear" w:color="auto" w:fill="FFFFFF"/>
          <w:lang w:eastAsia="zh-CN"/>
        </w:rPr>
        <w:t>补缴事业人员养老保险和职业年金等</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。人员经费用途主要包括基本工资、津贴补贴、奖金、绩效工资、伙食补助费、养老保险、职业年金、医疗保障缴费、其他工资福利支出等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7.29</w:t>
      </w:r>
      <w:r>
        <w:rPr>
          <w:rFonts w:hint="default" w:ascii="Times New Roman" w:hAnsi="Times New Roman" w:eastAsia="方正仿宋_GBK" w:cs="Times New Roman"/>
          <w:color w:val="auto"/>
          <w:sz w:val="32"/>
          <w:szCs w:val="32"/>
          <w:shd w:val="clear" w:color="auto" w:fill="FFFFFF"/>
        </w:rPr>
        <w:t>万元，与2023年度相比，减少5.36万元，下降42.37%，主要原因是</w:t>
      </w:r>
      <w:r>
        <w:rPr>
          <w:rFonts w:hint="eastAsia" w:ascii="Times New Roman" w:hAnsi="Times New Roman" w:eastAsia="方正仿宋_GBK" w:cs="Times New Roman"/>
          <w:color w:val="auto"/>
          <w:sz w:val="32"/>
          <w:szCs w:val="32"/>
          <w:shd w:val="clear" w:color="auto" w:fill="FFFFFF"/>
          <w:lang w:eastAsia="zh-CN"/>
        </w:rPr>
        <w:t>厉行节约，压缩公用经费开支</w:t>
      </w:r>
      <w:r>
        <w:rPr>
          <w:rFonts w:hint="default" w:ascii="Times New Roman" w:hAnsi="Times New Roman" w:eastAsia="方正仿宋_GBK" w:cs="Times New Roman"/>
          <w:color w:val="auto"/>
          <w:sz w:val="32"/>
          <w:szCs w:val="32"/>
          <w:shd w:val="clear" w:color="auto" w:fill="FFFFFF"/>
        </w:rPr>
        <w:t>。公用经费用途主要包括办公费、印刷费、水费、 电费、差旅费、维修费、 劳务费、委托业务费、工会经费、其他商品服务支出等组成。</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rPr>
        <w:t>.00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eastAsia" w:ascii="Times New Roman" w:hAnsi="Times New Roman" w:eastAsia="方正仿宋_GBK" w:cs="Times New Roman"/>
          <w:color w:val="auto"/>
          <w:sz w:val="32"/>
          <w:szCs w:val="32"/>
          <w:shd w:val="clear" w:color="auto" w:fill="FFFFFF"/>
          <w:lang w:eastAsia="zh-CN"/>
        </w:rPr>
        <w:t>本年度无政府性基金预算财政拨款收入。</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本年度无政府性基金预算财政拨款</w:t>
      </w:r>
      <w:r>
        <w:rPr>
          <w:rFonts w:hint="eastAsia"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本单位</w:t>
      </w:r>
      <w:r>
        <w:rPr>
          <w:rFonts w:hint="eastAsia" w:ascii="Times New Roman" w:hAnsi="Times New Roman" w:eastAsia="方正仿宋_GBK" w:cs="Times New Roman"/>
          <w:color w:val="auto"/>
          <w:sz w:val="32"/>
          <w:szCs w:val="32"/>
          <w:shd w:val="clear" w:color="auto" w:fill="FFFFFF"/>
          <w:lang w:val="en-US" w:eastAsia="zh-CN"/>
        </w:rPr>
        <w:t>2024年度无政府性基金预算财政拨款收支。</w:t>
      </w:r>
    </w:p>
    <w:p>
      <w:pPr>
        <w:pStyle w:val="11"/>
        <w:keepNext w:val="0"/>
        <w:keepLines w:val="0"/>
        <w:pageBreakBefore w:val="0"/>
        <w:numPr>
          <w:ilvl w:val="0"/>
          <w:numId w:val="1"/>
        </w:numPr>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国有资本经营预算财政拨款支出决算情况说明</w:t>
      </w:r>
    </w:p>
    <w:p>
      <w:pPr>
        <w:pStyle w:val="11"/>
        <w:keepNext w:val="0"/>
        <w:keepLines w:val="0"/>
        <w:pageBreakBefore w:val="0"/>
        <w:numPr>
          <w:ilvl w:val="0"/>
          <w:numId w:val="0"/>
        </w:numPr>
        <w:kinsoku/>
        <w:wordWrap/>
        <w:overflowPunct/>
        <w:topLinePunct w:val="0"/>
        <w:autoSpaceDE w:val="0"/>
        <w:autoSpaceDN/>
        <w:bidi w:val="0"/>
        <w:spacing w:beforeAutospacing="0" w:afterAutospacing="0" w:line="594" w:lineRule="exact"/>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楷体" w:cs="Times New Roman"/>
          <w:b/>
          <w:bCs/>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2024年未发生“三公”经费支出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eastAsia" w:ascii="Times New Roman" w:hAnsi="Times New Roman" w:eastAsia="方正仿宋_GBK" w:cs="Times New Roman"/>
          <w:color w:val="auto"/>
          <w:sz w:val="32"/>
          <w:szCs w:val="32"/>
          <w:shd w:val="clear" w:color="auto" w:fill="FFFFFF"/>
          <w:lang w:eastAsia="zh-CN"/>
        </w:rPr>
        <w:t>我单位本年及上年均未发生“三公”经费支出。</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年初预算数未安排因公出国（境）费用</w:t>
      </w:r>
      <w:r>
        <w:rPr>
          <w:rFonts w:hint="eastAsia" w:ascii="Times New Roman" w:hAnsi="Times New Roman" w:eastAsia="方正仿宋_GBK" w:cs="Times New Roman"/>
          <w:color w:val="auto"/>
          <w:sz w:val="32"/>
          <w:szCs w:val="32"/>
          <w:shd w:val="clear" w:color="auto" w:fill="FFFFFF"/>
          <w:lang w:eastAsia="zh-CN"/>
        </w:rPr>
        <w:t>，也未发生因公出国（境）费用。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上年和本年均未发生因公出国（境）费用。</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 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年初预算数未安排且本年未发生</w:t>
      </w:r>
      <w:r>
        <w:rPr>
          <w:rFonts w:hint="eastAsia" w:ascii="Times New Roman" w:hAnsi="Times New Roman" w:eastAsia="方正仿宋_GBK" w:cs="Times New Roman"/>
          <w:color w:val="auto"/>
          <w:sz w:val="32"/>
          <w:szCs w:val="32"/>
          <w:shd w:val="clear" w:color="auto" w:fill="FFFFFF"/>
          <w:lang w:eastAsia="zh-CN"/>
        </w:rPr>
        <w:t>公务车购置</w:t>
      </w:r>
      <w:r>
        <w:rPr>
          <w:rFonts w:hint="default" w:ascii="Times New Roman" w:hAnsi="Times New Roman" w:eastAsia="方正仿宋_GBK" w:cs="Times New Roman"/>
          <w:color w:val="auto"/>
          <w:sz w:val="32"/>
          <w:szCs w:val="32"/>
          <w:shd w:val="clear" w:color="auto" w:fill="FFFFFF"/>
          <w:lang w:eastAsia="zh-CN"/>
        </w:rPr>
        <w:t>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上年和本年均未发生公务车购置费用。</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年初预算数未安排且本年未发生</w:t>
      </w:r>
      <w:r>
        <w:rPr>
          <w:rFonts w:hint="eastAsia" w:ascii="Times New Roman" w:hAnsi="Times New Roman" w:eastAsia="方正仿宋_GBK" w:cs="Times New Roman"/>
          <w:color w:val="auto"/>
          <w:sz w:val="32"/>
          <w:szCs w:val="32"/>
          <w:shd w:val="clear" w:color="auto" w:fill="FFFFFF"/>
          <w:lang w:eastAsia="zh-CN"/>
        </w:rPr>
        <w:t>公务车运行维护费用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上年和本年均未发生公务车运行维护费用</w:t>
      </w:r>
      <w:r>
        <w:rPr>
          <w:rFonts w:hint="eastAsia"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rPr>
        <w:t>无增减，主要原</w:t>
      </w:r>
      <w:r>
        <w:rPr>
          <w:rFonts w:hint="default" w:ascii="Times New Roman" w:hAnsi="Times New Roman" w:eastAsia="方正仿宋_GBK" w:cs="Times New Roman"/>
          <w:color w:val="auto"/>
          <w:sz w:val="32"/>
          <w:szCs w:val="32"/>
          <w:shd w:val="clear" w:color="auto" w:fill="FFFFFF"/>
        </w:rPr>
        <w:t>因是</w:t>
      </w:r>
      <w:r>
        <w:rPr>
          <w:rFonts w:hint="eastAsia" w:ascii="Times New Roman" w:hAnsi="Times New Roman" w:eastAsia="方正仿宋_GBK" w:cs="Times New Roman"/>
          <w:color w:val="auto"/>
          <w:sz w:val="32"/>
          <w:szCs w:val="32"/>
          <w:shd w:val="clear" w:color="auto" w:fill="FFFFFF"/>
          <w:lang w:eastAsia="zh-CN"/>
        </w:rPr>
        <w:t>年初预算数未安排且本年未发生公务接待费用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eastAsia" w:ascii="Times New Roman" w:hAnsi="Times New Roman" w:eastAsia="方正仿宋_GBK" w:cs="Times New Roman"/>
          <w:color w:val="auto"/>
          <w:sz w:val="32"/>
          <w:szCs w:val="32"/>
          <w:shd w:val="clear" w:color="auto" w:fill="FFFFFF"/>
          <w:lang w:eastAsia="zh-CN"/>
        </w:rPr>
        <w:t>上年和本年均未发生公务接待费用</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Times New Roman" w:hAnsi="Times New Roman" w:eastAsia="方正仿宋_GBK" w:cs="Times New Roman"/>
          <w:sz w:val="32"/>
          <w:szCs w:val="32"/>
          <w:shd w:val="clear" w:color="auto" w:fill="FFFFFF"/>
          <w:lang w:eastAsia="zh-CN"/>
        </w:rPr>
        <w:t>上年和本年均未发生会议费支出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color="auto" w:fill="FFFFFF"/>
        </w:rPr>
        <w:t>万元，与2023年度相比，增加0.04万元，增长100.00%，主要原因是</w:t>
      </w:r>
      <w:r>
        <w:rPr>
          <w:rFonts w:hint="eastAsia" w:ascii="Times New Roman" w:hAnsi="Times New Roman" w:eastAsia="方正仿宋_GBK" w:cs="Times New Roman"/>
          <w:sz w:val="32"/>
          <w:szCs w:val="32"/>
          <w:shd w:val="clear" w:color="auto" w:fill="FFFFFF"/>
          <w:lang w:eastAsia="zh-CN"/>
        </w:rPr>
        <w:t>增加专技人员公需科目培训、事业人员在岗培训费用。</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万元，机关运行经费较上年支出数无增减，主要原因</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eastAsia="zh-CN"/>
        </w:rPr>
        <w:t>按照部门决算列报口径，我单位不在机关运行经费统计范围之内。</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rPr>
      </w:pPr>
      <w:bookmarkStart w:id="0" w:name="_GoBack"/>
      <w:bookmarkEnd w:id="0"/>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spacing w:before="0" w:beforeAutospacing="0" w:after="0" w:afterAutospacing="0" w:line="594" w:lineRule="exact"/>
        <w:ind w:firstLine="640" w:firstLineChars="200"/>
        <w:rPr>
          <w:rFonts w:hint="eastAsia"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1"/>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我单位</w:t>
      </w:r>
      <w:r>
        <w:rPr>
          <w:rFonts w:hint="eastAsia" w:ascii="Times New Roman" w:hAnsi="Times New Roman" w:eastAsia="方正仿宋_GBK" w:cs="Times New Roman"/>
          <w:sz w:val="32"/>
          <w:szCs w:val="32"/>
          <w:shd w:val="clear" w:color="auto" w:fill="FFFFFF"/>
          <w:lang w:eastAsia="zh-CN"/>
        </w:rPr>
        <w:t>未组织</w:t>
      </w:r>
      <w:r>
        <w:rPr>
          <w:rFonts w:hint="default" w:ascii="Times New Roman" w:hAnsi="Times New Roman" w:eastAsia="方正仿宋_GBK" w:cs="Times New Roman"/>
          <w:sz w:val="32"/>
          <w:szCs w:val="32"/>
          <w:shd w:val="clear" w:color="auto" w:fill="FFFFFF"/>
        </w:rPr>
        <w:t>开</w:t>
      </w:r>
      <w:r>
        <w:rPr>
          <w:rFonts w:hint="eastAsia" w:ascii="Times New Roman" w:hAnsi="Times New Roman" w:eastAsia="方正仿宋_GBK" w:cs="Times New Roman"/>
          <w:sz w:val="32"/>
          <w:szCs w:val="32"/>
          <w:shd w:val="clear" w:color="auto" w:fill="FFFFFF"/>
          <w:lang w:eastAsia="zh-CN"/>
        </w:rPr>
        <w:t>展</w:t>
      </w:r>
      <w:r>
        <w:rPr>
          <w:rFonts w:hint="default" w:ascii="Times New Roman" w:hAnsi="Times New Roman" w:eastAsia="方正仿宋_GBK" w:cs="Times New Roman"/>
          <w:sz w:val="32"/>
          <w:szCs w:val="32"/>
          <w:shd w:val="clear" w:color="auto" w:fill="FFFFFF"/>
        </w:rPr>
        <w:t>绩效评价</w:t>
      </w:r>
      <w:r>
        <w:rPr>
          <w:rFonts w:hint="eastAsia" w:ascii="Times New Roman" w:hAnsi="Times New Roman" w:eastAsia="方正仿宋_GBK" w:cs="Times New Roman"/>
          <w:sz w:val="32"/>
          <w:szCs w:val="32"/>
          <w:shd w:val="clear" w:color="auto" w:fill="FFFFFF"/>
          <w:lang w:eastAsia="zh-CN"/>
        </w:rPr>
        <w:t>。</w:t>
      </w:r>
    </w:p>
    <w:p>
      <w:pPr>
        <w:pStyle w:val="11"/>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4"/>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县</w:t>
      </w:r>
      <w:r>
        <w:rPr>
          <w:rFonts w:hint="default" w:ascii="Times New Roman" w:hAnsi="Times New Roman" w:eastAsia="方正仿宋_GBK" w:cs="Times New Roman"/>
          <w:sz w:val="32"/>
          <w:szCs w:val="32"/>
          <w:shd w:val="clear" w:color="auto" w:fill="FFFFFF"/>
        </w:rPr>
        <w:t>财政局</w:t>
      </w:r>
      <w:r>
        <w:rPr>
          <w:rFonts w:hint="eastAsia" w:ascii="Times New Roman" w:hAnsi="Times New Roman" w:eastAsia="方正仿宋_GBK" w:cs="Times New Roman"/>
          <w:sz w:val="32"/>
          <w:szCs w:val="32"/>
          <w:shd w:val="clear" w:color="auto" w:fill="FFFFFF"/>
          <w:lang w:eastAsia="zh-CN"/>
        </w:rPr>
        <w:t>未</w:t>
      </w:r>
      <w:r>
        <w:rPr>
          <w:rFonts w:hint="default" w:ascii="Times New Roman" w:hAnsi="Times New Roman" w:eastAsia="方正仿宋_GBK" w:cs="Times New Roman"/>
          <w:sz w:val="32"/>
          <w:szCs w:val="32"/>
          <w:shd w:val="clear" w:color="auto" w:fill="FFFFFF"/>
        </w:rPr>
        <w:t>委托第三方对我单位开展绩效评价</w:t>
      </w:r>
      <w:r>
        <w:rPr>
          <w:rFonts w:hint="eastAsia"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rPr>
      </w:pPr>
      <w:r>
        <w:rPr>
          <w:rStyle w:val="10"/>
          <w:rFonts w:hint="default" w:ascii="Times New Roman" w:hAnsi="Times New Roman" w:eastAsia="黑体" w:cs="Times New Roman"/>
          <w:sz w:val="32"/>
          <w:szCs w:val="32"/>
          <w:shd w:val="clear" w:color="auto" w:fill="FFFFFF"/>
          <w:lang w:val="en-US" w:eastAsia="zh-CN"/>
        </w:rPr>
        <w:t>  六、专业名词解释</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11"/>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w:t>
      </w:r>
      <w:r>
        <w:rPr>
          <w:rFonts w:hint="default" w:ascii="Times New Roman" w:hAnsi="Times New Roman" w:eastAsia="方正仿宋_GBK" w:cs="Times New Roman"/>
          <w:color w:val="auto"/>
          <w:sz w:val="32"/>
          <w:szCs w:val="32"/>
          <w:shd w:val="clear" w:color="auto" w:fill="FFFFFF"/>
        </w:rPr>
        <w:t>式：</w:t>
      </w:r>
      <w:r>
        <w:rPr>
          <w:rFonts w:hint="default" w:ascii="Times New Roman" w:hAnsi="Times New Roman" w:eastAsia="方正仿宋_GBK" w:cs="Times New Roman"/>
          <w:color w:val="auto"/>
          <w:sz w:val="32"/>
          <w:szCs w:val="32"/>
          <w:shd w:val="clear" w:color="auto" w:fill="FFFFFF"/>
          <w:lang w:val="en-US" w:eastAsia="zh-CN"/>
        </w:rPr>
        <w:t>023-74582700。</w:t>
      </w:r>
    </w:p>
    <w:p>
      <w:pPr>
        <w:pStyle w:val="11"/>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垫江县鹤游镇农业服务中心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167.43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垫江县鹤游镇农业服务中心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167.43</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167.43</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垫江县鹤游镇农业服务中心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垫江县鹤游镇农业服务中心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垫江县鹤游镇农业服务中心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垫江县鹤游镇农业服务中心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160.15</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垫江县鹤游镇农业服务中心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垫江县鹤游镇农业服务中心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垫江县鹤游镇农业服务中心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DCC620"/>
    <w:multiLevelType w:val="singleLevel"/>
    <w:tmpl w:val="C8DCC62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C46B60"/>
    <w:rsid w:val="03E3214F"/>
    <w:rsid w:val="044C50BA"/>
    <w:rsid w:val="05BC6D49"/>
    <w:rsid w:val="06194FF1"/>
    <w:rsid w:val="06384F2B"/>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6D2191"/>
    <w:rsid w:val="22403BD3"/>
    <w:rsid w:val="239664F0"/>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CC4006"/>
    <w:rsid w:val="2C636760"/>
    <w:rsid w:val="2C6762A3"/>
    <w:rsid w:val="2F197E40"/>
    <w:rsid w:val="2F4641AB"/>
    <w:rsid w:val="2FCA4B37"/>
    <w:rsid w:val="2FD64A46"/>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9A49A5"/>
    <w:rsid w:val="38BE4696"/>
    <w:rsid w:val="3939115E"/>
    <w:rsid w:val="39B82A39"/>
    <w:rsid w:val="39C42CA8"/>
    <w:rsid w:val="39DC4FD6"/>
    <w:rsid w:val="39F03D7A"/>
    <w:rsid w:val="39F33306"/>
    <w:rsid w:val="3A2C1C67"/>
    <w:rsid w:val="3ADD7F09"/>
    <w:rsid w:val="3B1705E5"/>
    <w:rsid w:val="3B18334B"/>
    <w:rsid w:val="3B36794F"/>
    <w:rsid w:val="3B6F6EE0"/>
    <w:rsid w:val="3C0D259A"/>
    <w:rsid w:val="3C566AD6"/>
    <w:rsid w:val="3C594871"/>
    <w:rsid w:val="3C6A5B02"/>
    <w:rsid w:val="3D2757A1"/>
    <w:rsid w:val="3D332BB6"/>
    <w:rsid w:val="3D3D4FC4"/>
    <w:rsid w:val="3DDF3AB1"/>
    <w:rsid w:val="3E1D0952"/>
    <w:rsid w:val="3E42660A"/>
    <w:rsid w:val="3E7555B1"/>
    <w:rsid w:val="3E787ED9"/>
    <w:rsid w:val="3F032E93"/>
    <w:rsid w:val="3F0527E5"/>
    <w:rsid w:val="3F694D83"/>
    <w:rsid w:val="3F885DCC"/>
    <w:rsid w:val="3FCD675E"/>
    <w:rsid w:val="4004000C"/>
    <w:rsid w:val="40AA1675"/>
    <w:rsid w:val="40BD5482"/>
    <w:rsid w:val="411B6CE5"/>
    <w:rsid w:val="412070D7"/>
    <w:rsid w:val="41314E40"/>
    <w:rsid w:val="41485A69"/>
    <w:rsid w:val="41E0734B"/>
    <w:rsid w:val="41E63719"/>
    <w:rsid w:val="426C1EA8"/>
    <w:rsid w:val="42736402"/>
    <w:rsid w:val="42D11A58"/>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B1249C"/>
    <w:rsid w:val="48E36915"/>
    <w:rsid w:val="48EB6572"/>
    <w:rsid w:val="4901174E"/>
    <w:rsid w:val="495C4A24"/>
    <w:rsid w:val="497135DF"/>
    <w:rsid w:val="4A263DF2"/>
    <w:rsid w:val="4A6F6675"/>
    <w:rsid w:val="4B135857"/>
    <w:rsid w:val="4B77591B"/>
    <w:rsid w:val="4B7951CB"/>
    <w:rsid w:val="4B7C315C"/>
    <w:rsid w:val="4C331724"/>
    <w:rsid w:val="4DAC4ACA"/>
    <w:rsid w:val="4DBE01D2"/>
    <w:rsid w:val="4F0C6BA3"/>
    <w:rsid w:val="4F186D58"/>
    <w:rsid w:val="4F977AF1"/>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314124"/>
    <w:rsid w:val="578867FC"/>
    <w:rsid w:val="57BC1AE9"/>
    <w:rsid w:val="5842572D"/>
    <w:rsid w:val="59494543"/>
    <w:rsid w:val="5A3B59D6"/>
    <w:rsid w:val="5A4F259F"/>
    <w:rsid w:val="5AD134D8"/>
    <w:rsid w:val="5B9A01F8"/>
    <w:rsid w:val="5C263CE4"/>
    <w:rsid w:val="5C5D2777"/>
    <w:rsid w:val="5CF66BF3"/>
    <w:rsid w:val="5CF75CF6"/>
    <w:rsid w:val="5D0024AC"/>
    <w:rsid w:val="5D290C69"/>
    <w:rsid w:val="5F2D4A41"/>
    <w:rsid w:val="60C34145"/>
    <w:rsid w:val="60C74F6C"/>
    <w:rsid w:val="61025A59"/>
    <w:rsid w:val="613D5BBC"/>
    <w:rsid w:val="61536C39"/>
    <w:rsid w:val="62944DD7"/>
    <w:rsid w:val="6319381F"/>
    <w:rsid w:val="63231226"/>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5D6764"/>
    <w:rsid w:val="6EFD1324"/>
    <w:rsid w:val="6F5A53AC"/>
    <w:rsid w:val="6FAC003D"/>
    <w:rsid w:val="6FE55E12"/>
    <w:rsid w:val="6FFB2E76"/>
    <w:rsid w:val="708F6F7F"/>
    <w:rsid w:val="70D94BD3"/>
    <w:rsid w:val="718F1B30"/>
    <w:rsid w:val="71C34D91"/>
    <w:rsid w:val="72DB435C"/>
    <w:rsid w:val="72E2613A"/>
    <w:rsid w:val="72F771F4"/>
    <w:rsid w:val="73934AD2"/>
    <w:rsid w:val="73CA201A"/>
    <w:rsid w:val="73D31511"/>
    <w:rsid w:val="74581779"/>
    <w:rsid w:val="750837F0"/>
    <w:rsid w:val="754758CF"/>
    <w:rsid w:val="764F62AB"/>
    <w:rsid w:val="765C45EC"/>
    <w:rsid w:val="768A7619"/>
    <w:rsid w:val="772E1EBA"/>
    <w:rsid w:val="781926BC"/>
    <w:rsid w:val="78E010CD"/>
    <w:rsid w:val="796D60A4"/>
    <w:rsid w:val="79A031D5"/>
    <w:rsid w:val="7A1525F7"/>
    <w:rsid w:val="7B420052"/>
    <w:rsid w:val="7B815CF8"/>
    <w:rsid w:val="7BD06A28"/>
    <w:rsid w:val="7C3A7C0B"/>
    <w:rsid w:val="7C5248E4"/>
    <w:rsid w:val="7C566698"/>
    <w:rsid w:val="7C5866A3"/>
    <w:rsid w:val="7D3753D1"/>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5467</Words>
  <Characters>6447</Characters>
  <Lines>190</Lines>
  <Paragraphs>53</Paragraphs>
  <TotalTime>1</TotalTime>
  <ScaleCrop>false</ScaleCrop>
  <LinksUpToDate>false</LinksUpToDate>
  <CharactersWithSpaces>6654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dcterms:modified xsi:type="dcterms:W3CDTF">2025-09-18T02:01:46Z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